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ملف سودا إيجي – النسخة العربية الشاملة لحفظ الحقوق</w:t>
      </w:r>
    </w:p>
    <w:p>
      <w:r>
        <w:br/>
        <w:t xml:space="preserve">هذا المستند يمثل النسخة الرسمية الشاملة لمشروع "سودا إيجي – SudEgy"، </w:t>
        <w:br/>
        <w:t>ويُعد مرجعاً لحفظ الحقوق الفكرية والتقنية والتجارية الخاصة بالمؤسس:</w:t>
        <w:br/>
      </w:r>
    </w:p>
    <w:p>
      <w:r>
        <w:t>SIOWFI OMER YOUSIF ELSIOWFI</w:t>
      </w:r>
    </w:p>
    <w:p>
      <w:pPr>
        <w:pStyle w:val="Heading1"/>
        <w:jc w:val="right"/>
      </w:pPr>
      <w:r>
        <w:t>1. مقدمة المشروع</w:t>
      </w:r>
    </w:p>
    <w:p>
      <w:r>
        <w:br/>
        <w:t xml:space="preserve">سودا إيجي هو منصة رقمية متكاملة لربط السودان ومصر في منظومة تجارة ولوجستيات </w:t>
        <w:br/>
        <w:t xml:space="preserve">ودفع إلكتروني موحدة، تهدف إلى تسهيل حركة البضائع، تمكين التجار، دعم الحكومات، </w:t>
        <w:br/>
        <w:t>وتوفير بيانات لحظية لصناعة القرار.</w:t>
        <w:br/>
      </w:r>
    </w:p>
    <w:p>
      <w:pPr>
        <w:pStyle w:val="Heading1"/>
        <w:jc w:val="right"/>
      </w:pPr>
      <w:r>
        <w:t>2. رؤية المشروع</w:t>
      </w:r>
    </w:p>
    <w:p>
      <w:r>
        <w:br/>
        <w:t xml:space="preserve">إنشاء أكبر جسر رقمي تجاري ولوجستي بين مصر والسودان، مع قابلية التوسع الإقليمي </w:t>
        <w:br/>
        <w:t>ليصبح مركزاً للتجارة الإلكترونية في أفريقيا والشرق الأوسط.</w:t>
        <w:br/>
      </w:r>
    </w:p>
    <w:p>
      <w:pPr>
        <w:pStyle w:val="Heading1"/>
        <w:jc w:val="right"/>
      </w:pPr>
      <w:r>
        <w:t>3. رسالة المشروع</w:t>
      </w:r>
    </w:p>
    <w:p>
      <w:r>
        <w:br/>
        <w:t xml:space="preserve">رقمنة التجارة، تعزيز الشفافية، دعم الشركات الصغيرة، وتقديم منصة فعّالة تربط </w:t>
        <w:br/>
        <w:t>التجار بالأسواق والمستهلكين والحكومات في منظومة واحدة.</w:t>
        <w:br/>
      </w:r>
    </w:p>
    <w:p>
      <w:pPr>
        <w:pStyle w:val="Heading1"/>
        <w:jc w:val="right"/>
      </w:pPr>
      <w:r>
        <w:t>4. القيم الأساسية</w:t>
      </w:r>
    </w:p>
    <w:p>
      <w:r>
        <w:br/>
        <w:t xml:space="preserve">• الشفافية  </w:t>
        <w:br/>
        <w:t xml:space="preserve">• الأمان  </w:t>
        <w:br/>
        <w:t xml:space="preserve">• الابتكار  </w:t>
        <w:br/>
        <w:t xml:space="preserve">• النمو  </w:t>
        <w:br/>
        <w:t xml:space="preserve">• دعم الحكومات  </w:t>
        <w:br/>
        <w:t xml:space="preserve">• تمكين التجار  </w:t>
        <w:br/>
      </w:r>
    </w:p>
    <w:p>
      <w:pPr>
        <w:pStyle w:val="Heading1"/>
        <w:jc w:val="right"/>
      </w:pPr>
      <w:r>
        <w:t>5. مكونات النظام الأساسية</w:t>
      </w:r>
    </w:p>
    <w:p>
      <w:r>
        <w:br/>
        <w:t xml:space="preserve">• تطبيق المستخدم  </w:t>
        <w:br/>
        <w:t xml:space="preserve">• لوحة تحكم التاجر  </w:t>
        <w:br/>
        <w:t xml:space="preserve">• منظومة الشحن وتتبع البضائع  </w:t>
        <w:br/>
        <w:t xml:space="preserve">• بوابة الدفع الإلكتروني  </w:t>
        <w:br/>
        <w:t xml:space="preserve">• لوحة الحكومة (بيانات – مراقبة الأسعار – مراقبة المخزون – حركة التجارة)  </w:t>
        <w:br/>
        <w:t xml:space="preserve">• واجهات برمجية API للربط اللوجستي  </w:t>
        <w:br/>
      </w:r>
    </w:p>
    <w:p>
      <w:pPr>
        <w:pStyle w:val="Heading1"/>
        <w:jc w:val="right"/>
      </w:pPr>
      <w:r>
        <w:t>6. الفوائد الحكومية</w:t>
      </w:r>
    </w:p>
    <w:p>
      <w:r>
        <w:br/>
        <w:t xml:space="preserve">• مراقبة لحظية للأسعار والمخزون  </w:t>
        <w:br/>
        <w:t xml:space="preserve">• دعم الأمن الغذائي  </w:t>
        <w:br/>
        <w:t xml:space="preserve">• محاربة التهريب والتلاعب  </w:t>
        <w:br/>
        <w:t xml:space="preserve">• رقمنة الجمارك بين السودان ومصر  </w:t>
        <w:br/>
        <w:t xml:space="preserve">• بيانات لحظية لاتخاذ القرار  </w:t>
        <w:br/>
      </w:r>
    </w:p>
    <w:p>
      <w:pPr>
        <w:pStyle w:val="Heading1"/>
        <w:jc w:val="right"/>
      </w:pPr>
      <w:r>
        <w:t>7. المبادرات الحكومية الممكن تنفيذها عبر SudEgy</w:t>
      </w:r>
    </w:p>
    <w:p>
      <w:r>
        <w:br/>
        <w:t xml:space="preserve">• السجل الوطني الموحد للمنتجات  </w:t>
        <w:br/>
        <w:t xml:space="preserve">• لوحة التنبؤ بالأمن الغذائي  </w:t>
        <w:br/>
        <w:t xml:space="preserve">• جواز التجارة الرقمي بين مصر والسودان  </w:t>
        <w:br/>
        <w:t xml:space="preserve">• مؤشر الأسعار الوطني  </w:t>
        <w:br/>
        <w:t xml:space="preserve">• منصة دعم المشروعات الصغيرة  </w:t>
        <w:br/>
        <w:t xml:space="preserve">• مختبر الذكاء الاصطناعي للتنبؤ بالأسعار  </w:t>
        <w:br/>
      </w:r>
    </w:p>
    <w:p>
      <w:pPr>
        <w:pStyle w:val="Heading1"/>
        <w:jc w:val="right"/>
      </w:pPr>
      <w:r>
        <w:t>8. الفرصة الاستثمارية (بناءً على بيانات رسمية)</w:t>
      </w:r>
    </w:p>
    <w:p>
      <w:r>
        <w:br/>
        <w:t>وفقاً لبيانات الجهاز المركزي للتعبئة العامة والإحصاء (CAPMAS – 2024):</w:t>
        <w:br/>
        <w:t xml:space="preserve">• حجم التبادل التجاري بين مصر والسودان: 1.2 مليار دولار  </w:t>
        <w:br/>
        <w:t xml:space="preserve">• صادرات مصر للسودان: 866.2 مليون دولار  </w:t>
        <w:br/>
        <w:t xml:space="preserve">• واردات مصر من السودان: 292.4 مليون دولار  </w:t>
        <w:br/>
        <w:br/>
        <w:t>هذا يعكس وجود حركة تجارية ضخمة قابلة للرقمنة عبر منصة SudEgy.</w:t>
        <w:br/>
        <w:br/>
        <w:t>المنصة تقدم:</w:t>
        <w:br/>
        <w:t xml:space="preserve">• سوق ضخم غير مخدوم رقمياً  </w:t>
        <w:br/>
        <w:t xml:space="preserve">• ضعف المنافسة المباشرة  </w:t>
        <w:br/>
        <w:t xml:space="preserve">• قابلية توسع لأسواق أخرى  </w:t>
        <w:br/>
        <w:t xml:space="preserve">• مصادر دخل متعددة: اشتراكات التجار، الشحن، الدفع، الإعلانات، B2B، البيانات  </w:t>
        <w:br/>
      </w:r>
    </w:p>
    <w:p>
      <w:pPr>
        <w:pStyle w:val="Heading1"/>
        <w:jc w:val="right"/>
      </w:pPr>
      <w:r>
        <w:t>9. نموذج التعاون الحكومي</w:t>
      </w:r>
    </w:p>
    <w:p>
      <w:r>
        <w:br/>
        <w:t xml:space="preserve">• ربط الجمارك آلياً  </w:t>
        <w:br/>
        <w:t xml:space="preserve">• توفير بيانات السوق  </w:t>
        <w:br/>
        <w:t xml:space="preserve">• دعم إدارة الأزمات  </w:t>
        <w:br/>
        <w:t xml:space="preserve">• تعزيز الشفافية في حركة البضائع  </w:t>
        <w:br/>
      </w:r>
    </w:p>
    <w:p>
      <w:pPr>
        <w:pStyle w:val="Heading1"/>
        <w:jc w:val="right"/>
      </w:pPr>
      <w:r>
        <w:t>10. إثبات الملكية الفكرية</w:t>
      </w:r>
    </w:p>
    <w:p>
      <w:r>
        <w:br/>
        <w:t xml:space="preserve">هذا المستند يمثل النسخة الرسمية لحفظ الملكية الفكرية لمشروع SudEgy </w:t>
        <w:br/>
        <w:t>باسم المؤسس:</w:t>
        <w:br/>
      </w:r>
    </w:p>
    <w:p>
      <w:r>
        <w:t>SIOWFI OMER YOUSIF ELSIOWFI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