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SudEgy – Full English Intellectual Property Dossier</w:t>
      </w:r>
    </w:p>
    <w:p>
      <w:r>
        <w:br/>
        <w:t xml:space="preserve">This document represents the official intellectual property and technical dossier </w:t>
        <w:br/>
        <w:t>for the project "SudEgy". This file is created to secure the ownership rights of:</w:t>
        <w:br/>
      </w:r>
    </w:p>
    <w:p>
      <w:r>
        <w:t>SIOWFI OMER YOUSIF ELSIOWFI</w:t>
      </w:r>
    </w:p>
    <w:p>
      <w:pPr>
        <w:pStyle w:val="Heading1"/>
        <w:jc w:val="right"/>
      </w:pPr>
      <w:r>
        <w:t>1. Project Overview</w:t>
      </w:r>
    </w:p>
    <w:p>
      <w:r>
        <w:br/>
        <w:t xml:space="preserve">SudEgy is a digital cross-border trade platform connecting Egypt and Sudan. </w:t>
        <w:br/>
        <w:t xml:space="preserve">It provides a unified system for trade, logistics, digital payments, merchants, </w:t>
        <w:br/>
        <w:t>and government dashboards for real-time monitoring.</w:t>
        <w:br/>
      </w:r>
    </w:p>
    <w:p>
      <w:pPr>
        <w:pStyle w:val="Heading1"/>
        <w:jc w:val="right"/>
      </w:pPr>
      <w:r>
        <w:t>2. Vision</w:t>
      </w:r>
    </w:p>
    <w:p>
      <w:r>
        <w:br/>
        <w:t xml:space="preserve">To become the leading digital trade ecosystem bridging Egypt and Sudan, </w:t>
        <w:br/>
        <w:t>with scalable expansion across Africa and the Middle East.</w:t>
        <w:br/>
      </w:r>
    </w:p>
    <w:p>
      <w:pPr>
        <w:pStyle w:val="Heading1"/>
        <w:jc w:val="right"/>
      </w:pPr>
      <w:r>
        <w:t>3. Mission</w:t>
      </w:r>
    </w:p>
    <w:p>
      <w:r>
        <w:br/>
        <w:t xml:space="preserve">Digitize trade, increase transparency, empower merchants, support governments, </w:t>
        <w:br/>
        <w:t>and create a unified data-driven commercial environment.</w:t>
        <w:br/>
      </w:r>
    </w:p>
    <w:p>
      <w:pPr>
        <w:pStyle w:val="Heading1"/>
        <w:jc w:val="right"/>
      </w:pPr>
      <w:r>
        <w:t>4. Core Values</w:t>
      </w:r>
    </w:p>
    <w:p>
      <w:r>
        <w:br/>
        <w:t xml:space="preserve">• Transparency  </w:t>
        <w:br/>
        <w:t xml:space="preserve">• Security  </w:t>
        <w:br/>
        <w:t xml:space="preserve">• Innovation  </w:t>
        <w:br/>
        <w:t xml:space="preserve">• Growth  </w:t>
        <w:br/>
        <w:t xml:space="preserve">• Merchant Empowerment  </w:t>
        <w:br/>
        <w:t xml:space="preserve">• Government Collaboration  </w:t>
        <w:br/>
      </w:r>
    </w:p>
    <w:p>
      <w:pPr>
        <w:pStyle w:val="Heading1"/>
        <w:jc w:val="right"/>
      </w:pPr>
      <w:r>
        <w:t>5. System Components</w:t>
      </w:r>
    </w:p>
    <w:p>
      <w:r>
        <w:br/>
        <w:t xml:space="preserve">• User mobile app  </w:t>
        <w:br/>
        <w:t xml:space="preserve">• Merchant dashboard  </w:t>
        <w:br/>
        <w:t xml:space="preserve">• Logistics and shipment tracking  </w:t>
        <w:br/>
        <w:t xml:space="preserve">• Digital payment gateway  </w:t>
        <w:br/>
        <w:t xml:space="preserve">• Government monitoring dashboard  </w:t>
        <w:br/>
        <w:t xml:space="preserve">• APIs for logistics &amp; governmental integrations  </w:t>
        <w:br/>
      </w:r>
    </w:p>
    <w:p>
      <w:pPr>
        <w:pStyle w:val="Heading1"/>
        <w:jc w:val="right"/>
      </w:pPr>
      <w:r>
        <w:t>6. Government Benefits</w:t>
      </w:r>
    </w:p>
    <w:p>
      <w:r>
        <w:br/>
        <w:t xml:space="preserve">• Real-time price and stock monitoring  </w:t>
        <w:br/>
        <w:t xml:space="preserve">• Food security forecasting  </w:t>
        <w:br/>
        <w:t xml:space="preserve">• Anti-smuggling digital systems  </w:t>
        <w:br/>
        <w:t xml:space="preserve">• Customs digitization  </w:t>
        <w:br/>
        <w:t xml:space="preserve">• Market transparency  </w:t>
        <w:br/>
      </w:r>
    </w:p>
    <w:p>
      <w:pPr>
        <w:pStyle w:val="Heading1"/>
        <w:jc w:val="right"/>
      </w:pPr>
      <w:r>
        <w:t>7. Government Initiatives Enabled by SudEgy</w:t>
      </w:r>
    </w:p>
    <w:p>
      <w:r>
        <w:br/>
        <w:t xml:space="preserve">• National Digital Price Index  </w:t>
        <w:br/>
        <w:t xml:space="preserve">• Bilateral Customs Integration  </w:t>
        <w:br/>
        <w:t xml:space="preserve">• Trade Digital Passport  </w:t>
        <w:br/>
        <w:t xml:space="preserve">• National Product Registry  </w:t>
        <w:br/>
        <w:t xml:space="preserve">• Food Security Dashboard  </w:t>
        <w:br/>
        <w:t xml:space="preserve">• SME Enablement Initiative  </w:t>
        <w:br/>
        <w:t xml:space="preserve">• AI Market Prediction Lab  </w:t>
        <w:br/>
      </w:r>
    </w:p>
    <w:p>
      <w:pPr>
        <w:pStyle w:val="Heading1"/>
        <w:jc w:val="right"/>
      </w:pPr>
      <w:r>
        <w:t>8. Investment Opportunity (Based on Official Data)</w:t>
      </w:r>
    </w:p>
    <w:p>
      <w:r>
        <w:br/>
        <w:t>According to CAPMAS 2024 official reports:</w:t>
        <w:br/>
        <w:t xml:space="preserve">• Total Egypt–Sudan trade: $1.2B  </w:t>
        <w:br/>
        <w:t xml:space="preserve">• Egyptian exports to Sudan: $866.2M  </w:t>
        <w:br/>
        <w:t xml:space="preserve">• Imports from Sudan to Egypt: $292.4M  </w:t>
        <w:br/>
        <w:br/>
        <w:t>This proves a strong commercial traffic that can be digitized through SudEgy.</w:t>
        <w:br/>
        <w:br/>
        <w:t>Why SudEgy is a strong opportunity:</w:t>
        <w:br/>
        <w:t xml:space="preserve">• Large, underserved market  </w:t>
        <w:br/>
        <w:t xml:space="preserve">• Low digital competition  </w:t>
        <w:br/>
        <w:t xml:space="preserve">• Multiple revenue streams  </w:t>
        <w:br/>
        <w:t xml:space="preserve">• Regional expansion potential  </w:t>
        <w:br/>
      </w:r>
    </w:p>
    <w:p>
      <w:pPr>
        <w:pStyle w:val="Heading1"/>
        <w:jc w:val="right"/>
      </w:pPr>
      <w:r>
        <w:t>9. Government Cooperation Model</w:t>
      </w:r>
    </w:p>
    <w:p>
      <w:r>
        <w:br/>
        <w:t xml:space="preserve">• Automated customs integrations  </w:t>
        <w:br/>
        <w:t xml:space="preserve">• Real-time market insights  </w:t>
        <w:br/>
        <w:t xml:space="preserve">• Crisis-response forecasting  </w:t>
        <w:br/>
        <w:t xml:space="preserve">• Transparent bilateral trade monitoring  </w:t>
        <w:br/>
      </w:r>
    </w:p>
    <w:p>
      <w:pPr>
        <w:pStyle w:val="Heading1"/>
        <w:jc w:val="right"/>
      </w:pPr>
      <w:r>
        <w:t>10. Intellectual Property Declaration</w:t>
      </w:r>
    </w:p>
    <w:p>
      <w:r>
        <w:br/>
        <w:t>This document constitutes the official IP record for the SudEgy project.</w:t>
        <w:br/>
        <w:t>All rights reserved to the founder:</w:t>
        <w:br/>
      </w:r>
    </w:p>
    <w:p>
      <w:r>
        <w:t>SIOWFI OMER YOUSIF ELSIOWFI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