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sz w:val="22"/>
        </w:rPr>
        <w:t>idl-trigliserid</w:t>
        <w:br/>
        <w:drawing>
          <wp:inline xmlns:a="http://schemas.openxmlformats.org/drawingml/2006/main" xmlns:pic="http://schemas.openxmlformats.org/drawingml/2006/picture">
            <wp:extent cx="3584448" cy="8321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dl-trigliseri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8321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/>
          <w:sz w:val="22"/>
        </w:rPr>
        <w:t>vldl-trigliserid</w:t>
        <w:br/>
        <w:drawing>
          <wp:inline xmlns:a="http://schemas.openxmlformats.org/drawingml/2006/main" xmlns:pic="http://schemas.openxmlformats.org/drawingml/2006/picture">
            <wp:extent cx="3584448" cy="83210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ldl-trigliseri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8321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/>
          <w:sz w:val="22"/>
        </w:rPr>
        <w:t>vldl-apo-b100</w:t>
        <w:br/>
        <w:drawing>
          <wp:inline xmlns:a="http://schemas.openxmlformats.org/drawingml/2006/main" xmlns:pic="http://schemas.openxmlformats.org/drawingml/2006/picture">
            <wp:extent cx="3584448" cy="83210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ldl-apo-b10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8321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/>
          <w:sz w:val="22"/>
        </w:rPr>
        <w:t>ldl-trigliserid</w:t>
        <w:br/>
        <w:drawing>
          <wp:inline xmlns:a="http://schemas.openxmlformats.org/drawingml/2006/main" xmlns:pic="http://schemas.openxmlformats.org/drawingml/2006/picture">
            <wp:extent cx="3584448" cy="83210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dl-trigliseri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8321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/>
          <w:sz w:val="22"/>
        </w:rPr>
        <w:t>idl-apo-b100</w:t>
        <w:br/>
        <w:drawing>
          <wp:inline xmlns:a="http://schemas.openxmlformats.org/drawingml/2006/main" xmlns:pic="http://schemas.openxmlformats.org/drawingml/2006/picture">
            <wp:extent cx="3584448" cy="83210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dl-apo-b10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8321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/>
          <w:sz w:val="22"/>
        </w:rPr>
        <w:t>ldl-apo-b100</w:t>
        <w:br/>
        <w:drawing>
          <wp:inline xmlns:a="http://schemas.openxmlformats.org/drawingml/2006/main" xmlns:pic="http://schemas.openxmlformats.org/drawingml/2006/picture">
            <wp:extent cx="3584448" cy="83210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dl-apo-b10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83210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