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Executive Insight Memo</w:t>
      </w:r>
    </w:p>
    <w:p>
      <w:pPr>
        <w:spacing w:after="300"/>
        <w:jc w:val="center"/>
      </w:pPr>
      <w:r>
        <w:rPr>
          <w:color w:val="4472C4"/>
          <w:sz w:val="21"/>
          <w:szCs w:val="21"/>
        </w:rPr>
        <w:t xml:space="preserve">Sales &amp; Operations Performance — FY2025 Retail Transaction Analysis (3,000 orders)</w:t>
      </w:r>
    </w:p>
    <w:p>
      <w:pPr>
        <w:pStyle w:val="Heading1"/>
        <w:spacing w:after="120" w:before="240"/>
      </w:pPr>
      <w:r>
        <w:t xml:space="preserve">Summary</w:t>
      </w:r>
    </w:p>
    <w:p>
      <w:pPr>
        <w:spacing w:after="120"/>
      </w:pPr>
      <w:r>
        <w:rPr>
          <w:sz w:val="21"/>
          <w:szCs w:val="21"/>
        </w:rPr>
        <w:t xml:space="preserve">Analysis of FY2025 order data (3,000 transactions across 4 regions, 5 categories, and 2 channels) surfaced three actionable findings: an underperforming region with a severe delivery bottleneck, a concentration of revenue in a single product category, and a meaningful pool of revenue sitting with high-churn-risk customers. Full KPI detail and live-formula breakdowns are in the accompanying Sales &amp; Operations dashboard workbook.</w:t>
      </w:r>
    </w:p>
    <w:p>
      <w:pPr>
        <w:pStyle w:val="Heading1"/>
        <w:spacing w:after="120" w:before="240"/>
      </w:pPr>
      <w:r>
        <w:t xml:space="preserve">Key Findings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51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5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South region has a severe delivery bottleneck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47.3% of South orders are delayed beyond 5 days (avg 5.0 days) — nearly 4x North's 12.6% delay rate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Electronics drives over 60% of category revenue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Electronics: $631,820 of ~$1.0M total revenue across 866 orders — the single largest category by a wide margin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~$151K of revenue sits with high-churn-risk customers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460 orders tagged High churn risk represent $151,382 in exposed revenue with no active retention motion</w:t>
            </w:r>
          </w:p>
        </w:tc>
      </w:tr>
    </w:tbl>
    <w:p>
      <w:pPr>
        <w:pStyle w:val="Heading1"/>
        <w:spacing w:after="120" w:before="240"/>
      </w:pPr>
      <w:r>
        <w:t xml:space="preserve">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Prioritize a root-cause review of South region logistics (carrier SLAs, warehouse routing) — closing the gap to the North region's delay rate would move ~140 orders/quarter back within the 5-day target.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Protect Electronics margins and stock availability given its outsized revenue share; a stock-out or price shock here has an outsized impact on total revenue.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Launch a targeted retention outreach for the High-churn-risk segment ($151K exposure) before the next quarterly cycle, prioritizing customers with above-median order value.</w:t>
      </w:r>
    </w:p>
    <w:p>
      <w:pPr>
        <w:pStyle w:val="Heading1"/>
        <w:spacing w:after="120" w:before="240"/>
      </w:pPr>
      <w:r>
        <w:t xml:space="preserve">Suggested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Validate South region delay drivers with Warehouse and Logistics stakeholders (1-2 week discovery).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a recurring monthly refresh of the dashboard workbook to track delay-rate and churn-exposure trends.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Size the ROI of a retention campaign against the $151K at-risk revenue before committing budget.</w:t>
      </w: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Prepared by Sudesh Singh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Sales &amp; Operations Performance — Executive Memo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2026-09-08T08:45:59.886Z</dcterms:created>
  <dcterms:modified xsi:type="dcterms:W3CDTF">2026-09-08T08:45:59.887Z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