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6"/>
          <w:szCs w:val="36"/>
        </w:rPr>
        <w:t xml:space="preserve">Business Insights Memo</w:t>
      </w:r>
    </w:p>
    <w:p>
      <w:pPr>
        <w:spacing w:after="400"/>
        <w:jc w:val="center"/>
      </w:pPr>
      <w:r>
        <w:rPr>
          <w:i/>
          <w:iCs/>
          <w:sz w:val="24"/>
          <w:szCs w:val="24"/>
        </w:rPr>
        <w:t xml:space="preserve">Customer Operations KPI Analysis — Jan 2025 to Sep 2025</w:t>
      </w:r>
    </w:p>
    <w:p>
      <w:pPr>
        <w:pStyle w:val="Heading1"/>
        <w:spacing w:after="150" w:before="300"/>
      </w:pPr>
      <w:r>
        <w:t xml:space="preserve">1. Overview</w:t>
      </w:r>
    </w:p>
    <w:p>
      <w:pPr>
        <w:spacing w:after="120"/>
      </w:pPr>
      <w:r>
        <w:t xml:space="preserve">This memo summarizes findings from an analysis of 1,200 customer service tickets across four regions and four contact channels (Phone, Email, Chat, Portal), covering billing, claims, policy change, technical, complaint, and refund categories. The goal is to identify operational bottlenecks and recommend targeted actions to improve First Contact Resolution (FCR), SLA compliance, and customer satisfaction (CSAT).</w:t>
      </w:r>
    </w:p>
    <w:p>
      <w:pPr>
        <w:pStyle w:val="Heading1"/>
        <w:spacing w:after="150" w:before="300"/>
      </w:pPr>
      <w:r>
        <w:t xml:space="preserve">2. Headline KPIs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shd w:fill="1F4E78" w:val="clear"/>
          </w:tcPr>
          <w:p>
            <w:r>
              <w:rPr>
                <w:b/>
                <w:bCs/>
                <w:color w:val="FFFFFF"/>
              </w:rPr>
              <w:t xml:space="preserve">Metric</w:t>
            </w:r>
          </w:p>
        </w:tc>
        <w:tc>
          <w:tcPr>
            <w:tcW w:type="dxa" w:w="4000"/>
            <w:shd w:fill="1F4E78" w:val="clear"/>
          </w:tcPr>
          <w:p>
            <w:r>
              <w:rPr>
                <w:b/>
                <w:bCs/>
                <w:color w:val="FFFFFF"/>
              </w:rPr>
              <w:t xml:space="preserve">Value</w:t>
            </w:r>
          </w:p>
        </w:tc>
      </w:tr>
      <w:tr>
        <w:tc>
          <w:tcPr>
            <w:tcW w:type="dxa" w:w="5000"/>
          </w:tcPr>
          <w:p>
            <w:r>
              <w:rPr>
                <w:b w:val="false"/>
                <w:bCs w:val="false"/>
                <w:color w:val="000000"/>
              </w:rPr>
              <w:t xml:space="preserve">Total tickets analyzed</w:t>
            </w:r>
          </w:p>
        </w:tc>
        <w:tc>
          <w:tcPr>
            <w:tcW w:type="dxa" w:w="4000"/>
          </w:tcPr>
          <w:p>
            <w:r>
              <w:rPr>
                <w:b w:val="false"/>
                <w:bCs w:val="false"/>
                <w:color w:val="000000"/>
              </w:rPr>
              <w:t xml:space="preserve">1,200</w:t>
            </w:r>
          </w:p>
        </w:tc>
      </w:tr>
      <w:tr>
        <w:tc>
          <w:tcPr>
            <w:tcW w:type="dxa" w:w="5000"/>
          </w:tcPr>
          <w:p>
            <w:r>
              <w:rPr>
                <w:b w:val="false"/>
                <w:bCs w:val="false"/>
                <w:color w:val="000000"/>
              </w:rPr>
              <w:t xml:space="preserve">First Contact Resolution (FCR)</w:t>
            </w:r>
          </w:p>
        </w:tc>
        <w:tc>
          <w:tcPr>
            <w:tcW w:type="dxa" w:w="4000"/>
          </w:tcPr>
          <w:p>
            <w:r>
              <w:rPr>
                <w:b w:val="false"/>
                <w:bCs w:val="false"/>
                <w:color w:val="000000"/>
              </w:rPr>
              <w:t xml:space="preserve">69.0%</w:t>
            </w:r>
          </w:p>
        </w:tc>
      </w:tr>
      <w:tr>
        <w:tc>
          <w:tcPr>
            <w:tcW w:type="dxa" w:w="5000"/>
          </w:tcPr>
          <w:p>
            <w:r>
              <w:rPr>
                <w:b w:val="false"/>
                <w:bCs w:val="false"/>
                <w:color w:val="000000"/>
              </w:rPr>
              <w:t xml:space="preserve">SLA breach rate</w:t>
            </w:r>
          </w:p>
        </w:tc>
        <w:tc>
          <w:tcPr>
            <w:tcW w:type="dxa" w:w="4000"/>
          </w:tcPr>
          <w:p>
            <w:r>
              <w:rPr>
                <w:b w:val="false"/>
                <w:bCs w:val="false"/>
                <w:color w:val="000000"/>
              </w:rPr>
              <w:t xml:space="preserve">29.2%</w:t>
            </w:r>
          </w:p>
        </w:tc>
      </w:tr>
      <w:tr>
        <w:tc>
          <w:tcPr>
            <w:tcW w:type="dxa" w:w="5000"/>
          </w:tcPr>
          <w:p>
            <w:r>
              <w:rPr>
                <w:b w:val="false"/>
                <w:bCs w:val="false"/>
                <w:color w:val="000000"/>
              </w:rPr>
              <w:t xml:space="preserve">Escalation rate</w:t>
            </w:r>
          </w:p>
        </w:tc>
        <w:tc>
          <w:tcPr>
            <w:tcW w:type="dxa" w:w="4000"/>
          </w:tcPr>
          <w:p>
            <w:r>
              <w:rPr>
                <w:b w:val="false"/>
                <w:bCs w:val="false"/>
                <w:color w:val="000000"/>
              </w:rPr>
              <w:t xml:space="preserve">17.6%</w:t>
            </w:r>
          </w:p>
        </w:tc>
      </w:tr>
      <w:tr>
        <w:tc>
          <w:tcPr>
            <w:tcW w:type="dxa" w:w="5000"/>
          </w:tcPr>
          <w:p>
            <w:r>
              <w:rPr>
                <w:b w:val="false"/>
                <w:bCs w:val="false"/>
                <w:color w:val="000000"/>
              </w:rPr>
              <w:t xml:space="preserve">Average CSAT (1-5 scale)</w:t>
            </w:r>
          </w:p>
        </w:tc>
        <w:tc>
          <w:tcPr>
            <w:tcW w:type="dxa" w:w="4000"/>
          </w:tcPr>
          <w:p>
            <w:r>
              <w:rPr>
                <w:b w:val="false"/>
                <w:bCs w:val="false"/>
                <w:color w:val="000000"/>
              </w:rPr>
              <w:t xml:space="preserve">2.62</w:t>
            </w:r>
          </w:p>
        </w:tc>
      </w:tr>
      <w:tr>
        <w:tc>
          <w:tcPr>
            <w:tcW w:type="dxa" w:w="5000"/>
          </w:tcPr>
          <w:p>
            <w:r>
              <w:rPr>
                <w:b w:val="false"/>
                <w:bCs w:val="false"/>
                <w:color w:val="000000"/>
              </w:rPr>
              <w:t xml:space="preserve">Average handle time</w:t>
            </w:r>
          </w:p>
        </w:tc>
        <w:tc>
          <w:tcPr>
            <w:tcW w:type="dxa" w:w="4000"/>
          </w:tcPr>
          <w:p>
            <w:r>
              <w:rPr>
                <w:b w:val="false"/>
                <w:bCs w:val="false"/>
                <w:color w:val="000000"/>
              </w:rPr>
              <w:t xml:space="preserve">20.0 minutes</w:t>
            </w:r>
          </w:p>
        </w:tc>
      </w:tr>
    </w:tbl>
    <w:p>
      <w:pPr>
        <w:pStyle w:val="Heading1"/>
        <w:spacing w:after="150" w:before="300"/>
      </w:pPr>
      <w:r>
        <w:t xml:space="preserve">3. Key Findings</w:t>
      </w:r>
    </w:p>
    <w:p>
      <w:pPr>
        <w:pStyle w:val="Heading2"/>
        <w:spacing w:after="100" w:before="200"/>
      </w:pPr>
      <w:r>
        <w:t xml:space="preserve">Finding 1: Escalations spike sharply on Mondays</w:t>
      </w:r>
    </w:p>
    <w:p>
      <w:pPr>
        <w:spacing w:after="120"/>
      </w:pPr>
      <w:r>
        <w:t xml:space="preserve">Monday tickets escalate at 29.6%, roughly 1.6x to 3x the rate of every other day (Thursday is lowest at 9.2%). This pattern is consistent with weekend backlog — tickets that accumulate over the weekend arrive with less context and tighter perceived urgency, increasing the chance of escalation.</w:t>
      </w:r>
    </w:p>
    <w:p>
      <w:pPr>
        <w:spacing w:after="120"/>
      </w:pPr>
      <w:r>
        <w:t xml:space="preserve">Recommendation: Reallocate 1-2 additional senior agents to Monday morning shifts, and consider a lightweight "weekend digest" process so Monday agents start with pre-triaged context rather than a cold backlog.</w:t>
      </w:r>
    </w:p>
    <w:p>
      <w:pPr>
        <w:pStyle w:val="Heading2"/>
        <w:spacing w:after="100" w:before="200"/>
      </w:pPr>
      <w:r>
        <w:t xml:space="preserve">Finding 2: Policy Change and Refund Request categories drive the most SLA breaches</w:t>
      </w:r>
    </w:p>
    <w:p>
      <w:pPr>
        <w:spacing w:after="120"/>
      </w:pPr>
      <w:r>
        <w:t xml:space="preserve">Policy Change tickets breach SLA 35.8% of the time and Refund Requests 31.6%, both above the 29.2% overall average. Both categories often require cross-team sign-off (underwriting or finance), which likely explains the delay.</w:t>
      </w:r>
    </w:p>
    <w:p>
      <w:pPr>
        <w:spacing w:after="120"/>
      </w:pPr>
      <w:r>
        <w:t xml:space="preserve">Recommendation: Introduce a fast-track sub-queue for low-complexity Policy Change and Refund requests that don't require cross-team approval, so they aren't held to the same SLA path as complex cases.</w:t>
      </w:r>
    </w:p>
    <w:p>
      <w:pPr>
        <w:pStyle w:val="Heading2"/>
        <w:spacing w:after="100" w:before="200"/>
      </w:pPr>
      <w:r>
        <w:t xml:space="preserve">Finding 3: Technical Issues and Complaints have the lowest First Contact Resolution</w:t>
      </w:r>
    </w:p>
    <w:p>
      <w:pPr>
        <w:spacing w:after="120"/>
      </w:pPr>
      <w:r>
        <w:t xml:space="preserve">FCR for Technical Issue tickets is 51.3% and for Complaints 56.0%, both well below the 69% overall average and far below Billing (77.8%) and Claim Status (77.3%). These two categories are the biggest drag on overall FCR.</w:t>
      </w:r>
    </w:p>
    <w:p>
      <w:pPr>
        <w:spacing w:after="120"/>
      </w:pPr>
      <w:r>
        <w:t xml:space="preserve">Recommendation: Build a Technical Issue knowledge-base/decision-tree for frontline agents to reduce hand-offs, and route Complaints to agents with complaint-handling training rather than general queue assignment.</w:t>
      </w:r>
    </w:p>
    <w:p>
      <w:pPr>
        <w:pStyle w:val="Heading2"/>
        <w:spacing w:after="100" w:before="200"/>
      </w:pPr>
      <w:r>
        <w:t xml:space="preserve">Finding 4: Email is the slowest channel by a wide margin</w:t>
      </w:r>
    </w:p>
    <w:p>
      <w:pPr>
        <w:spacing w:after="120"/>
      </w:pPr>
      <w:r>
        <w:t xml:space="preserve">Average handle time by channel: Email 30.7 minutes, Portal 21.1 minutes, Phone 17.3 minutes, Chat 14.9 minutes. Email tickets take roughly double the time of Chat tickets, likely due to back-and-forth clarification delays inherent to asynchronous email threads.</w:t>
      </w:r>
    </w:p>
    <w:p>
      <w:pPr>
        <w:spacing w:after="120"/>
      </w:pPr>
      <w:r>
        <w:t xml:space="preserve">Recommendation: Migrate simple/high-volume request types (status checks, document requests) from Email to Chat or Portal self-service, reserving Email for complex, documentation-heavy cases.</w:t>
      </w:r>
    </w:p>
    <w:p>
      <w:pPr>
        <w:pStyle w:val="Heading2"/>
        <w:spacing w:after="100" w:before="200"/>
      </w:pPr>
      <w:r>
        <w:t xml:space="preserve">Finding 5: A small group of agents accounts for disproportionately low FCR</w:t>
      </w:r>
    </w:p>
    <w:p>
      <w:pPr>
        <w:spacing w:after="120"/>
      </w:pPr>
      <w:r>
        <w:t xml:space="preserve">Among agents with 20+ tickets handled, the bottom 5 (of 25 total) have FCR between 60.9% and 63.4%, notably below the 69% team average.</w:t>
      </w:r>
    </w:p>
    <w:p>
      <w:pPr>
        <w:spacing w:after="120"/>
      </w:pPr>
      <w:r>
        <w:t xml:space="preserve">Recommendation: Pair bottom-quartile agents with top performers for shadowing sessions on the categories driving their lowest resolution rates (see Agent Performance tab in the dashboard for the full ranked list).</w:t>
      </w:r>
    </w:p>
    <w:p>
      <w:pPr>
        <w:pStyle w:val="Heading1"/>
        <w:spacing w:after="150" w:before="300"/>
      </w:pPr>
      <w:r>
        <w:t xml:space="preserve">4. Regional Note</w:t>
      </w:r>
    </w:p>
    <w:p>
      <w:pPr>
        <w:spacing w:after="120"/>
      </w:pPr>
      <w:r>
        <w:t xml:space="preserve">CSAT is lowest in the East region (2.49) and highest in the North (2.72). The gap is modest but consistent across the period, and worth a follow-up review of regional staffing or category mix rather than an immediate action item.</w:t>
      </w:r>
    </w:p>
    <w:p>
      <w:pPr>
        <w:pStyle w:val="Heading1"/>
        <w:spacing w:after="150" w:before="300"/>
      </w:pPr>
      <w:r>
        <w:t xml:space="preserve">5. Suggested Next Steps</w:t>
      </w:r>
    </w:p>
    <w:p>
      <w:pPr>
        <w:pStyle w:val="ListParagraph"/>
        <w:numPr>
          <w:ilvl w:val="0"/>
          <w:numId w:val="1"/>
        </w:numPr>
        <w:spacing w:after="60"/>
      </w:pPr>
      <w:r>
        <w:t xml:space="preserve">Pilot the Monday staffing adjustment for one month and measure escalation rate before/after.</w:t>
      </w:r>
    </w:p>
    <w:p>
      <w:pPr>
        <w:pStyle w:val="ListParagraph"/>
        <w:numPr>
          <w:ilvl w:val="0"/>
          <w:numId w:val="1"/>
        </w:numPr>
        <w:spacing w:after="60"/>
      </w:pPr>
      <w:r>
        <w:t xml:space="preserve">Stand up a fast-track sub-queue for low-complexity Policy Change/Refund tickets.</w:t>
      </w:r>
    </w:p>
    <w:p>
      <w:pPr>
        <w:pStyle w:val="ListParagraph"/>
        <w:numPr>
          <w:ilvl w:val="0"/>
          <w:numId w:val="1"/>
        </w:numPr>
        <w:spacing w:after="60"/>
      </w:pPr>
      <w:r>
        <w:t xml:space="preserve">Build/refresh the Technical Issue knowledge base with the top 10 recurring issue types.</w:t>
      </w:r>
    </w:p>
    <w:p>
      <w:pPr>
        <w:pStyle w:val="ListParagraph"/>
        <w:numPr>
          <w:ilvl w:val="0"/>
          <w:numId w:val="1"/>
        </w:numPr>
        <w:spacing w:after="60"/>
      </w:pPr>
      <w:r>
        <w:t xml:space="preserve">Run coaching sessions for the 5 lowest-FCR agents, focused on Technical Issue and Complaint handling.</w:t>
      </w:r>
    </w:p>
    <w:p>
      <w:pPr>
        <w:pStyle w:val="ListParagraph"/>
        <w:numPr>
          <w:ilvl w:val="0"/>
          <w:numId w:val="1"/>
        </w:numPr>
        <w:spacing w:after="60"/>
      </w:pPr>
      <w:r>
        <w:t xml:space="preserve">Re-measure all KPIs after 60 days to quantify impact.</w:t>
      </w:r>
    </w:p>
    <w:p>
      <w:pPr>
        <w:pStyle w:val="Heading1"/>
        <w:spacing w:after="150" w:before="300"/>
      </w:pPr>
      <w:r>
        <w:t xml:space="preserve">6. Supporting Materials</w:t>
      </w:r>
    </w:p>
    <w:p>
      <w:pPr>
        <w:spacing w:after="120"/>
      </w:pPr>
      <w:r>
        <w:t xml:space="preserve">Full ticket-level data, pivot tables, and interactive charts are available in the accompanying Excel workbook (Customer_Ops_Dashboard.xlsx). SQL queries used for this analysis are provided in analysis_queries.sql for reproducibility.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2026-09-15T10:31:39.962Z</dcterms:created>
  <dcterms:modified xsi:type="dcterms:W3CDTF">2026-09-15T10:31:39.962Z</dcterms:modified>
</cp:coreProperties>
</file>

<file path=docProps/custom.xml><?xml version="1.0" encoding="utf-8"?>
<Properties xmlns="http://schemas.openxmlformats.org/officeDocument/2006/custom-properties" xmlns:vt="http://schemas.openxmlformats.org/officeDocument/2006/docPropsVTypes"/>
</file>