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E-COMMERCE SALES DATA ANALYSIS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Data Cleaning (Python/Pandas) • Business Analysis (SQL) • Dashboard (Power BI)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project performs an end-to-end analysis of a messy e-commerce sales dataset containing 13,150 raw order records. The workflow covers three stages: cleaning the raw data with Python (Pandas), running business-focused SQL queries on the cleaned data (MySQL), and building an interactive Power BI dashboard for visual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(Pandas)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cleaned_sales_data.csv (12,500 rows)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Analysis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(MySQL Workbench)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analytical queries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6-visual interactive dashboard</w:t>
            </w:r>
          </w:p>
        </w:tc>
      </w:tr>
    </w:tbl>
    <w:p>
      <w:pPr>
        <w:pStyle w:val="Heading1"/>
        <w:spacing w:after="150" w:before="300"/>
      </w:pPr>
      <w:r>
        <w:t xml:space="preserve">2. Data Cleaning Summary (Pandas)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Raw dataset: 13,150 rows, 18 columns. Cleaned dataset: 12,500 rows, 20 columns.</w:t>
      </w:r>
    </w:p>
    <w:p>
      <w:pPr>
        <w:pStyle w:val="Heading2"/>
        <w:spacing w:after="100" w:before="240"/>
      </w:pPr>
      <w:r>
        <w:t xml:space="preserve">2.1 Issues Identified and Fixed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Whitespace and inconsistent null tokens ("N/A", "None", blanks) standardized across all text columns.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650 duplicate OrderID rows removed.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Inconsistent casing fixed in Category, PaymentMethod, OrderStatus, ShippingCity, and CustomerName (e.g. "FASHION", "fashion", "Fashion" unified to "Fashion").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Mixed date formats (DD-MMM-YY, MM-DD-YYYY, DD-MM-YYYY with time) parsed into a single datetime format.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2,141 ShipDate values that were chronologically before OrderDate were nulled as invalid.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and zero Quantity values corrected; 1,236 DiscountPercent values above 100% (invalid) nulled.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 UnitPrice imputed using the product-level median (falling back to the overall median); missing Quantity and DiscountPercent imputed with the overall median.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TotalAmount recalculated for every row using: Quantity × UnitPrice × (1 − Discount/100).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Broken email addresses missing the "@" symbol repaired where the domain was identifiable.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Remaining missing categorical values labeled "Unknown" rather than left blank, to keep them visible in reporting.</w:t>
      </w:r>
    </w:p>
    <w:p>
      <w:pPr>
        <w:pStyle w:val="Heading2"/>
        <w:spacing w:after="100" w:before="240"/>
      </w:pPr>
      <w:r>
        <w:t xml:space="preserve">2.2 Residual Missing Values (left as genuinely unknown)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rows</w:t>
            </w:r>
          </w:p>
        </w:tc>
        <w:tc>
          <w:tcPr>
            <w:tcW w:type="dxa" w:w="506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 kept as missing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233</w:t>
            </w:r>
          </w:p>
        </w:tc>
        <w:tc>
          <w:tcPr>
            <w:tcW w:type="dxa" w:w="5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reliable way to infer identity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757</w:t>
            </w:r>
          </w:p>
        </w:tc>
        <w:tc>
          <w:tcPr>
            <w:tcW w:type="dxa" w:w="5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provided by customer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OrderDate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491</w:t>
            </w:r>
          </w:p>
        </w:tc>
        <w:tc>
          <w:tcPr>
            <w:tcW w:type="dxa" w:w="5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Blank in source data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ShipDate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4,070</w:t>
            </w:r>
          </w:p>
        </w:tc>
        <w:tc>
          <w:tcPr>
            <w:tcW w:type="dxa" w:w="5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yet shipped / invalid original value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CustomerRating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3,069</w:t>
            </w:r>
          </w:p>
        </w:tc>
        <w:tc>
          <w:tcPr>
            <w:tcW w:type="dxa" w:w="5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Rating is optional; not submitted</w:t>
            </w:r>
          </w:p>
        </w:tc>
      </w:tr>
    </w:tbl>
    <w:p>
      <w:pPr>
        <w:pStyle w:val="Heading1"/>
        <w:spacing w:after="150" w:before="300"/>
      </w:pPr>
      <w:r>
        <w:t xml:space="preserve">3. SQL Business Analysis — Key Findings</w:t>
      </w:r>
    </w:p>
    <w:p>
      <w:pPr>
        <w:pStyle w:val="Heading2"/>
        <w:spacing w:after="100" w:before="240"/>
      </w:pPr>
      <w:r>
        <w:t xml:space="preserve">3.1 Overall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12,500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₹36,94,21,002.20 (~₹369.4M)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₹29,553.68</w:t>
            </w:r>
          </w:p>
        </w:tc>
      </w:tr>
    </w:tbl>
    <w:p>
      <w:pPr>
        <w:pStyle w:val="Heading2"/>
        <w:spacing w:after="100" w:before="240"/>
      </w:pPr>
      <w:r>
        <w:t xml:space="preserve">3.2 Revenue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336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Fashion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1,735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₹5,28,79,791.63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Sports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1,731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₹5,24,83,393.72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 &amp; Kitchen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1,710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₹5,19,53,593.62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Beauty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1,680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₹5,05,43,262.33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1,734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₹5,02,47,757.65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1,770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₹5,00,95,073.30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Toys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1,753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₹5,00,52,255.78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Revenue is fairly evenly distributed across categories (each around ₹50M), with Fashion narrowly leading.</w:t>
      </w:r>
    </w:p>
    <w:p>
      <w:pPr>
        <w:pStyle w:val="Heading2"/>
        <w:spacing w:after="100" w:before="240"/>
      </w:pPr>
      <w:r>
        <w:t xml:space="preserve">3.3 Order Status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336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2,445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19.56%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2,413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19.30%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1,698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13.58%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Shipped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1,633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13.06%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1,601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12.81%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1,583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12.66%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Transit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767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6.14%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2.88%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Combined Cancelled + Returned orders account for roughly 32% of all orders — a significant operational concern worth investigating further (see Recommendations).</w:t>
      </w:r>
    </w:p>
    <w:p>
      <w:pPr>
        <w:pStyle w:val="Heading2"/>
        <w:spacing w:after="100" w:before="240"/>
      </w:pPr>
      <w:r>
        <w:t xml:space="preserve">3.4 Top Products by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Units Sold</w:t>
            </w:r>
          </w:p>
        </w:tc>
        <w:tc>
          <w:tcPr>
            <w:tcW w:type="dxa" w:w="336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Shoes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568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₹63,30,157.73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Cricket Bat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575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₹60,83,456.74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Wireless Mouse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569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₹60,04,724.63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Doll House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556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₹59,09,764.61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Sports Cap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556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₹59,03,419.60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Science Book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529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₹58,72,374.50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Bluetooth Headphones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537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₹57,88,127.61</w:t>
            </w:r>
          </w:p>
        </w:tc>
      </w:tr>
    </w:tbl>
    <w:p>
      <w:pPr>
        <w:pStyle w:val="Heading2"/>
        <w:spacing w:after="100" w:before="240"/>
      </w:pPr>
      <w:r>
        <w:t xml:space="preserve">3.5 Revenue by Country (Top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336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4,721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₹13,54,63,071.61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2,410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₹7,09,77,623.20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Canada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954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₹2,89,68,762.34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UK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941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₹2,75,22,333.45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Singapore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511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₹1,53,67,388.23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India contributes the largest share of both orders and revenue, followed distantly by the USA.</w:t>
      </w:r>
    </w:p>
    <w:p>
      <w:pPr>
        <w:pStyle w:val="Heading2"/>
        <w:spacing w:after="100" w:before="240"/>
      </w:pPr>
      <w:r>
        <w:t xml:space="preserve">3.6 Payment Method Preference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336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 on Delivery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2,226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₹6,58,55,789.89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 Banking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1,504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₹4,61,65,313.14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Wallet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1,539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₹4,45,73,834.34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1,485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₹4,44,55,453.34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Debit Card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1,450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₹4,40,75,363.33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1,490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₹4,28,79,272.65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PayPal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1,438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₹4,23,17,610.92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Cash on Delivery remains the most-used payment method, ahead of digital options.</w:t>
      </w:r>
    </w:p>
    <w:p>
      <w:pPr>
        <w:pStyle w:val="Heading1"/>
        <w:spacing w:after="150" w:before="300"/>
      </w:pPr>
      <w:r>
        <w:t xml:space="preserve">4. Power BI Dashboard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 interactive dashboard was built in Power BI Desktop, combining the same insights into a single visual page. It includes: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 Card — Total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 Chart — Revenue by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Pie Chart — Order Status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 Chart — Monthly Revenue Trend (2022–2024)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Donut Chart — Revenue by Payment Method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Horizontal Bar Chart — Top Products by Revenue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dashboard allows interactive filtering and cross-highlighting between visuals, letting a business user drill into any category, time period, or payment method.</w:t>
      </w:r>
    </w:p>
    <w:p>
      <w:pPr>
        <w:pStyle w:val="Heading1"/>
        <w:spacing w:after="150" w:before="300"/>
      </w:pPr>
      <w:r>
        <w:t xml:space="preserve">5. Key Insights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is broadly balanced across product categories — no single category dominates, suggesting a diversified catalog.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Nearly 1 in 3 orders end in cancellation or return, which is high and merits root-cause investigation (e.g. product quality, delivery delays, or COD non-payment).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is the primary market by both order volume and revenue, followed by the USA.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on Delivery is the leading payment method, which may correlate with the high cancellation rate seen above.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revenue is relatively stable over the 2022–2024 period, without a strong seasonal spike.</w:t>
      </w:r>
    </w:p>
    <w:p>
      <w:pPr>
        <w:pStyle w:val="Heading1"/>
        <w:spacing w:after="150" w:before="300"/>
      </w:pPr>
      <w:r>
        <w:t xml:space="preserve">6.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Investigate the drivers behind the ~19% cancellation rate, especially for Cash on Delivery orders, which typically carry higher non-fulfillment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Encourage digital payment adoption (UPI, Wallet) through incentives, which may reduce cancellation/return rates.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Since revenue is evenly spread across categories, consider category-specific promotions to identify which has the highest growth potential.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Improve data capture at the source (CustomerID, Email, OrderDate) to reduce the ~4% of records with missing identifiers.</w:t>
      </w:r>
    </w:p>
    <w:p>
      <w:pPr>
        <w:pStyle w:val="Heading1"/>
        <w:spacing w:after="150" w:before="300"/>
      </w:pPr>
      <w:r>
        <w:t xml:space="preserve">7. Files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cleaned_sales_data.csv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cleaned dataset (12,500 rows)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01_clean_data.py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Pandas cleaning script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sql_queries.sql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SQL business analysis queries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sql_results.txt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of all SQL queries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Ecommerce_Sales_Dashboard.pbix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 dashboard file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2026-09-14T07:47:35.267Z</dcterms:created>
  <dcterms:modified xsi:type="dcterms:W3CDTF">2026-09-14T07:47:35.279Z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