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Sudhanshu Ranjan - Car Price Prediction Report</w:t>
      </w:r>
    </w:p>
    <w:p>
      <w:r>
        <w:t>Analysis of the 2021 car specification dataset and a Random Forest price predictor.</w:t>
      </w:r>
    </w:p>
    <w:p>
      <w:pPr>
        <w:pStyle w:val="Heading1"/>
      </w:pPr>
      <w:r>
        <w:t>Dataset and preparation</w:t>
      </w:r>
    </w:p>
    <w:p>
      <w:r>
        <w:t>Source file: cars_ds_final_2021.csv. After selecting the modeling fields and converting units embedded in text, the analysis contains 1,267 usable rows and 26 input features.</w:t>
      </w:r>
    </w:p>
    <w:p>
      <w:r>
        <w:t>Dataset source: Indian Cars Dataset on Kaggle - https://www.kaggle.com/datasets/medhekarabhinav5/indian-cars-dataset?select=cars_ds_final_2021.csv</w:t>
      </w:r>
    </w:p>
    <w:p>
      <w:r>
        <w:t>Missing numeric values are imputed with medians and categorical values with the most frequent category. Categorical specifications are one-hot encoded and unknown categories are accepted at prediction time.</w:t>
      </w:r>
    </w:p>
    <w:p>
      <w:pPr>
        <w:pStyle w:val="Heading1"/>
      </w:pPr>
      <w:r>
        <w:t>Model results</w:t>
      </w:r>
    </w:p>
    <w:p>
      <w:r>
        <w:t>The original exploratory notebook compared Random Forest with a Linear Regression baseline using the same train/test split and processed features. Its reported results are shown below.</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Notebook comparison</w:t>
            </w:r>
          </w:p>
        </w:tc>
      </w:tr>
      <w:tr>
        <w:tc>
          <w:tcPr>
            <w:tcW w:type="dxa" w:w="4320"/>
          </w:tcPr>
          <w:p>
            <w:r>
              <w:t>Random Forest MAE</w:t>
            </w:r>
          </w:p>
        </w:tc>
        <w:tc>
          <w:tcPr>
            <w:tcW w:type="dxa" w:w="4320"/>
          </w:tcPr>
          <w:p>
            <w:r>
              <w:t>149,663.3237</w:t>
            </w:r>
          </w:p>
        </w:tc>
      </w:tr>
      <w:tr>
        <w:tc>
          <w:tcPr>
            <w:tcW w:type="dxa" w:w="4320"/>
          </w:tcPr>
          <w:p>
            <w:r>
              <w:t>Random Forest RMSE</w:t>
            </w:r>
          </w:p>
        </w:tc>
        <w:tc>
          <w:tcPr>
            <w:tcW w:type="dxa" w:w="4320"/>
          </w:tcPr>
          <w:p>
            <w:r>
              <w:t>320,467.4241</w:t>
            </w:r>
          </w:p>
        </w:tc>
      </w:tr>
      <w:tr>
        <w:tc>
          <w:tcPr>
            <w:tcW w:type="dxa" w:w="4320"/>
          </w:tcPr>
          <w:p>
            <w:r>
              <w:t>Random Forest MAPE (%)</w:t>
            </w:r>
          </w:p>
        </w:tc>
        <w:tc>
          <w:tcPr>
            <w:tcW w:type="dxa" w:w="4320"/>
          </w:tcPr>
          <w:p>
            <w:r>
              <w:t>8.4870</w:t>
            </w:r>
          </w:p>
        </w:tc>
      </w:tr>
      <w:tr>
        <w:tc>
          <w:tcPr>
            <w:tcW w:type="dxa" w:w="4320"/>
          </w:tcPr>
          <w:p>
            <w:r>
              <w:t>Random Forest R2</w:t>
            </w:r>
          </w:p>
        </w:tc>
        <w:tc>
          <w:tcPr>
            <w:tcW w:type="dxa" w:w="4320"/>
          </w:tcPr>
          <w:p>
            <w:r>
              <w:t>0.9788</w:t>
            </w:r>
          </w:p>
        </w:tc>
      </w:tr>
      <w:tr>
        <w:tc>
          <w:tcPr>
            <w:tcW w:type="dxa" w:w="4320"/>
          </w:tcPr>
          <w:p>
            <w:r>
              <w:t>Linear Regression MAE</w:t>
            </w:r>
          </w:p>
        </w:tc>
        <w:tc>
          <w:tcPr>
            <w:tcW w:type="dxa" w:w="4320"/>
          </w:tcPr>
          <w:p>
            <w:r>
              <w:t>238,985.0604</w:t>
            </w:r>
          </w:p>
        </w:tc>
      </w:tr>
      <w:tr>
        <w:tc>
          <w:tcPr>
            <w:tcW w:type="dxa" w:w="4320"/>
          </w:tcPr>
          <w:p>
            <w:r>
              <w:t>Linear Regression RMSE</w:t>
            </w:r>
          </w:p>
        </w:tc>
        <w:tc>
          <w:tcPr>
            <w:tcW w:type="dxa" w:w="4320"/>
          </w:tcPr>
          <w:p>
            <w:r>
              <w:t>388,509.8840</w:t>
            </w:r>
          </w:p>
        </w:tc>
      </w:tr>
      <w:tr>
        <w:tc>
          <w:tcPr>
            <w:tcW w:type="dxa" w:w="4320"/>
          </w:tcPr>
          <w:p>
            <w:r>
              <w:t>Linear Regression MAPE (%)</w:t>
            </w:r>
          </w:p>
        </w:tc>
        <w:tc>
          <w:tcPr>
            <w:tcW w:type="dxa" w:w="4320"/>
          </w:tcPr>
          <w:p>
            <w:r>
              <w:t>12.3905</w:t>
            </w:r>
          </w:p>
        </w:tc>
      </w:tr>
      <w:tr>
        <w:tc>
          <w:tcPr>
            <w:tcW w:type="dxa" w:w="4320"/>
          </w:tcPr>
          <w:p>
            <w:r>
              <w:t>Linear Regression R2</w:t>
            </w:r>
          </w:p>
        </w:tc>
        <w:tc>
          <w:tcPr>
            <w:tcW w:type="dxa" w:w="4320"/>
          </w:tcPr>
          <w:p>
            <w:r>
              <w:t>0.9688</w:t>
            </w:r>
          </w:p>
        </w:tc>
      </w:tr>
    </w:tbl>
    <w:p>
      <w:r>
        <w:t>The notebook results round to R2 = 0.97 for Random Forest and R2 = 0.96 for Linear Regression. The saved API model is trained by the reusable pipeline and may produce different metrics because its preprocessing configuration is separate from the original notebook experiment.</w:t>
      </w:r>
    </w:p>
    <w:p>
      <w:r>
        <w:drawing>
          <wp:inline xmlns:a="http://schemas.openxmlformats.org/drawingml/2006/main" xmlns:pic="http://schemas.openxmlformats.org/drawingml/2006/picture">
            <wp:extent cx="5760720" cy="3571373"/>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5760720" cy="3571373"/>
                    </a:xfrm>
                    <a:prstGeom prst="rect"/>
                  </pic:spPr>
                </pic:pic>
              </a:graphicData>
            </a:graphic>
          </wp:inline>
        </w:drawing>
      </w:r>
    </w:p>
    <w:p>
      <w:pPr>
        <w:pStyle w:val="Heading1"/>
      </w:pPr>
      <w:r>
        <w:t>Interpretation</w:t>
      </w:r>
    </w:p>
    <w:p>
      <w:r>
        <w:t>The model is intended as an estimate, not a valuation guarantee. Errors can be larger for rare luxury vehicles because the target price spans a wide range. A future version could compare gradient boosting, logarithmic target transformation, and cross-validation.</w:t>
      </w:r>
    </w:p>
    <w:p>
      <w:pPr>
        <w:pStyle w:val="Heading1"/>
      </w:pPr>
      <w:r>
        <w:t>Application dashboard</w:t>
      </w:r>
    </w:p>
    <w:p>
      <w:r>
        <w:t>The project includes a Streamlit dashboard named Indian Cars Intelligence. It presents the analysis as an interactive application instead of requiring the user to inspect notebook cells manually.</w:t>
      </w:r>
    </w:p>
    <w:p>
      <w:pPr>
        <w:pStyle w:val="Heading2"/>
      </w:pPr>
      <w:r>
        <w:t>Application screenshots</w:t>
      </w:r>
    </w:p>
    <w:p>
      <w:r>
        <w:t>The following screenshots show the live dashboard interface used for the project.</w:t>
      </w:r>
    </w:p>
    <w:p>
      <w:pPr>
        <w:pStyle w:val="Heading2"/>
      </w:pPr>
      <w:r>
        <w:t>Live dashboard overview</w:t>
      </w:r>
    </w:p>
    <w:p>
      <w:r>
        <w:drawing>
          <wp:inline xmlns:a="http://schemas.openxmlformats.org/drawingml/2006/main" xmlns:pic="http://schemas.openxmlformats.org/drawingml/2006/picture">
            <wp:extent cx="5760720" cy="5360242"/>
            <wp:docPr id="2" name="Picture 2"/>
            <wp:cNvGraphicFramePr>
              <a:graphicFrameLocks noChangeAspect="1"/>
            </wp:cNvGraphicFramePr>
            <a:graphic>
              <a:graphicData uri="http://schemas.openxmlformats.org/drawingml/2006/picture">
                <pic:pic>
                  <pic:nvPicPr>
                    <pic:cNvPr id="0" name="application_overview.png"/>
                    <pic:cNvPicPr/>
                  </pic:nvPicPr>
                  <pic:blipFill>
                    <a:blip r:embed="rId10"/>
                    <a:stretch>
                      <a:fillRect/>
                    </a:stretch>
                  </pic:blipFill>
                  <pic:spPr>
                    <a:xfrm>
                      <a:off x="0" y="0"/>
                      <a:ext cx="5760720" cy="5360242"/>
                    </a:xfrm>
                    <a:prstGeom prst="rect"/>
                  </pic:spPr>
                </pic:pic>
              </a:graphicData>
            </a:graphic>
          </wp:inline>
        </w:drawing>
      </w:r>
    </w:p>
    <w:p>
      <w:pPr>
        <w:pStyle w:val="Heading2"/>
      </w:pPr>
      <w:r>
        <w:t>Live market explorer</w:t>
      </w:r>
    </w:p>
    <w:p>
      <w:r>
        <w:drawing>
          <wp:inline xmlns:a="http://schemas.openxmlformats.org/drawingml/2006/main" xmlns:pic="http://schemas.openxmlformats.org/drawingml/2006/picture">
            <wp:extent cx="5760720" cy="5360242"/>
            <wp:docPr id="3" name="Picture 3"/>
            <wp:cNvGraphicFramePr>
              <a:graphicFrameLocks noChangeAspect="1"/>
            </wp:cNvGraphicFramePr>
            <a:graphic>
              <a:graphicData uri="http://schemas.openxmlformats.org/drawingml/2006/picture">
                <pic:pic>
                  <pic:nvPicPr>
                    <pic:cNvPr id="0" name="application_market_explorer.png"/>
                    <pic:cNvPicPr/>
                  </pic:nvPicPr>
                  <pic:blipFill>
                    <a:blip r:embed="rId11"/>
                    <a:stretch>
                      <a:fillRect/>
                    </a:stretch>
                  </pic:blipFill>
                  <pic:spPr>
                    <a:xfrm>
                      <a:off x="0" y="0"/>
                      <a:ext cx="5760720" cy="5360242"/>
                    </a:xfrm>
                    <a:prstGeom prst="rect"/>
                  </pic:spPr>
                </pic:pic>
              </a:graphicData>
            </a:graphic>
          </wp:inline>
        </w:drawing>
      </w:r>
    </w:p>
    <w:p>
      <w:pPr>
        <w:pStyle w:val="Heading2"/>
      </w:pPr>
      <w:r>
        <w:t>Live price predictor</w:t>
      </w:r>
    </w:p>
    <w:p>
      <w:r>
        <w:drawing>
          <wp:inline xmlns:a="http://schemas.openxmlformats.org/drawingml/2006/main" xmlns:pic="http://schemas.openxmlformats.org/drawingml/2006/picture">
            <wp:extent cx="5760720" cy="5360242"/>
            <wp:docPr id="4" name="Picture 4"/>
            <wp:cNvGraphicFramePr>
              <a:graphicFrameLocks noChangeAspect="1"/>
            </wp:cNvGraphicFramePr>
            <a:graphic>
              <a:graphicData uri="http://schemas.openxmlformats.org/drawingml/2006/picture">
                <pic:pic>
                  <pic:nvPicPr>
                    <pic:cNvPr id="0" name="application_predictor.png"/>
                    <pic:cNvPicPr/>
                  </pic:nvPicPr>
                  <pic:blipFill>
                    <a:blip r:embed="rId12"/>
                    <a:stretch>
                      <a:fillRect/>
                    </a:stretch>
                  </pic:blipFill>
                  <pic:spPr>
                    <a:xfrm>
                      <a:off x="0" y="0"/>
                      <a:ext cx="5760720" cy="5360242"/>
                    </a:xfrm>
                    <a:prstGeom prst="rect"/>
                  </pic:spPr>
                </pic:pic>
              </a:graphicData>
            </a:graphic>
          </wp:inline>
        </w:drawing>
      </w:r>
    </w:p>
    <w:p>
      <w:pPr>
        <w:pStyle w:val="Heading2"/>
      </w:pPr>
      <w:r>
        <w:t>Overview screen</w:t>
      </w:r>
    </w:p>
    <w:p>
      <w:r>
        <w:t>The Overview screen gives a quick market snapshot: 1,267 cars analyzed, brand coverage, median ex-showroom price, the official notebook Random Forest R2 score, price distribution, leading brands by number of listings, and model-quality metrics.</w:t>
      </w:r>
    </w:p>
    <w:p>
      <w:pPr>
        <w:pStyle w:val="Heading2"/>
      </w:pPr>
      <w:r>
        <w:t>Dashboard overview: price distribution</w:t>
      </w:r>
    </w:p>
    <w:p>
      <w:r>
        <w:drawing>
          <wp:inline xmlns:a="http://schemas.openxmlformats.org/drawingml/2006/main" xmlns:pic="http://schemas.openxmlformats.org/drawingml/2006/picture">
            <wp:extent cx="5760720" cy="3574203"/>
            <wp:docPr id="5" name="Picture 5"/>
            <wp:cNvGraphicFramePr>
              <a:graphicFrameLocks noChangeAspect="1"/>
            </wp:cNvGraphicFramePr>
            <a:graphic>
              <a:graphicData uri="http://schemas.openxmlformats.org/drawingml/2006/picture">
                <pic:pic>
                  <pic:nvPicPr>
                    <pic:cNvPr id="0" name="price_distribution.png"/>
                    <pic:cNvPicPr/>
                  </pic:nvPicPr>
                  <pic:blipFill>
                    <a:blip r:embed="rId13"/>
                    <a:stretch>
                      <a:fillRect/>
                    </a:stretch>
                  </pic:blipFill>
                  <pic:spPr>
                    <a:xfrm>
                      <a:off x="0" y="0"/>
                      <a:ext cx="5760720" cy="3574203"/>
                    </a:xfrm>
                    <a:prstGeom prst="rect"/>
                  </pic:spPr>
                </pic:pic>
              </a:graphicData>
            </a:graphic>
          </wp:inline>
        </w:drawing>
      </w:r>
    </w:p>
    <w:p>
      <w:pPr>
        <w:pStyle w:val="Heading2"/>
      </w:pPr>
      <w:r>
        <w:t>Dashboard overview: model comparison</w:t>
      </w:r>
    </w:p>
    <w:p>
      <w:r>
        <w:drawing>
          <wp:inline xmlns:a="http://schemas.openxmlformats.org/drawingml/2006/main" xmlns:pic="http://schemas.openxmlformats.org/drawingml/2006/picture">
            <wp:extent cx="5760720" cy="3571373"/>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760720" cy="3571373"/>
                    </a:xfrm>
                    <a:prstGeom prst="rect"/>
                  </pic:spPr>
                </pic:pic>
              </a:graphicData>
            </a:graphic>
          </wp:inline>
        </w:drawing>
      </w:r>
    </w:p>
    <w:p>
      <w:pPr>
        <w:pStyle w:val="Heading2"/>
      </w:pPr>
      <w:r>
        <w:t>Market Explorer screen</w:t>
      </w:r>
    </w:p>
    <w:p>
      <w:r>
        <w:t>The Market Explorer screen provides filters for brand, body type, and fuel type. It shows median price by body type, the relationship between engine displacement and price, and a table of the highest-priced listings in the selected segment. Missing brand values are shown as Not specified rather than None.</w:t>
      </w:r>
    </w:p>
    <w:p>
      <w:pPr>
        <w:pStyle w:val="Heading2"/>
      </w:pPr>
      <w:r>
        <w:t>Market Explorer evidence: feature relationships</w:t>
      </w:r>
    </w:p>
    <w:p>
      <w:r>
        <w:drawing>
          <wp:inline xmlns:a="http://schemas.openxmlformats.org/drawingml/2006/main" xmlns:pic="http://schemas.openxmlformats.org/drawingml/2006/picture">
            <wp:extent cx="5760720" cy="4672584"/>
            <wp:docPr id="7" name="Picture 7"/>
            <wp:cNvGraphicFramePr>
              <a:graphicFrameLocks noChangeAspect="1"/>
            </wp:cNvGraphicFramePr>
            <a:graphic>
              <a:graphicData uri="http://schemas.openxmlformats.org/drawingml/2006/picture">
                <pic:pic>
                  <pic:nvPicPr>
                    <pic:cNvPr id="0" name="correlation_heatmap.png"/>
                    <pic:cNvPicPr/>
                  </pic:nvPicPr>
                  <pic:blipFill>
                    <a:blip r:embed="rId15"/>
                    <a:stretch>
                      <a:fillRect/>
                    </a:stretch>
                  </pic:blipFill>
                  <pic:spPr>
                    <a:xfrm>
                      <a:off x="0" y="0"/>
                      <a:ext cx="5760720" cy="4672584"/>
                    </a:xfrm>
                    <a:prstGeom prst="rect"/>
                  </pic:spPr>
                </pic:pic>
              </a:graphicData>
            </a:graphic>
          </wp:inline>
        </w:drawing>
      </w:r>
    </w:p>
    <w:p>
      <w:pPr>
        <w:pStyle w:val="Heading2"/>
      </w:pPr>
      <w:r>
        <w:t>Predictor screen</w:t>
      </w:r>
    </w:p>
    <w:p>
      <w:r>
        <w:t>The Predictor screen accepts vehicle identity and specification values such as make, model, variant, displacement, seating capacity, kerb weight, fuel information, power, and torque. When the user submits the form, the saved Random Forest deployment pipeline returns an estimated ex-showroom price.</w:t>
      </w:r>
    </w:p>
    <w:p>
      <w:pPr>
        <w:pStyle w:val="Heading2"/>
      </w:pPr>
      <w:r>
        <w:t>Predictor evidence: actual versus predicted price</w:t>
      </w:r>
    </w:p>
    <w:p>
      <w:r>
        <w:drawing>
          <wp:inline xmlns:a="http://schemas.openxmlformats.org/drawingml/2006/main" xmlns:pic="http://schemas.openxmlformats.org/drawingml/2006/picture">
            <wp:extent cx="5760720" cy="3571373"/>
            <wp:docPr id="8" name="Picture 8"/>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5760720" cy="3571373"/>
                    </a:xfrm>
                    <a:prstGeom prst="rect"/>
                  </pic:spPr>
                </pic:pic>
              </a:graphicData>
            </a:graphic>
          </wp:inline>
        </w:drawing>
      </w:r>
    </w:p>
    <w:p>
      <w:pPr>
        <w:pStyle w:val="Heading2"/>
      </w:pPr>
      <w:r>
        <w:t>Application services</w:t>
      </w:r>
    </w:p>
    <w:p>
      <w:r>
        <w:t>Streamlit dashboard: http://localhost:8503</w:t>
      </w:r>
    </w:p>
    <w:p>
      <w:r>
        <w:t>Flask backend health check: http://127.0.0.1:5000/health</w:t>
      </w:r>
    </w:p>
    <w:p>
      <w:r>
        <w:t>Flask prediction endpoint: POST http://127.0.0.1:5000/predict</w:t>
      </w:r>
    </w:p>
    <w:p>
      <w:pPr>
        <w:pStyle w:val="Heading1"/>
      </w:pPr>
      <w:r>
        <w:t>Analysis diagrams</w:t>
      </w:r>
    </w:p>
    <w:p>
      <w:pPr>
        <w:pStyle w:val="Heading2"/>
      </w:pPr>
      <w:r>
        <w:t>Price distribution</w:t>
      </w:r>
    </w:p>
    <w:p>
      <w:r>
        <w:drawing>
          <wp:inline xmlns:a="http://schemas.openxmlformats.org/drawingml/2006/main" xmlns:pic="http://schemas.openxmlformats.org/drawingml/2006/picture">
            <wp:extent cx="5760720" cy="3574203"/>
            <wp:docPr id="9" name="Picture 9"/>
            <wp:cNvGraphicFramePr>
              <a:graphicFrameLocks noChangeAspect="1"/>
            </wp:cNvGraphicFramePr>
            <a:graphic>
              <a:graphicData uri="http://schemas.openxmlformats.org/drawingml/2006/picture">
                <pic:pic>
                  <pic:nvPicPr>
                    <pic:cNvPr id="0" name="price_distribution.png"/>
                    <pic:cNvPicPr/>
                  </pic:nvPicPr>
                  <pic:blipFill>
                    <a:blip r:embed="rId13"/>
                    <a:stretch>
                      <a:fillRect/>
                    </a:stretch>
                  </pic:blipFill>
                  <pic:spPr>
                    <a:xfrm>
                      <a:off x="0" y="0"/>
                      <a:ext cx="5760720" cy="3574203"/>
                    </a:xfrm>
                    <a:prstGeom prst="rect"/>
                  </pic:spPr>
                </pic:pic>
              </a:graphicData>
            </a:graphic>
          </wp:inline>
        </w:drawing>
      </w:r>
    </w:p>
    <w:p>
      <w:pPr>
        <w:pStyle w:val="Heading2"/>
      </w:pPr>
      <w:r>
        <w:t>Missing-value review</w:t>
      </w:r>
    </w:p>
    <w:p>
      <w:r>
        <w:drawing>
          <wp:inline xmlns:a="http://schemas.openxmlformats.org/drawingml/2006/main" xmlns:pic="http://schemas.openxmlformats.org/drawingml/2006/picture">
            <wp:extent cx="5760720" cy="3591277"/>
            <wp:docPr id="10" name="Picture 10"/>
            <wp:cNvGraphicFramePr>
              <a:graphicFrameLocks noChangeAspect="1"/>
            </wp:cNvGraphicFramePr>
            <a:graphic>
              <a:graphicData uri="http://schemas.openxmlformats.org/drawingml/2006/picture">
                <pic:pic>
                  <pic:nvPicPr>
                    <pic:cNvPr id="0" name="missing_values.png"/>
                    <pic:cNvPicPr/>
                  </pic:nvPicPr>
                  <pic:blipFill>
                    <a:blip r:embed="rId16"/>
                    <a:stretch>
                      <a:fillRect/>
                    </a:stretch>
                  </pic:blipFill>
                  <pic:spPr>
                    <a:xfrm>
                      <a:off x="0" y="0"/>
                      <a:ext cx="5760720" cy="3591277"/>
                    </a:xfrm>
                    <a:prstGeom prst="rect"/>
                  </pic:spPr>
                </pic:pic>
              </a:graphicData>
            </a:graphic>
          </wp:inline>
        </w:drawing>
      </w:r>
    </w:p>
    <w:p>
      <w:pPr>
        <w:pStyle w:val="Heading2"/>
      </w:pPr>
      <w:r>
        <w:t>Correlation heatmap</w:t>
      </w:r>
    </w:p>
    <w:p>
      <w:r>
        <w:drawing>
          <wp:inline xmlns:a="http://schemas.openxmlformats.org/drawingml/2006/main" xmlns:pic="http://schemas.openxmlformats.org/drawingml/2006/picture">
            <wp:extent cx="5760720" cy="4672584"/>
            <wp:docPr id="11" name="Picture 11"/>
            <wp:cNvGraphicFramePr>
              <a:graphicFrameLocks noChangeAspect="1"/>
            </wp:cNvGraphicFramePr>
            <a:graphic>
              <a:graphicData uri="http://schemas.openxmlformats.org/drawingml/2006/picture">
                <pic:pic>
                  <pic:nvPicPr>
                    <pic:cNvPr id="0" name="correlation_heatmap.png"/>
                    <pic:cNvPicPr/>
                  </pic:nvPicPr>
                  <pic:blipFill>
                    <a:blip r:embed="rId15"/>
                    <a:stretch>
                      <a:fillRect/>
                    </a:stretch>
                  </pic:blipFill>
                  <pic:spPr>
                    <a:xfrm>
                      <a:off x="0" y="0"/>
                      <a:ext cx="5760720" cy="4672584"/>
                    </a:xfrm>
                    <a:prstGeom prst="rect"/>
                  </pic:spPr>
                </pic:pic>
              </a:graphicData>
            </a:graphic>
          </wp:inline>
        </w:drawing>
      </w:r>
    </w:p>
    <w:p>
      <w:pPr>
        <w:pStyle w:val="Heading2"/>
      </w:pPr>
      <w:r>
        <w:t>Outlier review</w:t>
      </w:r>
    </w:p>
    <w:p>
      <w:r>
        <w:drawing>
          <wp:inline xmlns:a="http://schemas.openxmlformats.org/drawingml/2006/main" xmlns:pic="http://schemas.openxmlformats.org/drawingml/2006/picture">
            <wp:extent cx="5760720" cy="3452774"/>
            <wp:docPr id="12" name="Picture 12"/>
            <wp:cNvGraphicFramePr>
              <a:graphicFrameLocks noChangeAspect="1"/>
            </wp:cNvGraphicFramePr>
            <a:graphic>
              <a:graphicData uri="http://schemas.openxmlformats.org/drawingml/2006/picture">
                <pic:pic>
                  <pic:nvPicPr>
                    <pic:cNvPr id="0" name="outlier_boxplots.png"/>
                    <pic:cNvPicPr/>
                  </pic:nvPicPr>
                  <pic:blipFill>
                    <a:blip r:embed="rId17"/>
                    <a:stretch>
                      <a:fillRect/>
                    </a:stretch>
                  </pic:blipFill>
                  <pic:spPr>
                    <a:xfrm>
                      <a:off x="0" y="0"/>
                      <a:ext cx="5760720" cy="3452774"/>
                    </a:xfrm>
                    <a:prstGeom prst="rect"/>
                  </pic:spPr>
                </pic:pic>
              </a:graphicData>
            </a:graphic>
          </wp:inline>
        </w:drawing>
      </w:r>
    </w:p>
    <w:p>
      <w:pPr>
        <w:pStyle w:val="Heading2"/>
      </w:pPr>
      <w:r>
        <w:t>Notebook model comparison</w:t>
      </w:r>
    </w:p>
    <w:p>
      <w:r>
        <w:drawing>
          <wp:inline xmlns:a="http://schemas.openxmlformats.org/drawingml/2006/main" xmlns:pic="http://schemas.openxmlformats.org/drawingml/2006/picture">
            <wp:extent cx="5760720" cy="3571373"/>
            <wp:docPr id="13" name="Picture 13"/>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760720" cy="3571373"/>
                    </a:xfrm>
                    <a:prstGeom prst="rect"/>
                  </pic:spPr>
                </pic:pic>
              </a:graphicData>
            </a:graphic>
          </wp:inline>
        </w:drawing>
      </w:r>
    </w:p>
    <w:p>
      <w:pPr>
        <w:pStyle w:val="Heading2"/>
      </w:pPr>
      <w:r>
        <w:t>Actual versus predicted price</w:t>
      </w:r>
    </w:p>
    <w:p>
      <w:r>
        <w:drawing>
          <wp:inline xmlns:a="http://schemas.openxmlformats.org/drawingml/2006/main" xmlns:pic="http://schemas.openxmlformats.org/drawingml/2006/picture">
            <wp:extent cx="5760720" cy="3571373"/>
            <wp:docPr id="14" name="Picture 14"/>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5760720" cy="3571373"/>
                    </a:xfrm>
                    <a:prstGeom prst="rect"/>
                  </pic:spPr>
                </pic:pic>
              </a:graphicData>
            </a:graphic>
          </wp:inline>
        </w:drawing>
      </w:r>
    </w:p>
    <w:p>
      <w:pPr>
        <w:pStyle w:val="Heading2"/>
      </w:pPr>
      <w:r>
        <w:t>Residual analysis</w:t>
      </w:r>
    </w:p>
    <w:p>
      <w:r>
        <w:drawing>
          <wp:inline xmlns:a="http://schemas.openxmlformats.org/drawingml/2006/main" xmlns:pic="http://schemas.openxmlformats.org/drawingml/2006/picture">
            <wp:extent cx="5760720" cy="3577037"/>
            <wp:docPr id="15" name="Picture 15"/>
            <wp:cNvGraphicFramePr>
              <a:graphicFrameLocks noChangeAspect="1"/>
            </wp:cNvGraphicFramePr>
            <a:graphic>
              <a:graphicData uri="http://schemas.openxmlformats.org/drawingml/2006/picture">
                <pic:pic>
                  <pic:nvPicPr>
                    <pic:cNvPr id="0" name="residuals.png"/>
                    <pic:cNvPicPr/>
                  </pic:nvPicPr>
                  <pic:blipFill>
                    <a:blip r:embed="rId18"/>
                    <a:stretch>
                      <a:fillRect/>
                    </a:stretch>
                  </pic:blipFill>
                  <pic:spPr>
                    <a:xfrm>
                      <a:off x="0" y="0"/>
                      <a:ext cx="5760720" cy="3577037"/>
                    </a:xfrm>
                    <a:prstGeom prst="rect"/>
                  </pic:spPr>
                </pic:pic>
              </a:graphicData>
            </a:graphic>
          </wp:inline>
        </w:drawing>
      </w:r>
    </w:p>
    <w:p>
      <w:pPr>
        <w:pStyle w:val="Heading2"/>
      </w:pPr>
      <w:r>
        <w:t>Feature importance</w:t>
      </w:r>
    </w:p>
    <w:p>
      <w:r>
        <w:drawing>
          <wp:inline xmlns:a="http://schemas.openxmlformats.org/drawingml/2006/main" xmlns:pic="http://schemas.openxmlformats.org/drawingml/2006/picture">
            <wp:extent cx="5760720" cy="2129565"/>
            <wp:docPr id="16" name="Picture 16"/>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760720" cy="2129565"/>
                    </a:xfrm>
                    <a:prstGeom prst="rect"/>
                  </pic:spPr>
                </pic:pic>
              </a:graphicData>
            </a:graphic>
          </wp:inline>
        </w:drawing>
      </w:r>
    </w:p>
    <w:p>
      <w:pPr>
        <w:pStyle w:val="Heading1"/>
      </w:pPr>
      <w:r>
        <w:t>How to use the project</w:t>
      </w:r>
    </w:p>
    <w:p>
      <w:r>
        <w:t>Run `py model_pipeline.py` to train and save the model, `py app.py` to start the Flask API, or `streamlit run streamlit_app.py` for the interactive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