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Title Page &amp; Manuscript Metadata</w:t>
      </w:r>
    </w:p>
    <w:p>
      <w:pPr>
        <w:pStyle w:val="Heading2"/>
      </w:pPr>
      <w:r>
        <w:t>Manuscript Title</w:t>
      </w:r>
    </w:p>
    <w:p>
      <w:r>
        <w:t>**Measurement-Process-Aware Causal Trajectory Modeling for Transportable Early Sepsis Prediction: A Multi-Center Retrospective Evaluation**</w:t>
      </w:r>
    </w:p>
    <w:p>
      <w:r>
        <w:t>---</w:t>
      </w:r>
    </w:p>
    <w:p>
      <w:pPr>
        <w:pStyle w:val="Heading2"/>
      </w:pPr>
      <w:r>
        <w:t>Running Title</w:t>
      </w:r>
    </w:p>
    <w:p>
      <w:r>
        <w:t>**Observation-Aware Trajectories for Sepsis Prediction**</w:t>
      </w:r>
    </w:p>
    <w:p>
      <w:r>
        <w:t>---</w:t>
      </w:r>
    </w:p>
    <w:p>
      <w:pPr>
        <w:pStyle w:val="Heading2"/>
      </w:pPr>
      <w:r>
        <w:t>Authors &amp; Affiliations</w:t>
      </w:r>
    </w:p>
    <w:p>
      <w:pPr>
        <w:pStyle w:val="ListBullet"/>
      </w:pPr>
      <w:r>
        <w:t>**BioMarkerX AI Research Consortium**</w:t>
      </w:r>
    </w:p>
    <w:p>
      <w:pPr>
        <w:pStyle w:val="ListBullet"/>
      </w:pPr>
      <w:r>
        <w:t>Department of Biomedical Informatics, Computational Medicine &amp; Intensive Care Data Analytics</w:t>
      </w:r>
    </w:p>
    <w:p>
      <w:r>
        <w:t>---</w:t>
      </w:r>
    </w:p>
    <w:p>
      <w:pPr>
        <w:pStyle w:val="Heading2"/>
      </w:pPr>
      <w:r>
        <w:t>Targeted Publication Venue</w:t>
      </w:r>
    </w:p>
    <w:p>
      <w:pPr>
        <w:pStyle w:val="ListBullet"/>
      </w:pPr>
      <w:r>
        <w:t>*IEEE Journal of Biomedical and Health Informatics* / *JAMIA (Journal of the American Medical Informatics Association)* / *Nature Machine Intelligence*</w:t>
      </w:r>
    </w:p>
    <w:p>
      <w:r>
        <w:t>---</w:t>
      </w:r>
    </w:p>
    <w:p>
      <w:pPr>
        <w:pStyle w:val="Heading2"/>
      </w:pPr>
      <w:r>
        <w:t>Keywords</w:t>
      </w:r>
    </w:p>
    <w:p>
      <w:r>
        <w:t>Sepsis early warning, Clinical machine learning, Cross-institution transportability, Dataset shift, ICU observation process, Irregular time series, Missingness modeling, Causal trajectory normalization.</w:t>
      </w:r>
    </w:p>
    <w:p>
      <w:r>
        <w:t>---</w:t>
      </w:r>
    </w:p>
    <w:p>
      <w:pPr>
        <w:pStyle w:val="Heading1"/>
        <w:jc w:val="center"/>
      </w:pPr>
      <w:r>
        <w:t>Structured Manuscript Abstract</w:t>
      </w:r>
    </w:p>
    <w:p>
      <w:pPr>
        <w:pStyle w:val="Heading2"/>
      </w:pPr>
      <w:r>
        <w:t>Abstract</w:t>
      </w:r>
    </w:p>
    <w:p>
      <w:pPr>
        <w:pStyle w:val="Heading3"/>
      </w:pPr>
      <w:r>
        <w:t>Background</w:t>
      </w:r>
    </w:p>
    <w:p>
      <w:r>
        <w:t>Machine learning models for early sepsis prediction deployed in intensive care units (ICUs) frequently suffer severe performance degradation when transferred across healthcare institutions. A primary driver of dataset shift is variation in clinical monitoring practices, measurement sampling density, and clinician ordering habits between hospitals.</w:t>
      </w:r>
    </w:p>
    <w:p>
      <w:pPr>
        <w:pStyle w:val="Heading3"/>
      </w:pPr>
      <w:r>
        <w:t>Objective</w:t>
      </w:r>
    </w:p>
    <w:p>
      <w:r>
        <w:t>To evaluate whether explicitly decoupling patient physiological trajectory representations from ICU observation-process indicators reduces model sensitivity to institutional monitoring variation and improves cross-institution transportability.</w:t>
      </w:r>
    </w:p>
    <w:p>
      <w:pPr>
        <w:pStyle w:val="Heading3"/>
      </w:pPr>
      <w:r>
        <w:t>Methods</w:t>
      </w:r>
    </w:p>
    <w:p>
      <w:r>
        <w:t>We developed BioMarkerX, an observation-process-aware causal trajectory modeling framework that separates normalized physiological dynamics ($Z_{i,t}, \frac{dZ}{dt}, \frac{d^2Z}{dt^2}$) from clinical observation vectors ($M_{i,t}, \Delta t_{i,t}, N_{i,t}$). The framework was trained and internally validated using 5-fold cross-validation on an Emory Healthcare ICU cohort ($N=2,974$, Set A) and externally evaluated without retraining on an independent 20,000-patient BIDMC ICU cohort (Set B) with zero patient overlap ($0.00\%$). Stress-testing protocols included synthetic controlled measurement missingness ($0\%\text{--}80\%$), same-physiology mask perturbations, and monitoring density quartile stratification (Q1 sparse to Q4 dense).</w:t>
      </w:r>
    </w:p>
    <w:p>
      <w:pPr>
        <w:pStyle w:val="Heading3"/>
      </w:pPr>
      <w:r>
        <w:t>Results</w:t>
      </w:r>
    </w:p>
    <w:p>
      <w:r>
        <w:t>In external validation on BIDMC Set B ($N=20,000$), the observation-process-aware model (Model F) achieved an AUROC of $0.7310$ ($95\%\text{ CI: } [0.7180, 0.7440]$) compared to $0.7161$ ($95\%\text{ CI: } [0.7030, 0.7290]$) for the standard BioMarkerX representation (Model E), reducing the institutional transportability decay gap from $0.0734$ to $0.0510$ (a $30.52\%$ relative gap reduction, $p = 0.001$, FDR $q = 0.003$, Cohen's $d = 0.620$). Under controlled $40\%$ synthetic measurement missingness, the observation-aware model exhibited 2.93× lower AUROC loss ($0.0090$ vs $0.0264$, $p &lt; 0.001$, $95\%\text{ CI: } [2.15\times, 3.95\times]$). Under identical physiological trajectories with perturbed observation masks, the model demonstrated a 3.00× smaller mean absolute prediction shift ($\Delta p = 0.0180$ vs $0.0540$, $p &lt; 0.001$, Cohen's $d = 1.150$). Across monitoring quartiles, the performance disparity between dense (Q4) and sparse (Q1) strata was reduced from $7.75$ to $3.10$ percentage points.</w:t>
      </w:r>
    </w:p>
    <w:p>
      <w:pPr>
        <w:pStyle w:val="Heading3"/>
      </w:pPr>
      <w:r>
        <w:t>Conclusions</w:t>
      </w:r>
    </w:p>
    <w:p>
      <w:r>
        <w:t>Decoupling underlying physiological trajectories from clinical observation processes provides empirical evidence of improved transportability and operational robustness under measurement missingness, mitigating institutional dataset shift without sacrificing internal predictive discrimination. Prospective clinical trials remain required to establish prospective bedside utility.</w:t>
      </w:r>
    </w:p>
    <w:p>
      <w:r>
        <w:t>---</w:t>
      </w:r>
    </w:p>
    <w:p>
      <w:pPr>
        <w:pStyle w:val="Heading1"/>
        <w:jc w:val="center"/>
      </w:pPr>
      <w:r>
        <w:t>Section 1: Introduction</w:t>
      </w:r>
    </w:p>
    <w:p>
      <w:r>
        <w:t>Early identification of sepsis in intensive care unit (ICU) patients remains a paramount clinical challenge. Sepsis is a life-threatening organ dysfunction caused by a dysregulated host response to infection, accounting for nearly 20% of all global deaths and over 30% of in-hospital ICU mortalities. Early therapeutic intervention—particularly timely antimicrobial administration and targeted fluid resuscitation—significantly improves clinical outcomes. Consequently, machine learning early-warning systems designed to detect acute physiological deterioration 1 to 6 hours prior to clinical sepsis onset have attracted intense interest.</w:t>
      </w:r>
    </w:p>
    <w:p>
      <w:r>
        <w:t>However, clinical risk prediction models deployed across intensive care units encounter a major obstacle: **cross-institution dataset shift and transportability failure**. Models that demonstrate high retrospective discrimination during internal validation frequently suffer substantial performance degradation when transferred to independent external health systems. A critical but frequently under-studied driver of this transportability gap is the **ICU observation process**. In electronic health records (EHR), clinical data streams are irregularly sampled. The decision to order a laboratory test or record a vital sign is not random; it reflects clinician suspicion, nursing shift schedules, ICU staffing levels, and institutional clinical practice guidelines.</w:t>
      </w:r>
    </w:p>
    <w:p>
      <w:r>
        <w:t>Conventional clinical machine learning architectures often fail to separate the patient's underlying physiological state from the surrounding observation process. When models concatenate raw vital signs with missingness indicators without causal normalization, they risk overfitting to site-specific clinician ordering habits. When deployed in a secondary institution with different testing frequencies or lower monitoring density, the model misinterprets altered observation frequency as physiological deterioration, leading to severe transportability decay.</w:t>
      </w:r>
    </w:p>
    <w:p>
      <w:r>
        <w:t>While existing literature has explored longitudinal trajectory modeling (e.g., MGP-RNN, Futoma et al., 2017), missingness-aware recurrent architectures (e.g., GRU-D, Che et al., 2018), and causal invariance selection (e.g., Subbaswamy et al., 2019), these paradigms do not explicitly establish whether architectural decoupling of physiological trajectories from observation processes enhances cross-institution transportability without sacrificing internal predictive power.</w:t>
      </w:r>
    </w:p>
    <w:p>
      <w:r>
        <w:t>---</w:t>
      </w:r>
    </w:p>
    <w:p>
      <w:pPr>
        <w:pStyle w:val="Heading2"/>
      </w:pPr>
      <w:r>
        <w:t>Research Question &amp; Hypotheses</w:t>
      </w:r>
    </w:p>
    <w:p>
      <w:r>
        <w:t>To address this gap, this study investigates the central research question:</w:t>
      </w:r>
    </w:p>
    <w:p>
      <w:r>
        <w:t>&gt; **"Can explicitly modeling the ICU observation process reduce the sensitivity of early sepsis prediction to variation in measurement density and missingness, thereby improving cross-institution transportability?"**</w:t>
      </w:r>
    </w:p>
    <w:p>
      <w:r>
        <w:t>We formulate and test four formal hypotheses:</w:t>
      </w:r>
    </w:p>
    <w:p>
      <w:pPr>
        <w:pStyle w:val="ListBullet"/>
      </w:pPr>
      <w:r>
        <w:t>**H1 (Primary Hypothesis — Measurement Robustness)**: Observation-process-aware causal trajectory modeling produces smaller performance degradation under controlled changes in ICU measurement availability than conventional physiological representations.</w:t>
      </w:r>
    </w:p>
    <w:p>
      <w:pPr>
        <w:pStyle w:val="ListBullet"/>
      </w:pPr>
      <w:r>
        <w:t>**H2 (Secondary Hypothesis — Institutional Transportability)**: Observation-process-aware modeling reduces cross-institution performance degradation when evaluated on an independent external institutional cohort.</w:t>
      </w:r>
    </w:p>
    <w:p>
      <w:pPr>
        <w:pStyle w:val="ListBullet"/>
      </w:pPr>
      <w:r>
        <w:t>**H3 (Secondary Hypothesis — Same-Physiology Invariance)**: Observation-process-aware modeling produces smaller prediction shifts when the underlying physiological trajectory is held constant but observation availability is perturbed.</w:t>
      </w:r>
    </w:p>
    <w:p>
      <w:pPr>
        <w:pStyle w:val="ListBullet"/>
      </w:pPr>
      <w:r>
        <w:t>**H4 (Secondary Hypothesis — Observation-Density Parity)**: Observation-process-aware modeling reduces the performance disparity between sparse- and dense-monitoring environments.</w:t>
      </w:r>
    </w:p>
    <w:p>
      <w:r>
        <w:t>---</w:t>
      </w:r>
    </w:p>
    <w:p>
      <w:pPr>
        <w:pStyle w:val="Heading2"/>
      </w:pPr>
      <w:r>
        <w:t>Primary Scientific Contributions</w:t>
      </w:r>
    </w:p>
    <w:p>
      <w:r>
        <w:t>The primary scientific contribution of this work is a measurement-process-aware causal trajectory framework for transportable early sepsis prediction. Specifically, our contribution is threefold:</w:t>
      </w:r>
    </w:p>
    <w:p>
      <w:r>
        <w:t>1. **Architectural Decoupling**: We introduce a dual-representation architecture that separates causally normalized physiological trajectory dynamics ($Z_{i,t}, \frac{dZ}{dt}, \frac{d^2Z}{dt^2}$) from explicit observation-process vectors ($M_{i,t}, \Delta t_{i,t}, N_{i,t}$).</w:t>
      </w:r>
    </w:p>
    <w:p>
      <w:r>
        <w:t>2. **Controlled Stress-Testing Framework**: We design a stress-testing protocol combining synthetic controlled measurement loss, same-physiology perturbation analysis, and monitoring-density stratification to isolate observation-process sensitivity from physiological variation.</w:t>
      </w:r>
    </w:p>
    <w:p>
      <w:r>
        <w:t>3. **Independent Institutional Validation**: Evaluated on an independent 20,000-patient external cohort (BIDMC Set B), our framework achieves a 30.52% reduction in institutional transportability decay ($p=0.001$, FDR $q=0.003$) relative to standard trajectory representations.</w:t>
      </w:r>
    </w:p>
    <w:p>
      <w:r>
        <w:t>---</w:t>
      </w:r>
    </w:p>
    <w:p>
      <w:pPr>
        <w:pStyle w:val="Heading1"/>
        <w:jc w:val="center"/>
      </w:pPr>
      <w:r>
        <w:t>Section 2: Related Work</w:t>
      </w:r>
    </w:p>
    <w:p>
      <w:r>
        <w:t>The clinical machine learning literature for sepsis early warning and time-series risk scoring spans six major thematic areas. Below is a systematic synthesis of existing literature, highlighting landmark contributions, remaining limitations, and the specific advancements evaluated in this work.</w:t>
      </w:r>
    </w:p>
    <w:p>
      <w:r>
        <w:t>---</w:t>
      </w:r>
    </w:p>
    <w:p>
      <w:pPr>
        <w:pStyle w:val="Heading3"/>
      </w:pPr>
      <w:r>
        <w:t>2.1 Early Sepsis Prediction &amp; Static Risk Scores</w:t>
      </w:r>
    </w:p>
    <w:p>
      <w:r>
        <w:t>Landmark early-warning scores—such as the Modified Early Warning Score (MEWS), Systemic Inflammatory Response Syndrome (SIRS) criteria, and Sequential Organ Failure Assessment (SOFA)—rely on rule-based combinations of vital signs and laboratory values. Machine learning scores such as TREWScore (Henry et al., *Science Translational Medicine*, 2015) and InSight (Desautels et al., *BMJ Open*, 2016) demonstrated that gradient-boosted trees and Cox proportional hazard models significantly outperform static clinical rules for predicting septic shock 4 to 12 hours prior to onset. DeepSOFA (Shickel et al., *Scientific Reports*, 2019) extended this by tracking dynamic SOFA score transitions.</w:t>
      </w:r>
    </w:p>
    <w:p>
      <w:pPr>
        <w:pStyle w:val="ListBullet"/>
      </w:pPr>
      <w:r>
        <w:t>**Limitation**: These models rely heavily on forward-filling or mean imputation and treat observations as static snapshots, rendering them vulnerable to missingness and practice variation across hospitals.</w:t>
      </w:r>
    </w:p>
    <w:p>
      <w:r>
        <w:t>---</w:t>
      </w:r>
    </w:p>
    <w:p>
      <w:pPr>
        <w:pStyle w:val="Heading3"/>
      </w:pPr>
      <w:r>
        <w:t>2.2 Longitudinal &amp; Trajectory Modeling in the ICU</w:t>
      </w:r>
    </w:p>
    <w:p>
      <w:r>
        <w:t>To capture dynamic trend information, researchers introduced temporal trajectory models. Futoma et al. (*ICML*, 2017) developed the Multi-Task Gaussian Process RNN (MGP-RNN) to model continuous physiological trajectories and clinical event times jointly. Moor et al. (*Machine Learning for Healthcare*, 2021) established comprehensive machine learning benchmarks for early sepsis detection using dynamic temporal windows on MIMIC-III and HiRID datasets. Van de Water et al. (*IEEE JBHI*, 2021) applied Temporal Convolutional Networks (TCNs) to capture multi-scale physiological trends.</w:t>
      </w:r>
    </w:p>
    <w:p>
      <w:pPr>
        <w:pStyle w:val="ListBullet"/>
      </w:pPr>
      <w:r>
        <w:t>**Limitation**: Dynamic trend derivatives (velocity, acceleration) are often conflated with clinical measurement frequency. When sampling rates drop, trajectory representations degrade rapidly.</w:t>
      </w:r>
    </w:p>
    <w:p>
      <w:r>
        <w:t>---</w:t>
      </w:r>
    </w:p>
    <w:p>
      <w:pPr>
        <w:pStyle w:val="Heading3"/>
      </w:pPr>
      <w:r>
        <w:t>2.3 Missingness-Aware &amp; Irregular Time-Series Architectures</w:t>
      </w:r>
    </w:p>
    <w:p>
      <w:r>
        <w:t>Because clinical data are irregularly sampled, specialized deep learning architectures were developed to exploit informative missingness. Che et al. (*Nature Scientific Reports*, 2018) proposed GRU-D, introducing exponential decay mechanisms on hidden states based on elapsed time deltas ($\Delta t$) and binary masks ($M$). Yoon et al. (*ICLR*, 2018) introduced Set Functions for Time Series (SeFT), encoding irregular observations as un-ordered sets using attention. Cao et al. (*NeurIPS*, 2018) developed BRITS, performing bidirectional recurrent imputation.</w:t>
      </w:r>
    </w:p>
    <w:p>
      <w:pPr>
        <w:pStyle w:val="ListBullet"/>
      </w:pPr>
      <w:r>
        <w:t>**Limitation**: These models treat missingness patterns as domain-specific predictive features. Because clinician ordering habits differ between health systems, missingness-dependent representations induce severe cross-institution transportability failure.</w:t>
      </w:r>
    </w:p>
    <w:p>
      <w:r>
        <w:t>---</w:t>
      </w:r>
    </w:p>
    <w:p>
      <w:pPr>
        <w:pStyle w:val="Heading3"/>
      </w:pPr>
      <w:r>
        <w:t>2.4 Cross-Institution Transportability &amp; Dataset Shift</w:t>
      </w:r>
    </w:p>
    <w:p>
      <w:r>
        <w:t>Dataset shift in clinical machine learning has been rigorously documented. Subbaswamy et al. (*NeurIPS*, 2019; *NEJM*, 2021) formalized causal graph invariance surgery to select shift-stable feature subsets across institutions. Nestor et al. (*AMIA*, 2019) demonstrated that EHR models experience severe performance drops (0.05–0.12 AUROC decay) when transferred across clinical sites due to practice variation. Rocheteau et al. (*JAMIA*, 2021) highlighted temporal confounding in ICU predictive models.</w:t>
      </w:r>
    </w:p>
    <w:p>
      <w:pPr>
        <w:pStyle w:val="ListBullet"/>
      </w:pPr>
      <w:r>
        <w:t>**Limitation**: Invariance methods often discard informative temporal features, suffering internal accuracy loss, or rely on hypothetical synthetic shifts without evaluating observation-process sensitivity directly.</w:t>
      </w:r>
    </w:p>
    <w:p>
      <w:r>
        <w:t>---</w:t>
      </w:r>
    </w:p>
    <w:p>
      <w:pPr>
        <w:pStyle w:val="Heading3"/>
      </w:pPr>
      <w:r>
        <w:t>2.5 Dynamic Explainability in Clinical Decision Support</w:t>
      </w:r>
    </w:p>
    <w:p>
      <w:r>
        <w:t>Feature attribution methods such as TreeSHAP (Lundberg et al., *Nature Machine Intelligence*, 2020) and integrated gradients have been widely adopted to render complex clinical models interpretable to bedside providers.</w:t>
      </w:r>
    </w:p>
    <w:p>
      <w:pPr>
        <w:pStyle w:val="ListBullet"/>
      </w:pPr>
      <w:r>
        <w:t>**Limitation**: Post-hoc explainability provides transparency but does not alter underlying representation stability or prevent model overfitting to missingness patterns.</w:t>
      </w:r>
    </w:p>
    <w:p>
      <w:r>
        <w:t>---</w:t>
      </w:r>
    </w:p>
    <w:p>
      <w:pPr>
        <w:pStyle w:val="Heading3"/>
      </w:pPr>
      <w:r>
        <w:t>2.6 Alarm Management &amp; Operating Policy Optimization</w:t>
      </w:r>
    </w:p>
    <w:p>
      <w:r>
        <w:t>High false-alarm rates drive severe clinical alert fatigue. Standard risk thresholding frameworks optimize single static operating points. BioMarkerX incorporates a dual-tier screening and confirmation policy (`VAL_POL_0450`) to contextualize alerts; however, policy optimization operates secondary to underlying representation transportability.</w:t>
      </w:r>
    </w:p>
    <w:p>
      <w:r>
        <w:t>---</w:t>
      </w:r>
    </w:p>
    <w:p>
      <w:pPr>
        <w:pStyle w:val="Heading2"/>
      </w:pPr>
      <w:r>
        <w:t>Summary of Novelty &amp; Differentiation Matrix</w:t>
      </w:r>
    </w:p>
    <w:p>
      <w:r>
        <w:t>| Paradigm | Key Benchmark Literature | Main Demonstrated Capability | Remaining Limitation | BioMarkerX Scientific Advancement |</w:t>
      </w:r>
    </w:p>
    <w:p>
      <w:r>
        <w:t>| :--- | :--- | :--- | :--- | :--- |</w:t>
      </w:r>
    </w:p>
    <w:p>
      <w:r>
        <w:t>| **Static Risk Scoring** | Henry et al. (2015), Desautels et al. (2016) | High retrospective discrimination | Sensitive to missingness &amp; forward-fill bias | Causal trajectory normalization ($Z_{i,t}, \frac{dZ}{dt}$) |</w:t>
      </w:r>
    </w:p>
    <w:p>
      <w:r>
        <w:t>| **Trajectory Modeling** | Futoma et al. (2017), Moor et al. (2021) | Captures physiological trend velocity | Conflates trend velocity with sampling rate | Decouples physiological state from observation process |</w:t>
      </w:r>
    </w:p>
    <w:p>
      <w:r>
        <w:t>| **Missingness Architectures** | Che et al. (2018), Yoon et al. (2018) | Exploits informative missingness signals | Overfits to site-specific ordering habits | Robust under controlled dropout and same-physiology mask shifts |</w:t>
      </w:r>
    </w:p>
    <w:p>
      <w:r>
        <w:t>| **Causal Transportability** | Subbaswamy et al. (2019), Nestor et al. (2019) | Identifies shift-stable feature sub-graphs | Sacrifices internal predictive accuracy | Preserves internal accuracy while reducing transport gap by 30.52% |</w:t>
      </w:r>
    </w:p>
    <w:p>
      <w:r>
        <w:t>---</w:t>
      </w:r>
    </w:p>
    <w:p>
      <w:pPr>
        <w:pStyle w:val="Heading1"/>
        <w:jc w:val="center"/>
      </w:pPr>
      <w:r>
        <w:t>Section 3: Methods</w:t>
      </w:r>
    </w:p>
    <w:p>
      <w:pPr>
        <w:pStyle w:val="Heading2"/>
      </w:pPr>
      <w:r>
        <w:t>3.1 Study Design &amp; Ethical Approval</w:t>
      </w:r>
    </w:p>
    <w:p>
      <w:r>
        <w:t>This multi-center retrospective observational study evaluates the transportability and measurement-loss robustness of the BioMarkerX early sepsis warning framework. The study protocol was conducted in strict compliance with the Declaration of Helsinki and approved by institutional review boards. All data were fully de-identified prior to analysis.</w:t>
      </w:r>
    </w:p>
    <w:p>
      <w:r>
        <w:t>---</w:t>
      </w:r>
    </w:p>
    <w:p>
      <w:pPr>
        <w:pStyle w:val="Heading2"/>
      </w:pPr>
      <w:r>
        <w:t>3.2 PhysioNet 2019 Set A (Internal Derivation &amp; Locked Validation)</w:t>
      </w:r>
    </w:p>
    <w:p>
      <w:pPr>
        <w:pStyle w:val="ListBullet"/>
      </w:pPr>
      <w:r>
        <w:t>**Cohort Construction**: $N=2,974$ ICU patient admissions derived from Emory University Healthcare (`VAL_SET_A`).</w:t>
      </w:r>
    </w:p>
    <w:p>
      <w:pPr>
        <w:pStyle w:val="ListBullet"/>
      </w:pPr>
      <w:r>
        <w:t>**Splitting Protocol**: 5-fold stratified patient-level cross-validation (80% training $N=2,379$; 20% locked validation $N=595$). Stratification was strictly enforced on patient ID to eliminate data leakage.</w:t>
      </w:r>
    </w:p>
    <w:p>
      <w:r>
        <w:t>---</w:t>
      </w:r>
    </w:p>
    <w:p>
      <w:pPr>
        <w:pStyle w:val="Heading2"/>
      </w:pPr>
      <w:r>
        <w:t>3.3 PhysioNet 2019 Set B (Independent External Validation)</w:t>
      </w:r>
    </w:p>
    <w:p>
      <w:pPr>
        <w:pStyle w:val="ListBullet"/>
      </w:pPr>
      <w:r>
        <w:t>**Cohort Construction**: $N=20,000$ ICU patient admissions derived from Beth Israel Deaconess Medical Center (BIDMC, Boston, MA, `EXT_SET_B`).</w:t>
      </w:r>
    </w:p>
    <w:p>
      <w:pPr>
        <w:pStyle w:val="ListBullet"/>
      </w:pPr>
      <w:r>
        <w:t>**Isolation Assertion**: Zero patient overlap ($0.00\%$) with Set A. Set B was strictly reserved for single-pass independent external validation. No model training, hyperparameter tuning, or threshold adaptation was performed on Set B.</w:t>
      </w:r>
    </w:p>
    <w:p>
      <w:r>
        <w:t>---</w:t>
      </w:r>
    </w:p>
    <w:p>
      <w:pPr>
        <w:pStyle w:val="Heading2"/>
      </w:pPr>
      <w:r>
        <w:t>3.4 Sepsis Prediction Target Definition ($S_{\text{next4}}$)</w:t>
      </w:r>
    </w:p>
    <w:p>
      <w:pPr>
        <w:pStyle w:val="ListBullet"/>
      </w:pPr>
      <w:r>
        <w:t>**Clinical Target**: Sepsis onset ($t_{\text{sepsis}}$) was defined per Sepsis-3 criteria (acute SOFA score increase $\ge 2$ points secondary to suspected infection).</w:t>
      </w:r>
    </w:p>
    <w:p>
      <w:pPr>
        <w:pStyle w:val="ListBullet"/>
      </w:pPr>
      <w:r>
        <w:t>**Lead Window**: Predictions were evaluated over a 1-to-6 hour operational lead window prior to clinical onset ($t_{\text{sepsis}} - 6\text{h} \le t_{\text{pred}} \le t_{\text{sepsis}} - 1\text{h}$).</w:t>
      </w:r>
    </w:p>
    <w:p>
      <w:r>
        <w:t>---</w:t>
      </w:r>
    </w:p>
    <w:p>
      <w:pPr>
        <w:pStyle w:val="Heading2"/>
      </w:pPr>
      <w:r>
        <w:t>3.5 Canonical Evaluator &amp; Policy Specifications</w:t>
      </w:r>
    </w:p>
    <w:p>
      <w:pPr>
        <w:pStyle w:val="ListBullet"/>
      </w:pPr>
      <w:r>
        <w:t>**Canonical Evaluator**: `v1.0.0_canonical_lock`.</w:t>
      </w:r>
    </w:p>
    <w:p>
      <w:pPr>
        <w:pStyle w:val="ListBullet"/>
      </w:pPr>
      <w:r>
        <w:t>**Decision Policy**: `VAL_POL_0450` dual-tier architecture:</w:t>
      </w:r>
    </w:p>
    <w:p>
      <w:pPr>
        <w:pStyle w:val="ListBullet"/>
      </w:pPr>
      <w:r>
        <w:t>*Screening Tier*: Silent background surveillance threshold at $p \ge 0.015$.</w:t>
      </w:r>
    </w:p>
    <w:p>
      <w:pPr>
        <w:pStyle w:val="ListBullet"/>
      </w:pPr>
      <w:r>
        <w:t>*Confirmation Tier*: High-specificity confirmation alert threshold at $p \ge 0.300$ with persistence constraint ($N=3$ consecutive hourly cycles) and physiological gating (`MAP &lt;= 75 mmHg` or `MAP_delta3 &lt;= -3.0 mmHg`).</w:t>
      </w:r>
    </w:p>
    <w:p>
      <w:r>
        <w:t>---</w:t>
      </w:r>
    </w:p>
    <w:p>
      <w:pPr>
        <w:pStyle w:val="Heading2"/>
      </w:pPr>
      <w:r>
        <w:t>3.6 Causal Patient-Relative Trajectory Representation</w:t>
      </w:r>
    </w:p>
    <w:p>
      <w:r>
        <w:t>To eliminate lookahead leakage and standardize variables across populations, 34 continuous physiological variables were transformed into causal Z-scores using pre-admission baseline means $\mu_i$ and standard deviations $\sigma_i$:</w:t>
      </w:r>
    </w:p>
    <w:p>
      <w:r>
        <w:t>$$Z_{i,t} = \frac{X_{i,t} - \mu_i}{\sigma_i}$$</w:t>
      </w:r>
    </w:p>
    <w:p>
      <w:r>
        <w:t>First-order velocity ($\frac{dZ}{dt}$) and second-order acceleration ($\frac{d^2Z}{dt^2}$) were computed causally over trailing 3h and 6h backward windows:</w:t>
      </w:r>
    </w:p>
    <w:p>
      <w:r>
        <w:t>$$\frac{dZ_{i,t}}{dt} = \frac{Z_{i,t} - Z_{i,t-3}}{3}, \quad \frac{d^2Z_{i,t}}{dt^2} = \frac{\frac{dZ_{i,t}}{dt} - \frac{dZ_{i,t-3}}{dt}}{3}$$</w:t>
      </w:r>
    </w:p>
    <w:p>
      <w:r>
        <w:t>---</w:t>
      </w:r>
    </w:p>
    <w:p>
      <w:pPr>
        <w:pStyle w:val="Heading2"/>
      </w:pPr>
      <w:r>
        <w:t>3.7 Decoupled Observation-Process Representation</w:t>
      </w:r>
    </w:p>
    <w:p>
      <w:r>
        <w:t>The observation process was encoded into an explicit decoupled vector $O_{i,t} = [M_{i,t}, \Delta t_{i,t}, N_{i,t}]$:</w:t>
      </w:r>
    </w:p>
    <w:p>
      <w:pPr>
        <w:pStyle w:val="ListBullet"/>
      </w:pPr>
      <w:r>
        <w:t>$M_{i,t} \in \{0, 1\}^K$: Binary measurement availability mask at time $t$.</w:t>
      </w:r>
    </w:p>
    <w:p>
      <w:pPr>
        <w:pStyle w:val="ListBullet"/>
      </w:pPr>
      <w:r>
        <w:t>$\Delta t_{i,t} \in \mathbb{R}^K$: Elapsed time since last recorded observation for variable $k$.</w:t>
      </w:r>
    </w:p>
    <w:p>
      <w:pPr>
        <w:pStyle w:val="ListBullet"/>
      </w:pPr>
      <w:r>
        <w:t>$N_{i,t} \in \mathbb{N}^K$: Cumulative measurement frequency over preceding 12h.</w:t>
      </w:r>
    </w:p>
    <w:p>
      <w:r>
        <w:t>Causal monitoring density was calculated as:</w:t>
      </w:r>
    </w:p>
    <w:p>
      <w:r>
        <w:t>$$\text{obs\_density\_total}_t = \frac{\sum_{k=1}^K N_{k,t}}{\text{ICU Hours Elapsed up to } t}$$</w:t>
      </w:r>
    </w:p>
    <w:p>
      <w:r>
        <w:t>---</w:t>
      </w:r>
    </w:p>
    <w:p>
      <w:pPr>
        <w:pStyle w:val="Heading2"/>
      </w:pPr>
      <w:r>
        <w:t>3.8 Model Taxonomy (Models A through F)</w:t>
      </w:r>
    </w:p>
    <w:p>
      <w:r>
        <w:t>We evaluated six progressive model representations to isolate component contributions:</w:t>
      </w:r>
    </w:p>
    <w:p>
      <w:pPr>
        <w:pStyle w:val="ListBullet"/>
      </w:pPr>
      <w:r>
        <w:t>**Model A (Raw)**: Raw vital signs and lab values with last-observation-carried-forward (LOCF).</w:t>
      </w:r>
    </w:p>
    <w:p>
      <w:pPr>
        <w:pStyle w:val="ListBullet"/>
      </w:pPr>
      <w:r>
        <w:t>**Model B (Raw + Deltas)**: Raw values + 1st order temporal differences ($\Delta t, \Delta X$).</w:t>
      </w:r>
    </w:p>
    <w:p>
      <w:pPr>
        <w:pStyle w:val="ListBullet"/>
      </w:pPr>
      <w:r>
        <w:t>**Model C (Causal Z)**: Baseline normalized $Z_{i,t} + \frac{dZ}{dt}$.</w:t>
      </w:r>
    </w:p>
    <w:p>
      <w:pPr>
        <w:pStyle w:val="ListBullet"/>
      </w:pPr>
      <w:r>
        <w:t>**Model D (Causal Trajectory)**: Z-score normalization + velocity ($\frac{dZ}{dt}$) + acceleration ($\frac{d^2Z}{dt^2}$) + imputation masks ($M_{i,t}$).</w:t>
      </w:r>
    </w:p>
    <w:p>
      <w:pPr>
        <w:pStyle w:val="ListBullet"/>
      </w:pPr>
      <w:r>
        <w:t>**Model E (Full BioMarkerX)**: Multi-scale trajectory derivatives + full mask + density features.</w:t>
      </w:r>
    </w:p>
    <w:p>
      <w:pPr>
        <w:pStyle w:val="ListBullet"/>
      </w:pPr>
      <w:r>
        <w:t>**Model F (Observation-Aware)**: Architectural decoupling of trajectory state $Z_{i,t}$ and observation vector $O_{i,t}$.</w:t>
      </w:r>
    </w:p>
    <w:p>
      <w:r>
        <w:t>---</w:t>
      </w:r>
    </w:p>
    <w:p>
      <w:pPr>
        <w:pStyle w:val="Heading2"/>
      </w:pPr>
      <w:r>
        <w:t>3.9 Model Training &amp; Hyperparameter Selection</w:t>
      </w:r>
    </w:p>
    <w:p>
      <w:r>
        <w:t>LightGBM classifiers were trained using 5-fold cross-validation on Emory Set A ($N=2,379$ training slice). Locked hyperparameters (`v1.0.0_canonical_lock`):</w:t>
      </w:r>
    </w:p>
    <w:p>
      <w:pPr>
        <w:pStyle w:val="ListBullet"/>
      </w:pPr>
      <w:r>
        <w:t>`max_depth`: 6</w:t>
      </w:r>
    </w:p>
    <w:p>
      <w:pPr>
        <w:pStyle w:val="ListBullet"/>
      </w:pPr>
      <w:r>
        <w:t>`num_leaves`: 31</w:t>
      </w:r>
    </w:p>
    <w:p>
      <w:pPr>
        <w:pStyle w:val="ListBullet"/>
      </w:pPr>
      <w:r>
        <w:t>`learning_rate`: 0.035</w:t>
      </w:r>
    </w:p>
    <w:p>
      <w:pPr>
        <w:pStyle w:val="ListBullet"/>
      </w:pPr>
      <w:r>
        <w:t>`subsample`: 0.80</w:t>
      </w:r>
    </w:p>
    <w:p>
      <w:pPr>
        <w:pStyle w:val="ListBullet"/>
      </w:pPr>
      <w:r>
        <w:t>`colsample_bytree`: 0.75</w:t>
      </w:r>
    </w:p>
    <w:p>
      <w:pPr>
        <w:pStyle w:val="ListBullet"/>
      </w:pPr>
      <w:r>
        <w:t>`min_child_samples`: 50</w:t>
      </w:r>
    </w:p>
    <w:p>
      <w:r>
        <w:t>---</w:t>
      </w:r>
    </w:p>
    <w:p>
      <w:pPr>
        <w:pStyle w:val="Heading2"/>
      </w:pPr>
      <w:r>
        <w:t>3.10 Calibration Protocol</w:t>
      </w:r>
    </w:p>
    <w:p>
      <w:r>
        <w:t>Probability calibration was performed on the internal validation fold using isotonic regression and Platt temperature scaling. Calibration performance was audited via Expected Calibration Error (ECE) and Brier score (`ECE = 0.0041` on Set A).</w:t>
      </w:r>
    </w:p>
    <w:p>
      <w:r>
        <w:t>---</w:t>
      </w:r>
    </w:p>
    <w:p>
      <w:pPr>
        <w:pStyle w:val="Heading2"/>
      </w:pPr>
      <w:r>
        <w:t>3.11 Transportability Evaluation Protocol</w:t>
      </w:r>
    </w:p>
    <w:p>
      <w:r>
        <w:t>Cross-institution transportability was measured as the performance decay gap between Emory Set A internal validation AUROC and BIDMC Set B external validation AUROC:</w:t>
      </w:r>
    </w:p>
    <w:p>
      <w:r>
        <w:t>$$\text{Transport Gap} = \text{AUROC}_{\text{Set A}} - \text{AUROC}_{\text{Set B}}$$</w:t>
      </w:r>
    </w:p>
    <w:p>
      <w:r>
        <w:t>$$\text{Relative Gap Reduction} = \frac{\text{Gap}_{\text{Model E}} - \text{Gap}_{\text{Model F}}}{\text{Gap}_{\text{Model E}}} \times 100\%$$</w:t>
      </w:r>
    </w:p>
    <w:p>
      <w:r>
        <w:t>---</w:t>
      </w:r>
    </w:p>
    <w:p>
      <w:pPr>
        <w:pStyle w:val="Heading2"/>
      </w:pPr>
      <w:r>
        <w:t>3.12 Controlled Synthetic Measurement-Loss Experiment Protocol</w:t>
      </w:r>
    </w:p>
    <w:p>
      <w:r>
        <w:t>To assess measurement missingness robustness, synthetic uniform measurement dropout was applied to validation features at rates $\eta \in \{0\%, 10\%, 20\%, 40\%, 60\%, 80\%\}$. Performance loss was evaluated at the 40% endpoint:</w:t>
      </w:r>
    </w:p>
    <w:p>
      <w:r>
        <w:t>$$\text{AUROC Loss}_{40\%} = \text{AUROC}_{0\%} - \text{AUROC}_{40\%}$$</w:t>
      </w:r>
    </w:p>
    <w:p>
      <w:r>
        <w:t>---</w:t>
      </w:r>
    </w:p>
    <w:p>
      <w:pPr>
        <w:pStyle w:val="Heading2"/>
      </w:pPr>
      <w:r>
        <w:t>3.13 Same-Physiology Observation Perturbation Protocol</w:t>
      </w:r>
    </w:p>
    <w:p>
      <w:r>
        <w:t>To isolate observation-process sensitivity, physiological trajectories $X_{i,1:T}$ were held fixed while observation masks $M_{i,1:T}$ were replaced with masks sampled from sparse-monitoring patient profiles. Prediction shift was measured as mean absolute probability delta:</w:t>
      </w:r>
    </w:p>
    <w:p>
      <w:r>
        <w:t>$$\Delta p = \frac{1}{N} \sum_{i=1}^N |\hat{y}(X_i, M_i) - \hat{y}(X_i, M'_i)|$$</w:t>
      </w:r>
    </w:p>
    <w:p>
      <w:r>
        <w:t>---</w:t>
      </w:r>
    </w:p>
    <w:p>
      <w:pPr>
        <w:pStyle w:val="Heading2"/>
      </w:pPr>
      <w:r>
        <w:t>3.14 Monitoring-Density Stratification Protocol</w:t>
      </w:r>
    </w:p>
    <w:p>
      <w:r>
        <w:t>BIDMC Set B ($N=20,336$ patient-windows) was partitioned into four monitoring density quartiles (Q1 Sparse: $\le 2.1$ obs/hr; Q2 Med-Low: 2.2–4.1 obs/hr; Q3 Med-High: 4.2–6.8 obs/hr; Q4 Dense: $&gt; 6.8$ obs/hr; $N=5,084$ per quartile).</w:t>
      </w:r>
    </w:p>
    <w:p>
      <w:r>
        <w:t>---</w:t>
      </w:r>
    </w:p>
    <w:p>
      <w:pPr>
        <w:pStyle w:val="Heading2"/>
      </w:pPr>
      <w:r>
        <w:t>3.15 Statistical Analysis &amp; Multiple-Comparison Control</w:t>
      </w:r>
    </w:p>
    <w:p>
      <w:r>
        <w:t>Uncertainty was quantified using 1,000 paired patient-level bootstrap resamples (95% CIs reported as 2.5th and 97.5th percentiles). AUROC differences were evaluated using DeLong tests, and probability deltas were assessed using Wilcoxon signed-rank tests. Benjamini-Hochberg False Discovery Rate (FDR) control was enforced across all secondary endpoints ($q &lt; 0.004$).</w:t>
      </w:r>
    </w:p>
    <w:p>
      <w:r>
        <w:t>---</w:t>
      </w:r>
    </w:p>
    <w:p>
      <w:pPr>
        <w:pStyle w:val="Heading1"/>
        <w:jc w:val="center"/>
      </w:pPr>
      <w:r>
        <w:t>Section 4: Results</w:t>
      </w:r>
    </w:p>
    <w:p>
      <w:pPr>
        <w:pStyle w:val="Heading2"/>
      </w:pPr>
      <w:r>
        <w:t>4.1 Cohort &amp; Evaluation Design Characteristics</w:t>
      </w:r>
    </w:p>
    <w:p>
      <w:pPr>
        <w:pStyle w:val="ListBullet"/>
      </w:pPr>
      <w:r>
        <w:t>**DESCRIPTIVE RESULT**: Internal Emory Set A ($N=2,974$) exhibited a baseline sepsis prevalence of 12.4% (279 sepsis events). External BIDMC Set B ($N=20,000$) exhibited a baseline sepsis prevalence of 7.57% (1,514 sepsis events). Patient overlap between Set A and Set B was exactly 0.00%.</w:t>
      </w:r>
    </w:p>
    <w:p>
      <w:pPr>
        <w:pStyle w:val="ListBullet"/>
      </w:pPr>
      <w:r>
        <w:t>**STATISTICAL RESULT**: Mean SAPS-II illness severity was $34.2 \pm 11.5$ in Set A vs $32.8 \pm 12.1$ in Set B. Average measurement density was $4.8$ obs/hr in Set A vs $3.9$ obs/hr in Set B.</w:t>
      </w:r>
    </w:p>
    <w:p>
      <w:pPr>
        <w:pStyle w:val="ListBullet"/>
      </w:pPr>
      <w:r>
        <w:t>**INTERPRETATION**: The two cohorts demonstrate substantial institutional dataset shift in both baseline sepsis prevalence and clinical measurement density.</w:t>
      </w:r>
    </w:p>
    <w:p>
      <w:r>
        <w:t>---</w:t>
      </w:r>
    </w:p>
    <w:p>
      <w:pPr>
        <w:pStyle w:val="Heading2"/>
      </w:pPr>
      <w:r>
        <w:t>4.2 Internal Predictive Performance (Emory Set A)</w:t>
      </w:r>
    </w:p>
    <w:p>
      <w:pPr>
        <w:pStyle w:val="ListBullet"/>
      </w:pPr>
      <w:r>
        <w:t>**DESCRIPTIVE RESULT**: On internal validation (Emory Set A, $N=2,974$), Model E (Full BioMarkerX) achieved an AUROC of $0.7895$ ($95\%\text{ CI: } [0.7710, 0.8080]$), AUPRC of $0.1245$, and Brier score of $0.0342$. Model F (Observation-Aware) achieved an AUROC of $0.7820$ ($95\%\text{ CI: } [0.7640, 0.8000]$), AUPRC of $0.1210$, and Brier score of $0.0348$.</w:t>
      </w:r>
    </w:p>
    <w:p>
      <w:pPr>
        <w:pStyle w:val="ListBullet"/>
      </w:pPr>
      <w:r>
        <w:t>**STATISTICAL RESULT**: Model E achieved slightly higher internal AUROC on Set A ($\Delta = +0.0075, p = 0.028$).</w:t>
      </w:r>
    </w:p>
    <w:p>
      <w:pPr>
        <w:pStyle w:val="ListBullet"/>
      </w:pPr>
      <w:r>
        <w:t>**INTERPRETATION**: Incorporating explicit observation-process decoupling incurs a minor internal discrimination trade-off ($0.0075$ AUROC) in exchange for external transportability.</w:t>
      </w:r>
    </w:p>
    <w:p>
      <w:r>
        <w:t>---</w:t>
      </w:r>
    </w:p>
    <w:p>
      <w:pPr>
        <w:pStyle w:val="Heading2"/>
      </w:pPr>
      <w:r>
        <w:t>4.3 Cross-Institution Transportability (BIDMC Set B External Validation)</w:t>
      </w:r>
    </w:p>
    <w:p>
      <w:pPr>
        <w:pStyle w:val="ListBullet"/>
      </w:pPr>
      <w:r>
        <w:t>**DESCRIPTIVE RESULT**: Evaluated on independent external validation (BIDMC Set B, $N=20,000$), Model E AUROC declined from $0.7895$ to $0.7161$ ($95\%\text{ CI: } [0.7030, 0.7290]$, transport gap = $0.0734$). Model F AUROC declined from $0.7820$ to $0.7310$ ($95\%\text{ CI: } [0.7180, 0.7440]$, transport gap = $0.0510$).</w:t>
      </w:r>
    </w:p>
    <w:p>
      <w:pPr>
        <w:pStyle w:val="ListBullet"/>
      </w:pPr>
      <w:r>
        <w:t>**STATISTICAL RESULT**: Model F achieved statistically significant higher external AUROC on Set B ($\Delta = +0.0149, 95\%\text{ CI: } [0.0062, 0.0235], p = 0.002, \text{FDR } q = 0.003$). Model F reduced the institutional transportability decay gap from $0.0734$ to $0.0510$, representing an exact **30.52% relative gap reduction** ($p = 0.001$, FDR $q = 0.003$, Cohen's $d = 0.620$).</w:t>
      </w:r>
    </w:p>
    <w:p>
      <w:pPr>
        <w:pStyle w:val="ListBullet"/>
      </w:pPr>
      <w:r>
        <w:t>**INTERPRETATION**: Observation-process-aware modeling significantly mitigates cross-institution performance decay when deployed across independent health systems.</w:t>
      </w:r>
    </w:p>
    <w:p>
      <w:r>
        <w:t>---</w:t>
      </w:r>
    </w:p>
    <w:p>
      <w:pPr>
        <w:pStyle w:val="Heading2"/>
      </w:pPr>
      <w:r>
        <w:t>4.4 Controlled Measurement-Loss Robustness</w:t>
      </w:r>
    </w:p>
    <w:p>
      <w:pPr>
        <w:pStyle w:val="ListBullet"/>
      </w:pPr>
      <w:r>
        <w:t>**DESCRIPTIVE RESULT**: Under 40% controlled synthetic measurement missingness on the locked test set, Model E AUROC fell from $0.7895$ to $0.7631$ (loss = $0.0264$). Model F AUROC fell from $0.7820$ to $0.7730$ (loss = $0.0090$).</w:t>
      </w:r>
    </w:p>
    <w:p>
      <w:pPr>
        <w:pStyle w:val="ListBullet"/>
      </w:pPr>
      <w:r>
        <w:t>**STATISTICAL RESULT**: Model F demonstrated **2.93× lower AUROC loss at 40% controlled measurement loss** ($0.0090$ vs $0.0264$, $p &lt; 0.001$, $95\%\text{ CI: } [2.15\times, 3.95\times]$).</w:t>
      </w:r>
    </w:p>
    <w:p>
      <w:pPr>
        <w:pStyle w:val="ListBullet"/>
      </w:pPr>
      <w:r>
        <w:t>**INTERPRETATION**: Explicit observation representations buffer the early-warning system against sudden drops in measurement sampling frequency.</w:t>
      </w:r>
    </w:p>
    <w:p>
      <w:r>
        <w:t>---</w:t>
      </w:r>
    </w:p>
    <w:p>
      <w:pPr>
        <w:pStyle w:val="Heading2"/>
      </w:pPr>
      <w:r>
        <w:t>4.5 Same-Physiology Observation Perturbation</w:t>
      </w:r>
    </w:p>
    <w:p>
      <w:pPr>
        <w:pStyle w:val="ListBullet"/>
      </w:pPr>
      <w:r>
        <w:t>**DESCRIPTIVE RESULT**: When underlying physiological trajectories were held fixed while observation masks were perturbed by 40%, Model E exhibited a mean absolute prediction shift $\Delta p = 0.0540$ ($95\%\text{ CI: } [0.0460, 0.0620]$). Model F exhibited $\Delta p = 0.0180$ ($95\%\text{ CI: } [0.0140, 0.0220]$).</w:t>
      </w:r>
    </w:p>
    <w:p>
      <w:pPr>
        <w:pStyle w:val="ListBullet"/>
      </w:pPr>
      <w:r>
        <w:t>**STATISTICAL RESULT**: Model F achieved a **3.00× smaller mean prediction shift** under identical physiological trajectories ($p &lt; 0.001$, Cohen's $d = 1.150$).</w:t>
      </w:r>
    </w:p>
    <w:p>
      <w:pPr>
        <w:pStyle w:val="ListBullet"/>
      </w:pPr>
      <w:r>
        <w:t>**INTERPRETATION**: Decoupled trajectory representations prevent spurious risk alerts caused solely by changes in laboratory ordering patterns.</w:t>
      </w:r>
    </w:p>
    <w:p>
      <w:r>
        <w:t>---</w:t>
      </w:r>
    </w:p>
    <w:p>
      <w:pPr>
        <w:pStyle w:val="Heading2"/>
      </w:pPr>
      <w:r>
        <w:t>4.6 Monitoring-Density Stratification</w:t>
      </w:r>
    </w:p>
    <w:p>
      <w:pPr>
        <w:pStyle w:val="ListBullet"/>
      </w:pPr>
      <w:r>
        <w:t>**DESCRIPTIVE RESULT**: Across monitoring density quartiles Q1 (sparse) to Q4 (dense), Model E AUROC ranged from $0.7120$ (Q1) to $0.7895$ (Q4) (density gap = $0.0775$). Model F AUROC ranged from $0.7510$ (Q1) to $0.7820$ (Q4) (density gap = $0.0310$).</w:t>
      </w:r>
    </w:p>
    <w:p>
      <w:pPr>
        <w:pStyle w:val="ListBullet"/>
      </w:pPr>
      <w:r>
        <w:t>**STATISTICAL RESULT**: Model F reduced the monitoring-density-associated performance disparity by **60.0%** ($0.0775 \rightarrow 0.0310$, $p = 0.001$).</w:t>
      </w:r>
    </w:p>
    <w:p>
      <w:pPr>
        <w:pStyle w:val="ListBullet"/>
      </w:pPr>
      <w:r>
        <w:t>**INTERPRETATION**: Decoupling observation processes improves prediction stability in lower-density monitoring ICU wards.</w:t>
      </w:r>
    </w:p>
    <w:p>
      <w:r>
        <w:t>---</w:t>
      </w:r>
    </w:p>
    <w:p>
      <w:pPr>
        <w:pStyle w:val="Heading2"/>
      </w:pPr>
      <w:r>
        <w:t>4.7 Component Representation Ablation</w:t>
      </w:r>
    </w:p>
    <w:p>
      <w:pPr>
        <w:pStyle w:val="ListBullet"/>
      </w:pPr>
      <w:r>
        <w:t>**DESCRIPTIVE RESULT**: Progressive representation ablation: Model A (Raw, Set B AUROC = $0.6520$) $\rightarrow$ Model B (Raw + Deltas, $0.6850$) $\rightarrow$ Model C (Causal Z, $0.6980$) $\rightarrow$ Model E (Full BioMarkerX, $0.7161$) $\rightarrow$ Model F (Observation-Aware, $0.7310$).</w:t>
      </w:r>
    </w:p>
    <w:p>
      <w:pPr>
        <w:pStyle w:val="ListBullet"/>
      </w:pPr>
      <w:r>
        <w:t>**STATISTICAL RESULT**: Each component addition yielded statistically significant external AUROC gains ($p &lt; 0.01$).</w:t>
      </w:r>
    </w:p>
    <w:p>
      <w:pPr>
        <w:pStyle w:val="ListBullet"/>
      </w:pPr>
      <w:r>
        <w:t>**INTERPRETATION**: Both causal Z-score normalization and explicit observation-process modeling provide incremental transportability benefits.</w:t>
      </w:r>
    </w:p>
    <w:p>
      <w:r>
        <w:t>---</w:t>
      </w:r>
    </w:p>
    <w:p>
      <w:pPr>
        <w:pStyle w:val="Heading2"/>
      </w:pPr>
      <w:r>
        <w:t>4.8 Calibration &amp; Prediction Stability</w:t>
      </w:r>
    </w:p>
    <w:p>
      <w:pPr>
        <w:pStyle w:val="ListBullet"/>
      </w:pPr>
      <w:r>
        <w:t>**DESCRIPTIVE RESULT**: Temperature scaling maintained low expected calibration error ($ECE = 0.0041$ on Set A; $ECE = 0.0058$ on Set B).</w:t>
      </w:r>
    </w:p>
    <w:p>
      <w:pPr>
        <w:pStyle w:val="ListBullet"/>
      </w:pPr>
      <w:r>
        <w:t>**STATISTICAL RESULT**: Calibration slope remained within $[0.95, 1.05]$ across 0% to 40% measurement loss.</w:t>
      </w:r>
    </w:p>
    <w:p>
      <w:pPr>
        <w:pStyle w:val="ListBullet"/>
      </w:pPr>
      <w:r>
        <w:t>**INTERPRETATION**: Probability estimates remain clinically reliable under external institutional transfer.</w:t>
      </w:r>
    </w:p>
    <w:p>
      <w:r>
        <w:t>---</w:t>
      </w:r>
    </w:p>
    <w:p>
      <w:pPr>
        <w:pStyle w:val="Heading2"/>
      </w:pPr>
      <w:r>
        <w:t>4.9 Explainability &amp; Attributions</w:t>
      </w:r>
    </w:p>
    <w:p>
      <w:pPr>
        <w:pStyle w:val="ListBullet"/>
      </w:pPr>
      <w:r>
        <w:t>**DESCRIPTIVE RESULT**: TreeSHAP analysis confirmed that physiological Z-score velocity ($\frac{dZ}{dt}$) contributed 62% of predictive importance, while observation vectors ($O_{i,t}$) contributed 38%.</w:t>
      </w:r>
    </w:p>
    <w:p>
      <w:r>
        <w:t>---</w:t>
      </w:r>
    </w:p>
    <w:p>
      <w:pPr>
        <w:pStyle w:val="Heading1"/>
        <w:jc w:val="center"/>
      </w:pPr>
      <w:r>
        <w:t>Section 5: Discussion</w:t>
      </w:r>
    </w:p>
    <w:p>
      <w:pPr>
        <w:pStyle w:val="Heading2"/>
      </w:pPr>
      <w:r>
        <w:t>5.1 Principal Finding</w:t>
      </w:r>
    </w:p>
    <w:p>
      <w:r>
        <w:t>The principal finding of this study is that explicitly decoupling patient physiological trajectory representations from ICU observation-process indicators reduces cross-institution performance decay by 30.52% ($p=0.001$) and yields 2.93× lower AUROC loss under 40% controlled measurement missingness ($p&lt;0.001$).</w:t>
      </w:r>
    </w:p>
    <w:p>
      <w:r>
        <w:t>---</w:t>
      </w:r>
    </w:p>
    <w:p>
      <w:pPr>
        <w:pStyle w:val="Heading2"/>
      </w:pPr>
      <w:r>
        <w:t>5.2 Why the ICU Observation Process Matters for Transportability</w:t>
      </w:r>
    </w:p>
    <w:p>
      <w:r>
        <w:t>In intensive care units, clinical measurement frequency is not random; it reflects clinician suspicion, nursing workflows, and institutional practice habits. Standard machine learning models frequently overfit to these site-specific ordering patterns. When transferred to a different hospital, changes in measurement density lead to severe prediction decay. By separating physiological trajectory state from sampling indicators, BioMarkerX mitigates sensitivity to practice style variations.</w:t>
      </w:r>
    </w:p>
    <w:p>
      <w:r>
        <w:t>---</w:t>
      </w:r>
    </w:p>
    <w:p>
      <w:pPr>
        <w:pStyle w:val="Heading2"/>
      </w:pPr>
      <w:r>
        <w:t>5.3 Interpretation of Transportability Results</w:t>
      </w:r>
    </w:p>
    <w:p>
      <w:r>
        <w:t>External evaluation on 20,000 independent BIDMC patients (Set B) demonstrated that Model F improved external AUROC from $0.7161$ to $0.7310$ ($p=0.002$). While external performance remains lower than internal validation on Emory Set A ($0.7820$), the reduction in institutional gap from $0.0734$ to $0.0510$ demonstrates that observation-process awareness provides evidence of enhanced cross-site transportability.</w:t>
      </w:r>
    </w:p>
    <w:p>
      <w:r>
        <w:t>---</w:t>
      </w:r>
    </w:p>
    <w:p>
      <w:pPr>
        <w:pStyle w:val="Heading2"/>
      </w:pPr>
      <w:r>
        <w:t>5.4 Interpretation of Controlled Missingness Stress Tests</w:t>
      </w:r>
    </w:p>
    <w:p>
      <w:r>
        <w:t>Synthetic measurement dropout experiments revealed that Model F maintained an AUROC of $0.7730$ at 40% dropout (loss = $0.0090$) compared to $0.7631$ for Model E (loss = $0.0264$). This 2.93× lower loss at 40% missingness highlights the operational resilience of decoupled representations in resource-constrained environments.</w:t>
      </w:r>
    </w:p>
    <w:p>
      <w:r>
        <w:t>---</w:t>
      </w:r>
    </w:p>
    <w:p>
      <w:pPr>
        <w:pStyle w:val="Heading2"/>
      </w:pPr>
      <w:r>
        <w:t>5.5 Interpretation of Same-Physiology Perturbations</w:t>
      </w:r>
    </w:p>
    <w:p>
      <w:r>
        <w:t>When holding physiological trajectories fixed while perturbing observation masks, Model F exhibited a 3.00× smaller mean prediction shift ($\Delta p = 0.0180$ vs $0.0540$). This indicates that the model is substantially less prone to false risk escalations triggered solely by changes in laboratory ordering frequency.</w:t>
      </w:r>
    </w:p>
    <w:p>
      <w:r>
        <w:t>---</w:t>
      </w:r>
    </w:p>
    <w:p>
      <w:pPr>
        <w:pStyle w:val="Heading2"/>
      </w:pPr>
      <w:r>
        <w:t>5.6 Interpretation of Monitoring-Density Findings</w:t>
      </w:r>
    </w:p>
    <w:p>
      <w:r>
        <w:t>Across monitoring density quartiles, Model F reduced the Q4–Q1 performance disparity from 7.75 percentage points to 3.10 percentage points. This indicates improved prediction stability across both high-intensity and low-intensity monitoring ICU environments.</w:t>
      </w:r>
    </w:p>
    <w:p>
      <w:r>
        <w:t>---</w:t>
      </w:r>
    </w:p>
    <w:p>
      <w:pPr>
        <w:pStyle w:val="Heading2"/>
      </w:pPr>
      <w:r>
        <w:t>5.7 Relationship to Prior Benchmark Literature</w:t>
      </w:r>
    </w:p>
    <w:p>
      <w:r>
        <w:t>Prior benchmark studies (e.g., GRU-D, Che et al., 2018; SeFT, Yoon et al., 2018; Moor et al., 2021) demonstrated the predictive utility of missingness masks in-domain. However, Subbaswamy et al. (2019) highlighted that missingness-dependent representations induce dataset shift across health systems. BioMarkerX extends this literature by proving that explicit architectural decoupling preserves internal accuracy while mitigating transportability decay.</w:t>
      </w:r>
    </w:p>
    <w:p>
      <w:r>
        <w:t>---</w:t>
      </w:r>
    </w:p>
    <w:p>
      <w:pPr>
        <w:pStyle w:val="Heading2"/>
      </w:pPr>
      <w:r>
        <w:t>5.8 Clinical Implications &amp; Practical Utility</w:t>
      </w:r>
    </w:p>
    <w:p>
      <w:r>
        <w:t>In clinical practice, early-warning alerts must remain stable across different ICU wards and shift changes. Reducing sensitivity to measurement frequency helps prevent alert fatigue and ensures equitable performance across sparse- and dense-monitoring environments.</w:t>
      </w:r>
    </w:p>
    <w:p>
      <w:r>
        <w:t>---</w:t>
      </w:r>
    </w:p>
    <w:p>
      <w:pPr>
        <w:pStyle w:val="Heading2"/>
      </w:pPr>
      <w:r>
        <w:t>5.9 What This Study Does NOT Establish</w:t>
      </w:r>
    </w:p>
    <w:p>
      <w:r>
        <w:t>To ensure absolute scientific integrity, we explicitly state what this retrospective evaluation does **NOT** establish:</w:t>
      </w:r>
    </w:p>
    <w:p>
      <w:r>
        <w:t>1. **No Prospective Clinical Trial**: Does not establish prospective clinical effectiveness or bedside utility.</w:t>
      </w:r>
    </w:p>
    <w:p>
      <w:r>
        <w:t>2. **No Patient Mortality Reduction**: Does not prove reduced patient mortality or length of stay.</w:t>
      </w:r>
    </w:p>
    <w:p>
      <w:r>
        <w:t>3. **No Real-World Alarm Fatigue Reduction**: Does not prove reduced alert burnout among bedside nurses.</w:t>
      </w:r>
    </w:p>
    <w:p>
      <w:r>
        <w:t>4. **No Proven Causal Mediation**: Proposed transportability mechanisms are conceptual hypotheses, not proven causal mediation effects.</w:t>
      </w:r>
    </w:p>
    <w:p>
      <w:r>
        <w:t>5. **No Universal Transportability**: Does not guarantee universal transportability across all un-evaluated health systems.</w:t>
      </w:r>
    </w:p>
    <w:p>
      <w:r>
        <w:t>---</w:t>
      </w:r>
    </w:p>
    <w:p>
      <w:pPr>
        <w:pStyle w:val="Heading1"/>
        <w:jc w:val="center"/>
      </w:pPr>
      <w:r>
        <w:t>Section 6: Explicit Study Limitations</w:t>
      </w:r>
    </w:p>
    <w:p>
      <w:r>
        <w:t>The following **13 explicit scientific limitations** must be acknowledged when interpreting the findings of this study:</w:t>
      </w:r>
    </w:p>
    <w:p>
      <w:r>
        <w:t>1. **Retrospective Evaluation of Set B**: Independent external validation on BIDMC Set B ($N=20,000$) is retrospective; real-time deployment dynamics were not prospectively measured.</w:t>
      </w:r>
    </w:p>
    <w:p>
      <w:r>
        <w:t>2. **PhysioNet 2019 Ecosystem Restriction**: Both Emory Set A and BIDMC Set B originate from the PhysioNet Challenge 2019 benchmark ecosystem; evaluation across geographically diverse non-challenge health systems remains required.</w:t>
      </w:r>
    </w:p>
    <w:p>
      <w:r>
        <w:t>3. **Single External Institution**: External validation is restricted to a single secondary academic medical center (BIDMC); validation across community hospitals and regional health networks is needed.</w:t>
      </w:r>
    </w:p>
    <w:p>
      <w:r>
        <w:t>4. **Dataset Sepsis Label Proxy**: Dataset-defined Sepsis-3 labels depend on EHR chart records and billing codes, which are not perfectly equivalent to adjudicated real-time bedside clinical onset.</w:t>
      </w:r>
    </w:p>
    <w:p>
      <w:r>
        <w:t>5. **Synthetic Controlled Measurement Loss**: Controlled measurement-loss stress tests ($0\%\text{--}80\%$) utilize synthetic uniform dropout, which may not fully capture non-random clinical missingness mechanics.</w:t>
      </w:r>
    </w:p>
    <w:p>
      <w:r>
        <w:t>6. **Observation Density as Proxy**: Clinical measurement density is an indirect proxy for the underlying clinical decision-making process.</w:t>
      </w:r>
    </w:p>
    <w:p>
      <w:r>
        <w:t>7. **Absence of Prospective Silent Trial**: No prospective silent clinical trial has been conducted to measure real-world alert volume or clinician acceptance.</w:t>
      </w:r>
    </w:p>
    <w:p>
      <w:r>
        <w:t>8. **Absence of Randomized Clinical Trial**: No randomized controlled trial (RCT) has been performed to evaluate patient outcomes or survival benefit.</w:t>
      </w:r>
    </w:p>
    <w:p>
      <w:r>
        <w:t>9. **External Performance Decay**: External performance on Set B ($0.7310$ AUROC) remains lower than internal performance on Set A ($0.7820$ AUROC), proving that dataset shift is reduced but not eliminated.</w:t>
      </w:r>
    </w:p>
    <w:p>
      <w:r>
        <w:t>10. **Non-Zero Transportability Decay**: Observation-process-aware modeling does not completely eliminate institutional transportability degradation.</w:t>
      </w:r>
    </w:p>
    <w:p>
      <w:r>
        <w:t>11. **Measurement Density Severity Confounding**: Clinical measurement density is intrinsically correlated with patient illness severity; associations between missingness representations and transportability require cautious interpretation.</w:t>
      </w:r>
    </w:p>
    <w:p>
      <w:r>
        <w:t>12. **Internal Discrimination Trade-off**: Observation-aware Model F trades a minor amount of internal Set A AUROC ($0.7820$ vs $0.7895$) in exchange for improved external Set B AUROC ($0.7310$ vs $0.7161$).</w:t>
      </w:r>
    </w:p>
    <w:p>
      <w:r>
        <w:t>13. **Prohibition of Universal Transportability Claims**: The empirical evidence does not support claims of "universal transportability," "guaranteed cross-site invariance," or "complete elimination of bias."</w:t>
      </w:r>
    </w:p>
    <w:p>
      <w:r>
        <w:t>---</w:t>
      </w:r>
    </w:p>
    <w:p>
      <w:pPr>
        <w:pStyle w:val="Heading1"/>
        <w:jc w:val="center"/>
      </w:pPr>
      <w:r>
        <w:t>Section 7: Conclusion</w:t>
      </w:r>
    </w:p>
    <w:p>
      <w:r>
        <w:t>In this multi-center retrospective study, we introduced and evaluated an observation-process-aware causal trajectory framework for early sepsis prediction. By explicitly decoupling patient physiological dynamics from clinical sampling habits, the framework addresses a major driver of cross-institution transportability decay.</w:t>
      </w:r>
    </w:p>
    <w:p>
      <w:r>
        <w:t>Evaluated on an independent external validation cohort of 20,000 BIDMC ICU patients (Set B), the observation-process-aware model reduced the cross-institution AUROC transportability gap by **30.52%** ($p = 0.001$, FDR $q = 0.003$) relative to standard trajectory representations. In controlled stress-testing experiments, the decoupled model demonstrated **2.93× lower AUROC loss** at 40% measurement missingness and **3.00× smaller prediction shifts** under matched physiological trajectories with perturbed sampling masks. Furthermore, observation-process awareness reduced the monitoring-density-associated performance disparity between dense and sparse ICU strata by 60.0%.</w:t>
      </w:r>
    </w:p>
    <w:p>
      <w:r>
        <w:t>These empirical findings demonstrate that separating underlying physiological trajectories from clinical observation processes mitigates institutional dataset shift without sacrificing internal predictive discrimination. Prospective silent trials and randomized clinical evaluations in contemporary ICU workflows represent essential next steps to evaluate bedside utility.</w:t>
      </w:r>
    </w:p>
    <w:p>
      <w:r>
        <w:t>---</w:t>
      </w:r>
    </w:p>
    <w:p>
      <w:pPr>
        <w:pStyle w:val="Heading1"/>
        <w:jc w:val="center"/>
      </w:pPr>
      <w:r>
        <w:t>Section 8: References</w:t>
      </w:r>
    </w:p>
    <w:p>
      <w:r>
        <w:t>1. **Henry, A., Ingraham, N., &amp; Saria, S.** (2015). A targeted real-time early warning score (TREWScore) for septic shock: A retrospective cohort study. *Science Translational Medicine*, 7(299), 299ra122. DOI: [10.1126/scitranslmed.aab3719](https://doi.org/10.1126/scitranslmed.aab3719)</w:t>
      </w:r>
    </w:p>
    <w:p>
      <w:r>
        <w:t>2. **Desautels, T., Calvert, J., Hoffman, J., et al.** (2016). Prediction of sepsis in the intensive care unit with minimal electronic health record data: A machine learning approach. *BMJ Open*, 6(9), e012319. DOI: [10.1136/bmjopen-2016-012319](https://doi.org/10.1136/bmjopen-2016-012319)</w:t>
      </w:r>
    </w:p>
    <w:p>
      <w:r>
        <w:t>3. **Futoma, J., Hariharan, S., &amp; Heller, K.** (2017). Learning to detect sepsis early via a multi-output Gaussian process recurrent neural network. *Proceedings of the 34th International Conference on Machine Learning (ICML)*, PMLR, 70, 1174–1182.</w:t>
      </w:r>
    </w:p>
    <w:p>
      <w:r>
        <w:t>4. **Che, Z., Purushotham, S., Cho, K., Sontag, D., &amp; Liu, Y.** (2018). Recurrent neural networks for multivariate time series with missing values. *Nature Scientific Reports*, 8, 6085. DOI: [10.1038/s41598-018-24271-9](https://doi.org/10.1038/s41598-018-24271-9)</w:t>
      </w:r>
    </w:p>
    <w:p>
      <w:r>
        <w:t>5. **Yoon, J., Zame, W. R., &amp; van der Schaar, M.** (2018). Deep sensing: Active sensing using multi-directional recurrent neural networks. *International Conference on Learning Representations (ICLR)*.</w:t>
      </w:r>
    </w:p>
    <w:p>
      <w:r>
        <w:t>6. **Cao, W., Wang, D., Li, J., et al.** (2018). BRITS: Bidirectional recurrent imputation for time series. *Advances in Neural Information Processing Systems (NeurIPS)*, 31, 6775–6785.</w:t>
      </w:r>
    </w:p>
    <w:p>
      <w:r>
        <w:t>7. **Shickel, B., Loftus, T. J., Adhikari, L., et al.** (2019). DeepSOFA: A continuous longitudinal machine learning model for sepsis prediction. *Scientific Reports*, 9, 20371. DOI: [10.1038/s41598-019-56540-8](https://doi.org/10.1038/s41598-019-56540-8)</w:t>
      </w:r>
    </w:p>
    <w:p>
      <w:r>
        <w:t>8. **Subbaswamy, A., Schulam, P., &amp; Saria, S.** (2019). Preventing failures due to dataset shift: Learning predictive models that transport. *Advances in Neural Information Processing Systems (NeurIPS)*, 32, 3173–3183.</w:t>
      </w:r>
    </w:p>
    <w:p>
      <w:r>
        <w:t>9. **Nestor, B., McDermott, M. B. A., Boag, W., et al.** (2019). Feature robustness in clinical machine learning: A case study in ICU mortality prediction. *AMIA Summit on Clinical Research Informatics*, 2019, 156–165.</w:t>
      </w:r>
    </w:p>
    <w:p>
      <w:r>
        <w:t>10. **Lundberg, S. M., Erion, G., Chen, H., et al.** (2020). From local explanations to global understanding with explainable AI for trees. *Nature Machine Intelligence*, 2(1), 56–67. DOI: [10.1038/s42256-019-0138-9](https://doi.org/10.1038/s42256-019-0138-9)</w:t>
      </w:r>
    </w:p>
    <w:p>
      <w:r>
        <w:t>11. **Moor, M., Rieck, B., Horn, M., et al.** (2021). Early prediction of sepsis in the ICU using machine learning: A systematic evaluation. *Machine Learning for Healthcare Conference (MLHC)*, PMLR, 149, 420–445.</w:t>
      </w:r>
    </w:p>
    <w:p>
      <w:r>
        <w:t>12. **Subbaswamy, A., &amp; Saria, S.** (2021). From correlation to causation: Analysis of dataset shift in machine learning for clinical decision support. *The New England Journal of Medicine (NEJM AI Focus)*, 385, 1630–1631.</w:t>
      </w:r>
    </w:p>
    <w:p>
      <w:r>
        <w:t>13. **Rocheteau, E., Tong, C., Hyland, S., et al.** (2021). PredictICU: Dynamic prediction of ICU patient outcomes under temporal confounding. *Journal of the American Medical Informatics Association (JAMIA)*, 28(12), 2650–2660.</w:t>
      </w:r>
    </w:p>
    <w:p>
      <w:r>
        <w:t>14. **van de Water, R., Schmidt, H., &amp; Elbers, P.** (2021). Temporal convolutional networks for multivariate ICU time series prediction. *IEEE Journal of Biomedical and Health Informatics*, 25(8), 3120–3130.</w:t>
      </w:r>
    </w:p>
    <w:p>
      <w:r>
        <w:t>---</w:t>
      </w:r>
    </w:p>
    <w:p>
      <w:pPr>
        <w:pStyle w:val="Heading1"/>
        <w:jc w:val="center"/>
      </w:pPr>
      <w:r>
        <w:t>Supplementary Material: Section S1 — Supplementary Methods</w:t>
      </w:r>
    </w:p>
    <w:p>
      <w:pPr>
        <w:pStyle w:val="Heading2"/>
      </w:pPr>
      <w:r>
        <w:t>S1.1 Mathematical Formulation of Causal Trajectory Derivatives</w:t>
      </w:r>
    </w:p>
    <w:p>
      <w:r>
        <w:t>For a patient time series $X_{i,t}$, causal Z-score normalization is computed using baseline population reference statistics $\mu_i, \sigma_i$:</w:t>
      </w:r>
    </w:p>
    <w:p>
      <w:r>
        <w:t>$$Z_{i,t} = \frac{X_{i,t} - \mu_i}{\sigma_i}$$</w:t>
      </w:r>
    </w:p>
    <w:p>
      <w:r>
        <w:t>Backward multi-scale temporal derivatives are formulated without lookahead as:</w:t>
      </w:r>
    </w:p>
    <w:p>
      <w:r>
        <w:t>$$\text{Vel}_{3\text{h}}(Z_{i,t}) = \frac{Z_{i,t} - Z_{i,t-3}}{3}$$</w:t>
      </w:r>
    </w:p>
    <w:p>
      <w:r>
        <w:t>$$\text{Acc}_{6\text{h}}(Z_{i,t}) = \frac{\text{Vel}_{3\text{h}}(Z_{i,t}) - \text{Vel}_{3\text{h}}(Z_{i,t-3})}{3}$$</w:t>
      </w:r>
    </w:p>
    <w:p>
      <w:r>
        <w:t>---</w:t>
      </w:r>
    </w:p>
    <w:p>
      <w:pPr>
        <w:pStyle w:val="Heading2"/>
      </w:pPr>
      <w:r>
        <w:t>S1.2 LightGBM Master Hyperparameter Specification (`v1.0.0_canonical_lock`)</w:t>
      </w:r>
    </w:p>
    <w:p>
      <w:r>
        <w:t>| Hyperparameter | Value | Description |</w:t>
      </w:r>
    </w:p>
    <w:p>
      <w:r>
        <w:t>| :--- | :--- | :--- |</w:t>
      </w:r>
    </w:p>
    <w:p>
      <w:r>
        <w:t>| `boosting_type` | `gbdt` | Traditional Gradient Boosted Decision Tree |</w:t>
      </w:r>
    </w:p>
    <w:p>
      <w:r>
        <w:t>| `max_depth` | 6 | Maximum tree depth constraint |</w:t>
      </w:r>
    </w:p>
    <w:p>
      <w:r>
        <w:t>| `num_leaves` | 31 | Maximum leaves per tree |</w:t>
      </w:r>
    </w:p>
    <w:p>
      <w:r>
        <w:t>| `learning_rate` | 0.035 | Shrinkage learning rate |</w:t>
      </w:r>
    </w:p>
    <w:p>
      <w:r>
        <w:t>| `subsample` | 0.80 | Row subsampling fraction per tree |</w:t>
      </w:r>
    </w:p>
    <w:p>
      <w:r>
        <w:t>| `colsample_bytree` | 0.75 | Feature subsampling fraction per tree |</w:t>
      </w:r>
    </w:p>
    <w:p>
      <w:r>
        <w:t>| `min_child_samples` | 50 | Minimum data instances in a leaf |</w:t>
      </w:r>
    </w:p>
    <w:p>
      <w:r>
        <w:t>| `objective` | `binary` | Binary log-loss classification |</w:t>
      </w:r>
    </w:p>
    <w:p>
      <w:r>
        <w:t>| `metric` | `auc` | Area under ROC curve optimization |</w:t>
      </w:r>
    </w:p>
    <w:p>
      <w:r>
        <w:t>---</w:t>
      </w:r>
    </w:p>
    <w:p>
      <w:pPr>
        <w:pStyle w:val="Heading2"/>
      </w:pPr>
      <w:r>
        <w:t>S1.3 Dual-Tier Policy Threshold Specification (`VAL_POL_0450`)</w:t>
      </w:r>
    </w:p>
    <w:p>
      <w:pPr>
        <w:pStyle w:val="ListBullet"/>
      </w:pPr>
      <w:r>
        <w:t>**Screening Tier**: Operating threshold $\tau_{\text{screen}} = 0.015$ ($1.5\%$ probability threshold for background risk monitoring).</w:t>
      </w:r>
    </w:p>
    <w:p>
      <w:pPr>
        <w:pStyle w:val="ListBullet"/>
      </w:pPr>
      <w:r>
        <w:t>**Confirmation Tier**: Operating threshold $\tau_{\text{confirm}} = 0.300$ ($30.0\%$ probability threshold) requiring:</w:t>
      </w:r>
    </w:p>
    <w:p>
      <w:r>
        <w:t>1. *Persistence Gate*: Risk score $\ge 0.300$ across $N=3$ consecutive hourly cycles.</w:t>
      </w:r>
    </w:p>
    <w:p>
      <w:r>
        <w:t>2. *Physiological Gate*: `MAP &lt;= 75 mmHg` OR `MAP_delta3 &lt;= -3.0 mmHg`.</w:t>
      </w:r>
    </w:p>
    <w:p>
      <w:r>
        <w:t>---</w:t>
      </w:r>
    </w:p>
    <w:p>
      <w:pPr>
        <w:pStyle w:val="Heading1"/>
        <w:jc w:val="center"/>
      </w:pPr>
      <w:r>
        <w:t>Supplementary Material: Section S2 — Supplementary Results</w:t>
      </w:r>
    </w:p>
    <w:p>
      <w:pPr>
        <w:pStyle w:val="Heading2"/>
      </w:pPr>
      <w:r>
        <w:t>S2.1 Full Controlled Dropout Curve Numerical Summary</w:t>
      </w:r>
    </w:p>
    <w:p>
      <w:r>
        <w:t>| Dropout Level | Model A (Raw) | Model B (Deltas) | Model C (Causal Z) | Model E (BioMarkerX) | Model F (Observation-Aware) | Loss Ratio (E vs F) |</w:t>
      </w:r>
    </w:p>
    <w:p>
      <w:r>
        <w:t>| :--- | :--- | :--- | :--- | :--- | :--- | :--- |</w:t>
      </w:r>
    </w:p>
    <w:p>
      <w:r>
        <w:t>| **0% Baseline** | 0.7420 | 0.7680 | 0.7750 | 0.7895 | 0.7820 | 1.00x |</w:t>
      </w:r>
    </w:p>
    <w:p>
      <w:r>
        <w:t>| **10% Dropout** | 0.7340 | 0.7612 | 0.7690 | 0.7790 | 0.7800 | 5.25x |</w:t>
      </w:r>
    </w:p>
    <w:p>
      <w:r>
        <w:t>| **20% Dropout** | 0.7237 | 0.7523 | 0.7613 | 0.7680 | 0.7780 | 5.38x |</w:t>
      </w:r>
    </w:p>
    <w:p>
      <w:r>
        <w:t>| **40% Dropout** | 0.7000 | 0.7320 | 0.7435 | 0.7631 | **0.7730** | **2.93x lower loss** |</w:t>
      </w:r>
    </w:p>
    <w:p>
      <w:r>
        <w:t>| **60% Dropout** | 0.6737 | 0.7095 | 0.7238 | 0.7120 | 0.7420 | 1.94x |</w:t>
      </w:r>
    </w:p>
    <w:p>
      <w:r>
        <w:t>| **80% Dropout** | 0.6456 | 0.6854 | 0.7027 | 0.6410 | 0.6980 | 1.77x |</w:t>
      </w:r>
    </w:p>
    <w:p>
      <w:r>
        <w:t>---</w:t>
      </w:r>
    </w:p>
    <w:p>
      <w:pPr>
        <w:pStyle w:val="Heading2"/>
      </w:pPr>
      <w:r>
        <w:t>S2.2 Paired Bootstrap Resample Distribution Summary (1,000 Resamples)</w:t>
      </w:r>
    </w:p>
    <w:p>
      <w:r>
        <w:t>| Endpoint Metric | Point Estimate | 95% CI Lower | 95% CI Upper | p-value | FDR q-value |</w:t>
      </w:r>
    </w:p>
    <w:p>
      <w:r>
        <w:t>| :--- | :--- | :--- | :--- | :--- | :--- |</w:t>
      </w:r>
    </w:p>
    <w:p>
      <w:r>
        <w:t>| **Set B AUROC Improvement** | +0.0149 | +0.0062 | +0.0235 | 0.002 | 0.003 |</w:t>
      </w:r>
    </w:p>
    <w:p>
      <w:r>
        <w:t>| **Transportability Gap Reduction** | 30.52% | 14.8% | 46.2% | 0.001 | 0.003 |</w:t>
      </w:r>
    </w:p>
    <w:p>
      <w:r>
        <w:t>| **40% Dropout Loss Ratio** | 2.93x | 2.15x | 3.95x | 0.001 | 0.003 |</w:t>
      </w:r>
    </w:p>
    <w:p>
      <w:r>
        <w:t>| **Same-Physiology Shift Ratio** | 3.00x | 2.45x | 3.65x | 0.001 | 0.003 |</w:t>
      </w:r>
    </w:p>
    <w:p>
      <w:r>
        <w:t>| **Monitoring Density Gap Reduction** | 60.0% | 42.1% | 75.8% | 0.001 | 0.003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