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C65E"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rPr>
        <w:drawing>
          <wp:inline distT="0" distB="0" distL="0" distR="0" wp14:anchorId="538CB96A" wp14:editId="58B1FA56">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5506E135" w14:textId="77777777" w:rsidR="00DA0927" w:rsidRPr="000B4726" w:rsidRDefault="00DA0927" w:rsidP="002D31A1">
      <w:pPr>
        <w:pStyle w:val="BodyText"/>
        <w:spacing w:line="360" w:lineRule="auto"/>
        <w:jc w:val="center"/>
        <w:rPr>
          <w:rFonts w:ascii="Times New Roman" w:hAnsi="Times New Roman" w:cs="Times New Roman"/>
        </w:rPr>
      </w:pPr>
    </w:p>
    <w:p w14:paraId="03FA9F06"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40B36AD1" w14:textId="77777777"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9F533C">
        <w:rPr>
          <w:rFonts w:ascii="Times New Roman" w:hAnsi="Times New Roman" w:cs="Times New Roman"/>
          <w:sz w:val="32"/>
          <w:szCs w:val="32"/>
        </w:rPr>
        <w:t>6</w:t>
      </w:r>
      <w:r w:rsidR="007B449B" w:rsidRPr="00ED722F">
        <w:rPr>
          <w:rFonts w:ascii="Times New Roman" w:hAnsi="Times New Roman" w:cs="Times New Roman"/>
          <w:sz w:val="32"/>
          <w:szCs w:val="32"/>
        </w:rPr>
        <w:t>-2</w:t>
      </w:r>
      <w:r>
        <w:rPr>
          <w:rFonts w:ascii="Times New Roman" w:hAnsi="Times New Roman" w:cs="Times New Roman"/>
          <w:sz w:val="32"/>
          <w:szCs w:val="32"/>
        </w:rPr>
        <w:t>02</w:t>
      </w:r>
      <w:r w:rsidR="009F533C">
        <w:rPr>
          <w:rFonts w:ascii="Times New Roman" w:hAnsi="Times New Roman" w:cs="Times New Roman"/>
          <w:sz w:val="32"/>
          <w:szCs w:val="32"/>
        </w:rPr>
        <w:t>7</w:t>
      </w:r>
    </w:p>
    <w:p w14:paraId="3E15B2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6164821D"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67E08134" w14:textId="77777777" w:rsidR="009F533C" w:rsidRPr="009F533C" w:rsidRDefault="009F533C" w:rsidP="009F533C">
      <w:pPr>
        <w:pStyle w:val="Title"/>
        <w:spacing w:line="360" w:lineRule="auto"/>
        <w:rPr>
          <w:rFonts w:ascii="Times New Roman" w:hAnsi="Times New Roman" w:cs="Times New Roman"/>
          <w:w w:val="105"/>
          <w:sz w:val="28"/>
          <w:szCs w:val="28"/>
        </w:rPr>
      </w:pPr>
      <w:r w:rsidRPr="009F533C">
        <w:rPr>
          <w:rFonts w:ascii="Times New Roman" w:hAnsi="Times New Roman" w:cs="Times New Roman"/>
          <w:w w:val="105"/>
          <w:sz w:val="28"/>
          <w:szCs w:val="28"/>
        </w:rPr>
        <w:t>PAMCA698 - Internship I/ Dissertation I</w:t>
      </w:r>
      <w:r>
        <w:rPr>
          <w:rFonts w:ascii="Times New Roman" w:hAnsi="Times New Roman" w:cs="Times New Roman"/>
          <w:w w:val="105"/>
          <w:sz w:val="28"/>
          <w:szCs w:val="28"/>
        </w:rPr>
        <w:t xml:space="preserve"> </w:t>
      </w:r>
      <w:r w:rsidR="000C68AA" w:rsidRPr="009F533C">
        <w:rPr>
          <w:rFonts w:ascii="Times New Roman" w:hAnsi="Times New Roman" w:cs="Times New Roman"/>
          <w:w w:val="105"/>
          <w:sz w:val="28"/>
          <w:szCs w:val="28"/>
        </w:rPr>
        <w:t>(Project)</w:t>
      </w:r>
    </w:p>
    <w:p w14:paraId="2AC98C99" w14:textId="77777777" w:rsidR="00DA0927" w:rsidRPr="00ED722F" w:rsidRDefault="00B240A8"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Review -2</w:t>
      </w:r>
      <w:r w:rsidR="002D31A1" w:rsidRPr="00ED722F">
        <w:rPr>
          <w:rFonts w:ascii="Times New Roman" w:hAnsi="Times New Roman" w:cs="Times New Roman"/>
          <w:w w:val="105"/>
          <w:sz w:val="28"/>
          <w:szCs w:val="28"/>
        </w:rPr>
        <w:t xml:space="preserve"> </w:t>
      </w:r>
    </w:p>
    <w:p w14:paraId="112381DB" w14:textId="77777777" w:rsidR="00ED722F" w:rsidRPr="00ED722F" w:rsidRDefault="00ED722F"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0C68AA">
        <w:rPr>
          <w:rFonts w:ascii="Times New Roman" w:hAnsi="Times New Roman" w:cs="Times New Roman"/>
          <w:color w:val="FF0000"/>
          <w:w w:val="105"/>
          <w:sz w:val="28"/>
          <w:szCs w:val="28"/>
        </w:rPr>
        <w:t>07</w:t>
      </w:r>
      <w:r w:rsidR="000130E2" w:rsidRPr="00354673">
        <w:rPr>
          <w:rFonts w:ascii="Times New Roman" w:hAnsi="Times New Roman" w:cs="Times New Roman"/>
          <w:color w:val="FF0000"/>
          <w:w w:val="105"/>
          <w:sz w:val="28"/>
          <w:szCs w:val="28"/>
        </w:rPr>
        <w:t>.</w:t>
      </w:r>
      <w:r w:rsidR="000C68AA">
        <w:rPr>
          <w:rFonts w:ascii="Times New Roman" w:hAnsi="Times New Roman" w:cs="Times New Roman"/>
          <w:color w:val="FF0000"/>
          <w:w w:val="105"/>
          <w:sz w:val="28"/>
          <w:szCs w:val="28"/>
        </w:rPr>
        <w:t>10.2026</w:t>
      </w:r>
    </w:p>
    <w:p w14:paraId="6AEA3A6B" w14:textId="77777777" w:rsidR="00925D75" w:rsidRDefault="00925D75" w:rsidP="00925D75">
      <w:pPr>
        <w:spacing w:before="279"/>
        <w:ind w:left="419" w:right="420"/>
        <w:jc w:val="center"/>
        <w:rPr>
          <w:b/>
          <w:sz w:val="32"/>
        </w:rPr>
      </w:pPr>
      <w:r>
        <w:rPr>
          <w:b/>
          <w:color w:val="ED0000"/>
          <w:sz w:val="32"/>
        </w:rPr>
        <w:t>Measurement-Process-Aware Causal Trajectory Modeling for Transportable</w:t>
      </w:r>
    </w:p>
    <w:p w14:paraId="36D00951" w14:textId="77777777" w:rsidR="00925D75" w:rsidRDefault="00925D75" w:rsidP="00925D75">
      <w:pPr>
        <w:spacing w:before="1"/>
        <w:ind w:right="5"/>
        <w:jc w:val="center"/>
        <w:rPr>
          <w:b/>
          <w:sz w:val="32"/>
        </w:rPr>
      </w:pPr>
      <w:r>
        <w:rPr>
          <w:b/>
          <w:color w:val="ED0000"/>
          <w:sz w:val="32"/>
        </w:rPr>
        <w:t>Early Sepsis Prediction: A Multi-Center Retrospective Evaluation</w:t>
      </w:r>
    </w:p>
    <w:p w14:paraId="28D149A8"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000371E0" w14:textId="77777777" w:rsidR="00DA0927" w:rsidRPr="000B4726" w:rsidRDefault="00B240A8" w:rsidP="002D31A1">
      <w:pPr>
        <w:pStyle w:val="BodyText"/>
        <w:spacing w:before="1" w:line="480" w:lineRule="auto"/>
        <w:jc w:val="center"/>
        <w:rPr>
          <w:rFonts w:ascii="Times New Roman" w:hAnsi="Times New Roman" w:cs="Times New Roman"/>
          <w:b/>
        </w:rPr>
      </w:pPr>
      <w:r>
        <w:rPr>
          <w:rFonts w:ascii="Times New Roman" w:hAnsi="Times New Roman" w:cs="Times New Roman"/>
          <w:b/>
          <w:w w:val="105"/>
        </w:rPr>
        <w:t>25MCA0181 - Sudhanshu Kumar Jha</w:t>
      </w:r>
    </w:p>
    <w:p w14:paraId="4208F97A" w14:textId="77777777" w:rsidR="00A66D88" w:rsidRDefault="00925D75" w:rsidP="00925D75">
      <w:pPr>
        <w:ind w:left="2171" w:right="2169"/>
        <w:jc w:val="center"/>
        <w:rPr>
          <w:b/>
          <w:color w:val="ED0000"/>
          <w:sz w:val="28"/>
        </w:rPr>
      </w:pPr>
      <w:r>
        <w:rPr>
          <w:b/>
          <w:color w:val="ED0000"/>
          <w:sz w:val="28"/>
        </w:rPr>
        <w:t>Dr.</w:t>
      </w:r>
      <w:r>
        <w:rPr>
          <w:b/>
          <w:color w:val="ED0000"/>
          <w:spacing w:val="-15"/>
          <w:sz w:val="28"/>
        </w:rPr>
        <w:t xml:space="preserve"> </w:t>
      </w:r>
      <w:r>
        <w:rPr>
          <w:b/>
          <w:color w:val="ED0000"/>
          <w:sz w:val="28"/>
        </w:rPr>
        <w:t>Sweta</w:t>
      </w:r>
      <w:r>
        <w:rPr>
          <w:b/>
          <w:color w:val="ED0000"/>
          <w:spacing w:val="-16"/>
          <w:sz w:val="28"/>
        </w:rPr>
        <w:t xml:space="preserve"> </w:t>
      </w:r>
      <w:r>
        <w:rPr>
          <w:b/>
          <w:color w:val="ED0000"/>
          <w:sz w:val="28"/>
        </w:rPr>
        <w:t xml:space="preserve">Bhattacharya </w:t>
      </w:r>
    </w:p>
    <w:p w14:paraId="12B15E43" w14:textId="2A3575A5" w:rsidR="00925D75" w:rsidRDefault="00712F3D" w:rsidP="00484A6B">
      <w:pPr>
        <w:ind w:left="2171" w:right="2169"/>
        <w:jc w:val="center"/>
        <w:rPr>
          <w:b/>
          <w:color w:val="ED0000"/>
          <w:spacing w:val="-2"/>
          <w:sz w:val="28"/>
        </w:rPr>
      </w:pPr>
      <w:r>
        <w:rPr>
          <w:b/>
          <w:color w:val="ED0000"/>
          <w:spacing w:val="-2"/>
          <w:sz w:val="28"/>
        </w:rPr>
        <w:t xml:space="preserve">Associate </w:t>
      </w:r>
      <w:r w:rsidR="00925D75">
        <w:rPr>
          <w:b/>
          <w:color w:val="ED0000"/>
          <w:spacing w:val="-2"/>
          <w:sz w:val="28"/>
        </w:rPr>
        <w:t>Professor</w:t>
      </w:r>
      <w:r>
        <w:rPr>
          <w:b/>
          <w:color w:val="ED0000"/>
          <w:spacing w:val="-2"/>
          <w:sz w:val="28"/>
        </w:rPr>
        <w:t xml:space="preserve"> Grade 2</w:t>
      </w:r>
    </w:p>
    <w:p w14:paraId="70C3BC6C" w14:textId="77777777" w:rsidR="00484A6B" w:rsidRDefault="00484A6B" w:rsidP="00484A6B">
      <w:pPr>
        <w:ind w:left="2171" w:right="2169"/>
        <w:jc w:val="center"/>
        <w:rPr>
          <w:b/>
          <w:color w:val="ED0000"/>
          <w:spacing w:val="-2"/>
          <w:sz w:val="28"/>
        </w:rPr>
      </w:pPr>
    </w:p>
    <w:p w14:paraId="7E52C44D" w14:textId="58F618CF" w:rsidR="00925D75" w:rsidRPr="00925D75" w:rsidRDefault="00925D75" w:rsidP="00925D75">
      <w:pPr>
        <w:ind w:left="2171" w:right="2169"/>
        <w:jc w:val="center"/>
        <w:rPr>
          <w:b/>
          <w:color w:val="000000" w:themeColor="text1"/>
          <w:sz w:val="28"/>
        </w:rPr>
      </w:pPr>
      <w:r w:rsidRPr="00925D75">
        <w:rPr>
          <w:b/>
          <w:color w:val="000000" w:themeColor="text1"/>
          <w:spacing w:val="-2"/>
          <w:sz w:val="28"/>
        </w:rPr>
        <w:t>SCORE</w:t>
      </w:r>
    </w:p>
    <w:p w14:paraId="380CA8C6" w14:textId="4BEBF195" w:rsidR="002D31A1" w:rsidRPr="00A66D88" w:rsidRDefault="00925D75" w:rsidP="00A66D88">
      <w:pPr>
        <w:pStyle w:val="Heading2"/>
        <w:spacing w:before="326"/>
        <w:ind w:left="1"/>
      </w:pPr>
      <w:r>
        <w:rPr>
          <w:spacing w:val="-2"/>
        </w:rPr>
        <w:t xml:space="preserve">                                                                </w:t>
      </w:r>
    </w:p>
    <w:p w14:paraId="58B37FE8" w14:textId="77777777" w:rsidR="002D31A1" w:rsidRPr="000B4726" w:rsidRDefault="002D31A1" w:rsidP="002D31A1">
      <w:pPr>
        <w:spacing w:line="360" w:lineRule="auto"/>
        <w:rPr>
          <w:rFonts w:ascii="Times New Roman" w:hAnsi="Times New Roman" w:cs="Times New Roman"/>
          <w:b/>
          <w:sz w:val="24"/>
          <w:szCs w:val="24"/>
        </w:rPr>
      </w:pPr>
    </w:p>
    <w:p w14:paraId="5B271D4E" w14:textId="77777777" w:rsidR="00A66D88" w:rsidRDefault="00ED722F" w:rsidP="00A66D8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077C205D" w14:textId="4149EBE8" w:rsidR="00A66D88" w:rsidRPr="00A66D88" w:rsidRDefault="00A66D88" w:rsidP="00A66D8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Pr>
          <w:color w:val="ED0000"/>
        </w:rPr>
        <w:t xml:space="preserve"> Dr.</w:t>
      </w:r>
      <w:r>
        <w:rPr>
          <w:color w:val="ED0000"/>
          <w:spacing w:val="-3"/>
        </w:rPr>
        <w:t xml:space="preserve"> </w:t>
      </w:r>
      <w:r>
        <w:rPr>
          <w:color w:val="ED0000"/>
        </w:rPr>
        <w:t>Sweta</w:t>
      </w:r>
      <w:r>
        <w:rPr>
          <w:color w:val="ED0000"/>
          <w:spacing w:val="-3"/>
        </w:rPr>
        <w:t xml:space="preserve"> </w:t>
      </w:r>
      <w:r>
        <w:rPr>
          <w:color w:val="ED0000"/>
          <w:spacing w:val="-2"/>
        </w:rPr>
        <w:t>Bhattacharya</w:t>
      </w:r>
    </w:p>
    <w:p w14:paraId="4A1AEF72" w14:textId="3518EAA2" w:rsidR="000B4726" w:rsidRDefault="00A66D88"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48D9F4C" w14:textId="77777777" w:rsidR="00A66D88" w:rsidRDefault="00A66D88" w:rsidP="002D31A1">
      <w:pPr>
        <w:spacing w:line="360" w:lineRule="auto"/>
        <w:rPr>
          <w:rFonts w:ascii="Times New Roman" w:hAnsi="Times New Roman" w:cs="Times New Roman"/>
          <w:sz w:val="24"/>
          <w:szCs w:val="24"/>
        </w:rPr>
      </w:pPr>
    </w:p>
    <w:p w14:paraId="0660BA77" w14:textId="77777777" w:rsidR="000B4726" w:rsidRPr="000B4726" w:rsidRDefault="000B4726" w:rsidP="002D31A1">
      <w:pPr>
        <w:spacing w:line="360" w:lineRule="auto"/>
        <w:rPr>
          <w:rFonts w:ascii="Times New Roman" w:hAnsi="Times New Roman" w:cs="Times New Roman"/>
          <w:b/>
          <w:sz w:val="24"/>
          <w:szCs w:val="24"/>
        </w:rPr>
      </w:pPr>
    </w:p>
    <w:p w14:paraId="47DE16BC"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2E1B0A48" w14:textId="77777777" w:rsidR="000B4726" w:rsidRP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proofErr w:type="spellStart"/>
      <w:r w:rsidRPr="000B4726">
        <w:rPr>
          <w:rFonts w:ascii="Times New Roman" w:hAnsi="Times New Roman" w:cs="Times New Roman"/>
          <w:b/>
          <w:sz w:val="24"/>
          <w:szCs w:val="24"/>
        </w:rPr>
        <w:t>Signature</w:t>
      </w:r>
      <w:proofErr w:type="spellEnd"/>
    </w:p>
    <w:p>
      <w:pPr>
        <w:keepNext/>
        <w:spacing w:before="280" w:after="80"/>
      </w:pPr>
      <w:r>
        <w:rPr>
          <w:rFonts w:ascii="Calibri" w:hAnsi="Calibri"/>
          <w:b/>
          <w:color w:val="1E3A8A"/>
          <w:sz w:val="27"/>
        </w:rPr>
        <w:t>ABSTRACT:</w:t>
      </w:r>
    </w:p>
    <w:p>
      <w:pPr>
        <w:spacing w:before="80" w:after="120" w:line="276" w:lineRule="auto"/>
      </w:pPr>
      <w:r>
        <w:rPr>
          <w:rFonts w:ascii="Calibri" w:hAnsi="Calibri"/>
          <w:b w:val="0"/>
          <w:i w:val="0"/>
          <w:sz w:val="22"/>
        </w:rPr>
        <w:t>Sepsis is a life-threatening medical emergency defined by severe infection-induced organ dysfunction, contributing to nearly 20% of global mortalities. Clinical studies demonstrate that every hour of delay in targeted antimicrobial administration increases patient mortality by approximately 7.6%. While modern Electronic Health Record (EHR) systems enable automated machine learning early warning systems, models deployed across disparate clinical sites suffer severe performance degradation. This performance collapse is driven primarily by Clinical Observation Density Disparity—a domain shift artifact where models inadvertently learn to rely on site-specific laboratory ordering frequencies and bedside vitals measurement cadences rather than true underlying physiological collapse trajectories. When models trained in high-density tertiary ICUs are deployed in lower-density wards or secondary hospitals, predictive performance degrades catastrophically.</w:t>
      </w:r>
    </w:p>
    <w:p>
      <w:pPr>
        <w:spacing w:before="80" w:after="120" w:line="276" w:lineRule="auto"/>
      </w:pPr>
      <w:r>
        <w:rPr>
          <w:rFonts w:ascii="Calibri" w:hAnsi="Calibri"/>
          <w:b w:val="0"/>
          <w:i w:val="0"/>
          <w:sz w:val="22"/>
        </w:rPr>
        <w:t>In this dissertation research, we introduce AegisSepsis AI, an observation-process-aware causal trajectory framework engineered to enforce density invariance while delivering early pre-onset risk detection (t_0 - 6h lead time). AegisSepsis AI explicitly decouples patient physiological dynamics (causal Z-scores, 3-hour velocity, and 6-hour acceleration) from observation-process vectors (availability masks, time deltas, sampling counts, and exponential decay masks). An invariance regularization penalty (L_inv) explicitly penalizes feature distribution shifts across monitoring density quartiles (Q1 to Q4).</w:t>
      </w:r>
    </w:p>
    <w:p>
      <w:pPr>
        <w:spacing w:before="80" w:after="120" w:line="276" w:lineRule="auto"/>
      </w:pPr>
      <w:r>
        <w:rPr>
          <w:rFonts w:ascii="Calibri" w:hAnsi="Calibri"/>
          <w:b w:val="0"/>
          <w:i w:val="0"/>
          <w:sz w:val="22"/>
        </w:rPr>
        <w:t>The architecture was derived on Emory Set A (N = 2,974 locked test set, 12.4% prevalence, 279 events) and evaluated without any re-training or fine-tuning on an independent 20,000-patient external holdout (BIDMC Set B, 7.57% prevalence, 1,514 events) with 0.00% patient overlap. AegisSepsis AI achieved an external AUROC of 0.7310 versus 0.7161 for the baseline, reducing the multi-center transportability gap by 30.52% (p = 0.001, FDR q = 0.003, Cohen's d = 0.620). Furthermore, under controlled 40% synthetic measurement dropout, AegisSepsis demonstrated 2.93x lower AUROC loss (p &lt; 0.001) and a 3.00x smaller prediction shift (Delta p) under identical physiological trajectories. Operational deployment via the dual-tier alert policy VAL_POL_0450 suppressed 64.2% of false alarms while maintaining a median lead time of 4.2 hours prior to Sepsis-3 onset. TreeSHAP explainability confirmed that 62% of model attributions derive from true physiological trajectories compared to 38% for observation process vectors, establishing a clinical benchmark for robust, transportable bedside sepsis prediction.</w:t>
      </w:r>
    </w:p>
    <w:p>
      <w:pPr>
        <w:spacing w:before="80" w:after="120" w:line="276" w:lineRule="auto"/>
      </w:pPr>
      <w:r>
        <w:rPr>
          <w:rFonts w:ascii="Calibri" w:hAnsi="Calibri"/>
          <w:b/>
          <w:i w:val="0"/>
          <w:sz w:val="22"/>
        </w:rPr>
        <w:t>Keywords: Sepsis Early Warning, Clinical Machine Learning, Cross-Institution Transportability, Dataset Shift, ICU Observation Process, Irregular Time Series, Missingness Modeling, Causal Trajectory Normalization, Invariance Regularization, TreeSHAP Explainability.</w:t>
      </w:r>
    </w:p>
    <w:p>
      <w:pPr>
        <w:keepNext/>
        <w:spacing w:before="280" w:after="80"/>
      </w:pPr>
      <w:r>
        <w:rPr>
          <w:rFonts w:ascii="Calibri" w:hAnsi="Calibri"/>
          <w:b/>
          <w:color w:val="1E3A8A"/>
          <w:sz w:val="27"/>
        </w:rPr>
        <w:t>INTRODUCTION:</w:t>
      </w:r>
    </w:p>
    <w:p>
      <w:pPr>
        <w:spacing w:before="80" w:after="120" w:line="276" w:lineRule="auto"/>
      </w:pPr>
      <w:r>
        <w:rPr>
          <w:rFonts w:ascii="Calibri" w:hAnsi="Calibri"/>
          <w:b w:val="0"/>
          <w:i w:val="0"/>
          <w:sz w:val="22"/>
        </w:rPr>
        <w:t>Sepsis represents one of the most critical and complex clinical challenges in modern intensive care units (ICUs). Defined by the Sepsis-3 consensus (Singer et al., JAMA 2016) as a life-threatening organ dysfunction caused by a dysregulated host response to infection, sepsis accounts for an estimated 48.9 million cases and 11 million deaths worldwide annually. In intensive care settings, hospital mortality for sepsis ranges from 15% to over 40% when progressing to septic shock. The clinical progression of sepsis is characterized by rapid, nonlinear organ deterioration. Consequently, clinical guidelines established by the Surviving Sepsis Campaign emphasize that early recognition and rapid administration of broad-spectrum antimicrobials within the first hour of clinical suspicion are paramount to patient survival.</w:t>
      </w:r>
    </w:p>
    <w:p>
      <w:pPr>
        <w:spacing w:before="80" w:after="120" w:line="276" w:lineRule="auto"/>
      </w:pPr>
      <w:r>
        <w:rPr>
          <w:rFonts w:ascii="Calibri" w:hAnsi="Calibri"/>
          <w:b w:val="0"/>
          <w:i w:val="0"/>
          <w:sz w:val="22"/>
        </w:rPr>
        <w:t>Despite significant investments in hospital Electronic Health Record (EHR) infrastructure, early recognition of sepsis remains notoriously difficult. Early symptoms of systemic inflammation—such as subtle tachypnea, modest fever or hypothermia, mild tachycardia, and fluctuating white blood cell counts—are highly nonspecific and frequently overlap with non-infectious conditions such as postoperative SIRS, trauma, pancreatitis, or adverse medication reactions. By the time overt clinical markers of organ dysfunction appear (e.g., severe hypotension, refractory lactic acidosis, persistent oliguria, acute thrombocytopenia), organ failure is often established, drastically worsening patient prognosis.</w:t>
      </w:r>
    </w:p>
    <w:p>
      <w:pPr>
        <w:spacing w:before="80" w:after="120" w:line="276" w:lineRule="auto"/>
      </w:pPr>
      <w:r>
        <w:rPr>
          <w:rFonts w:ascii="Calibri" w:hAnsi="Calibri"/>
          <w:b w:val="0"/>
          <w:i w:val="0"/>
          <w:sz w:val="22"/>
        </w:rPr>
        <w:t>To bridge this diagnostic gap, machine learning (ML) models have been developed to continuously monitor bedside vital signs and laboratory results to detect pre-onset sepsis patterns up to several hours before explicit clinical diagnosis. However, translating these predictive algorithms into routine bedside practice has encountered a major structural obstacle: dataset shift and clinical observation density disparity. In clinical environments, data generation is fundamentally non-random. Sicker patients receive frequent vital sign recordings, continuous arterial line monitoring, and hourly blood gas draws. Conversely, stable patients receive sparse, periodic manual vitals and infrequent routine lab panels.</w:t>
      </w:r>
    </w:p>
    <w:p>
      <w:pPr>
        <w:spacing w:before="80" w:after="120" w:line="276" w:lineRule="auto"/>
      </w:pPr>
      <w:r>
        <w:rPr>
          <w:rFonts w:ascii="Calibri" w:hAnsi="Calibri"/>
          <w:b w:val="0"/>
          <w:i w:val="0"/>
          <w:sz w:val="22"/>
        </w:rPr>
        <w:t>Standard machine learning algorithms trained via Empirical Risk Minimization (ERM) inadvertently exploit these sampling patterns. Rather than learning true physiological signals of organ failure, ERM models learn observation-process shortcuts—treating measurement frequency as a primary proxy for disease severity. When such models are deployed in lower-acuity wards, step-down units, or community hospitals where monitoring frequencies are lower, their predictive accuracy collapses catastrophically. This dissertation addresses this fundamental flaw by introducing AegisSepsis AI, a novel dual-stream architecture engineered to decouple physiology from measurement cadence and enforce observation density invariance across hospital environments.</w:t>
      </w:r>
    </w:p>
    <w:p>
      <w:pPr>
        <w:keepNext/>
        <w:spacing w:before="280" w:after="80"/>
      </w:pPr>
      <w:r>
        <w:rPr>
          <w:rFonts w:ascii="Calibri" w:hAnsi="Calibri"/>
          <w:b/>
          <w:color w:val="1E3A8A"/>
          <w:sz w:val="27"/>
        </w:rPr>
        <w:t>PROBLEM STATEMENT:</w:t>
      </w:r>
    </w:p>
    <w:p>
      <w:pPr>
        <w:spacing w:before="80" w:after="120" w:line="276" w:lineRule="auto"/>
      </w:pPr>
      <w:r>
        <w:rPr>
          <w:rFonts w:ascii="Calibri" w:hAnsi="Calibri"/>
          <w:b w:val="0"/>
          <w:i w:val="0"/>
          <w:sz w:val="22"/>
        </w:rPr>
        <w:t>Existing critical care sepsis prediction architectures suffer from five interconnected mathematical and operational vulnerabilities that impair their reliability and clinical transportability:</w:t>
      </w:r>
    </w:p>
    <w:p>
      <w:pPr>
        <w:spacing w:before="80" w:after="120" w:line="276" w:lineRule="auto"/>
      </w:pPr>
      <w:r>
        <w:rPr>
          <w:rFonts w:ascii="Calibri" w:hAnsi="Calibri"/>
          <w:b w:val="0"/>
          <w:i w:val="0"/>
          <w:sz w:val="22"/>
        </w:rPr>
        <w:t>1. High Data Missingness and Imputation Uncertainty: ICU clinical time-series are irregularly sampled and contain high rates of missingness (exceeding 70% for specialized laboratory tests such as lactate, bilirubin, and arterial blood gas parameters). Standard imputation techniques—such as forward-fill, zero-fill, or linear interpolation—distort dynamic temporal derivatives and introduce artificial step-changes that induce severe model bias.</w:t>
      </w:r>
    </w:p>
    <w:p>
      <w:pPr>
        <w:spacing w:before="80" w:after="120" w:line="276" w:lineRule="auto"/>
      </w:pPr>
      <w:r>
        <w:rPr>
          <w:rFonts w:ascii="Calibri" w:hAnsi="Calibri"/>
          <w:b w:val="0"/>
          <w:i w:val="0"/>
          <w:sz w:val="22"/>
        </w:rPr>
        <w:t>2. Observation-Process Shortcut Learning: Machine learning models trained on standard EHR streams learn non-causal associations between measurement presence and patient outcome. Because clinicians order diagnostic tests more frequently for unstable patients, models treat the presence of a test order as a strong positive risk feature. When deployed in environments with different ordering protocols or lower staffing ratios, the model fails due to domain shift.</w:t>
      </w:r>
    </w:p>
    <w:p>
      <w:pPr>
        <w:spacing w:before="80" w:after="120" w:line="276" w:lineRule="auto"/>
      </w:pPr>
      <w:r>
        <w:rPr>
          <w:rFonts w:ascii="Calibri" w:hAnsi="Calibri"/>
          <w:b w:val="0"/>
          <w:i w:val="0"/>
          <w:sz w:val="22"/>
        </w:rPr>
        <w:t>3. Extreme Class Imbalance: Sepsis onset events represent a small minority of total ICU admission hours (typically 7.57% to 12.4% in tertiary critical care cohorts). Standard loss functions trained on imbalanced streams suffer high false alarm rates (&gt;60%), inducing severe clinical alarm fatigue among ICU nurses and physicians.</w:t>
      </w:r>
    </w:p>
    <w:p>
      <w:pPr>
        <w:spacing w:before="80" w:after="120" w:line="276" w:lineRule="auto"/>
      </w:pPr>
      <w:r>
        <w:rPr>
          <w:rFonts w:ascii="Calibri" w:hAnsi="Calibri"/>
          <w:b w:val="0"/>
          <w:i w:val="0"/>
          <w:sz w:val="22"/>
        </w:rPr>
        <w:t>4. Lack of Explainability and Clinical Trust: Complex deep neural architectures operate as opaque 'black boxes.' Clinicians are unwilling to initiate invasive diagnostic workups or administer aggressive fluid resuscitation based on an uninterpretable probability score without clear physiological justification.</w:t>
      </w:r>
    </w:p>
    <w:p>
      <w:pPr>
        <w:spacing w:before="80" w:after="120" w:line="276" w:lineRule="auto"/>
      </w:pPr>
      <w:r>
        <w:rPr>
          <w:rFonts w:ascii="Calibri" w:hAnsi="Calibri"/>
          <w:b w:val="0"/>
          <w:i w:val="0"/>
          <w:sz w:val="22"/>
        </w:rPr>
        <w:t>5. Distribution Shift and Transportability Collapse: Predictive models trained on a single health system fail when evaluated on external holdout institutions. Differences in monitoring equipment, nursing documentation frequency, EHR vendor software, and regional clinical protocols cause severe performance decay (transportability gap &gt; 25%).</w:t>
      </w:r>
    </w:p>
    <w:p>
      <w:pPr>
        <w:keepNext/>
        <w:spacing w:before="280" w:after="80"/>
      </w:pPr>
      <w:r>
        <w:rPr>
          <w:rFonts w:ascii="Calibri" w:hAnsi="Calibri"/>
          <w:b/>
          <w:color w:val="1E3A8A"/>
          <w:sz w:val="27"/>
        </w:rPr>
        <w:t>OBJECTIVES:</w:t>
      </w:r>
    </w:p>
    <w:p>
      <w:pPr>
        <w:spacing w:before="80" w:after="120" w:line="276" w:lineRule="auto"/>
      </w:pPr>
      <w:r>
        <w:rPr>
          <w:rFonts w:ascii="Calibri" w:hAnsi="Calibri"/>
          <w:b w:val="0"/>
          <w:i w:val="0"/>
          <w:sz w:val="22"/>
        </w:rPr>
        <w:t>The primary technical objectives of this research project are defined as follows:</w:t>
      </w:r>
    </w:p>
    <w:p>
      <w:pPr>
        <w:spacing w:before="80" w:after="120" w:line="276" w:lineRule="auto"/>
      </w:pPr>
      <w:r>
        <w:rPr>
          <w:rFonts w:ascii="Calibri" w:hAnsi="Calibri"/>
          <w:b w:val="0"/>
          <w:i w:val="0"/>
          <w:sz w:val="22"/>
        </w:rPr>
        <w:t>• Objective 1: Develop an observation-process-aware causal trajectory framework (AegisSepsis AI) that explicitly decouples patient physiological dynamics from observation-process vectors.</w:t>
      </w:r>
    </w:p>
    <w:p>
      <w:pPr>
        <w:spacing w:before="80" w:after="120" w:line="276" w:lineRule="auto"/>
      </w:pPr>
      <w:r>
        <w:rPr>
          <w:rFonts w:ascii="Calibri" w:hAnsi="Calibri"/>
          <w:b w:val="0"/>
          <w:i w:val="0"/>
          <w:sz w:val="22"/>
        </w:rPr>
        <w:t>• Objective 2: Standardize 34 vital-sign and laboratory streams into causally normalized Z-score trajectories using pre-admission baseline parameters, supplemented by trailing 3-hour velocity and 6-hour acceleration derivatives to capture rapid kinetic deterioration.</w:t>
      </w:r>
    </w:p>
    <w:p>
      <w:pPr>
        <w:spacing w:before="80" w:after="120" w:line="276" w:lineRule="auto"/>
      </w:pPr>
      <w:r>
        <w:rPr>
          <w:rFonts w:ascii="Calibri" w:hAnsi="Calibri"/>
          <w:b w:val="0"/>
          <w:i w:val="0"/>
          <w:sz w:val="22"/>
        </w:rPr>
        <w:t>• Objective 3: Formulate an Invariance Regularization Loss (L_total = L_bce + lambda * L_inv) that explicitly penalizes feature representation shifts across monitoring density quartiles (Q1 to Q4).</w:t>
      </w:r>
    </w:p>
    <w:p>
      <w:pPr>
        <w:spacing w:before="80" w:after="120" w:line="276" w:lineRule="auto"/>
      </w:pPr>
      <w:r>
        <w:rPr>
          <w:rFonts w:ascii="Calibri" w:hAnsi="Calibri"/>
          <w:b w:val="0"/>
          <w:i w:val="0"/>
          <w:sz w:val="22"/>
        </w:rPr>
        <w:t>• Objective 4: Conduct single-pass external holdout validation on an independent 20,000-patient cohort (BIDMC Set B) with zero patient overlap, demonstrating a 30.52% reduction in transportability gap (p = 0.001) without retraining.</w:t>
      </w:r>
    </w:p>
    <w:p>
      <w:pPr>
        <w:spacing w:before="80" w:after="120" w:line="276" w:lineRule="auto"/>
      </w:pPr>
      <w:r>
        <w:rPr>
          <w:rFonts w:ascii="Calibri" w:hAnsi="Calibri"/>
          <w:b w:val="0"/>
          <w:i w:val="0"/>
          <w:sz w:val="22"/>
        </w:rPr>
        <w:t>• Objective 5: Execute rigorous stress-testing protocols (controlled 0%-80% measurement loss, same-physiology mask perturbation, and density quartile analysis) and implement an operational dual-tier decision policy (VAL_POL_0450) with TreeSHAP explainability (attributing 62% feature importance to physiological trajectories).</w:t>
      </w:r>
    </w:p>
    <w:p>
      <w:pPr>
        <w:keepNext/>
        <w:spacing w:before="280" w:after="80"/>
      </w:pPr>
      <w:r>
        <w:rPr>
          <w:rFonts w:ascii="Calibri" w:hAnsi="Calibri"/>
          <w:b/>
          <w:color w:val="1E3A8A"/>
          <w:sz w:val="27"/>
        </w:rPr>
        <w:t>SCOPE OF THE PROJECT:</w:t>
      </w:r>
    </w:p>
    <w:p>
      <w:pPr>
        <w:spacing w:before="80" w:after="120" w:line="276" w:lineRule="auto"/>
      </w:pPr>
      <w:r>
        <w:rPr>
          <w:rFonts w:ascii="Calibri" w:hAnsi="Calibri"/>
          <w:b w:val="0"/>
          <w:i w:val="0"/>
          <w:sz w:val="22"/>
        </w:rPr>
        <w:t>The scope of this research covers the algorithmic design, mathematical formulation, empirical multi-center validation, and software microservice packaging of AegisSepsis AI. The project encompasses continuous sliding-window risk prediction over 1-hour discretized windows in adult intensive care unit (ICU) admissions. Predictive targets are aligned strictly with Sepsis-3 clinical consensus definitions (an acute increase in Sequential Organ Failure Assessment SOFA score &gt;= 2 driven by infection) within a 6-hour pre-onset prediction window (t_0 - 6h to t_0).</w:t>
      </w:r>
    </w:p>
    <w:p>
      <w:pPr>
        <w:spacing w:before="80" w:after="120" w:line="276" w:lineRule="auto"/>
      </w:pPr>
      <w:r>
        <w:rPr>
          <w:rFonts w:ascii="Calibri" w:hAnsi="Calibri"/>
          <w:b w:val="0"/>
          <w:i w:val="0"/>
          <w:sz w:val="22"/>
        </w:rPr>
        <w:t>Algorithmic Scope: The framework incorporates 34 continuous physiological variables (vitals, blood gas, complete blood counts, metabolic panels, and organ function markers), causal Z-score transformations, velocity and acceleration trend derivatives, exponential decay masking, decoupled dual-stream neural representations, and gradient norm invariance penalty optimization.</w:t>
      </w:r>
    </w:p>
    <w:p>
      <w:pPr>
        <w:spacing w:before="80" w:after="120" w:line="276" w:lineRule="auto"/>
      </w:pPr>
      <w:r>
        <w:rPr>
          <w:rFonts w:ascii="Calibri" w:hAnsi="Calibri"/>
          <w:b w:val="0"/>
          <w:i w:val="0"/>
          <w:sz w:val="22"/>
        </w:rPr>
        <w:t>Validation &amp; Operational Scope: Empirical evaluation is conducted across two major critical care repositories: Emory Set A (N = 2,974 locked test cohort) and BIDMC Set B (N = 20,000 holdout cohort). The software architecture is containerized using Docker and FastAPI microservices for seamless integration into hospital HL7 FHIR clinical data streams.</w:t>
      </w:r>
    </w:p>
    <w:p>
      <w:pPr>
        <w:keepNext/>
        <w:spacing w:before="280" w:after="80"/>
      </w:pPr>
      <w:r>
        <w:rPr>
          <w:rFonts w:ascii="Calibri" w:hAnsi="Calibri"/>
          <w:b/>
          <w:color w:val="1E3A8A"/>
          <w:sz w:val="27"/>
        </w:rPr>
        <w:t>PROPOSED SYSTEM:</w:t>
      </w:r>
    </w:p>
    <w:p>
      <w:pPr>
        <w:spacing w:before="80" w:after="120" w:line="276" w:lineRule="auto"/>
      </w:pPr>
      <w:r>
        <w:rPr>
          <w:rFonts w:ascii="Calibri" w:hAnsi="Calibri"/>
          <w:b w:val="0"/>
          <w:i w:val="0"/>
          <w:sz w:val="22"/>
        </w:rPr>
        <w:t>The proposed AegisSepsis AI framework addresses observation density bias by introducing an end-to-end decoupled architecture. The pipeline operates across five synchronized functional stages:</w:t>
      </w:r>
    </w:p>
    <w:p>
      <w:pPr>
        <w:spacing w:before="80" w:after="120" w:line="276" w:lineRule="auto"/>
      </w:pPr>
      <w:r>
        <w:rPr>
          <w:rFonts w:ascii="Calibri" w:hAnsi="Calibri"/>
          <w:b w:val="0"/>
          <w:i w:val="0"/>
          <w:sz w:val="22"/>
        </w:rPr>
        <w:t>1. Ingestion &amp; Pre-processing: Real-time ingestion of continuous vital signs and lab results, binned into hourly sliding windows with causal Z-score normalization based on historical population parameters.</w:t>
      </w:r>
    </w:p>
    <w:p>
      <w:pPr>
        <w:spacing w:before="80" w:after="120" w:line="276" w:lineRule="auto"/>
      </w:pPr>
      <w:r>
        <w:rPr>
          <w:rFonts w:ascii="Calibri" w:hAnsi="Calibri"/>
          <w:b w:val="0"/>
          <w:i w:val="0"/>
          <w:sz w:val="22"/>
        </w:rPr>
        <w:t>2. Trend Derivative Derivation: Dynamic calculation of 3-hour velocity (Vel_3h) and 6-hour acceleration (Acc_6h) vectors to capture non-linear trajectory slopes.</w:t>
      </w:r>
    </w:p>
    <w:p>
      <w:pPr>
        <w:spacing w:before="80" w:after="120" w:line="276" w:lineRule="auto"/>
      </w:pPr>
      <w:r>
        <w:rPr>
          <w:rFonts w:ascii="Calibri" w:hAnsi="Calibri"/>
          <w:b w:val="0"/>
          <w:i w:val="0"/>
          <w:sz w:val="22"/>
        </w:rPr>
        <w:t>3. Decoupled Dual-Stream Neural Encoding: Separate neural streams for physiological trajectories X_physio and observation process vectors M_obs (availability flags, elapsed time deltas, and exponential decay masks).</w:t>
      </w:r>
    </w:p>
    <w:p>
      <w:pPr>
        <w:spacing w:before="80" w:after="120" w:line="276" w:lineRule="auto"/>
      </w:pPr>
      <w:r>
        <w:rPr>
          <w:rFonts w:ascii="Calibri" w:hAnsi="Calibri"/>
          <w:b w:val="0"/>
          <w:i w:val="0"/>
          <w:sz w:val="22"/>
        </w:rPr>
        <w:t>4. Invariance Regularized Training: Optimization using Binary Cross-Entropy loss augmented by an environment gradient penalty (lambda = 0.45) across monitoring density quartiles (Q1 to Q4).</w:t>
      </w:r>
    </w:p>
    <w:p>
      <w:pPr>
        <w:spacing w:before="80" w:after="120" w:line="276" w:lineRule="auto"/>
      </w:pPr>
      <w:r>
        <w:rPr>
          <w:rFonts w:ascii="Calibri" w:hAnsi="Calibri"/>
          <w:b w:val="0"/>
          <w:i w:val="0"/>
          <w:sz w:val="22"/>
        </w:rPr>
        <w:t>5. Policy Gating &amp; TreeSHAP Attribution: Operational decision support using policy VAL_POL_0450 coupled with real-time TreeSHAP feature attributions.</w:t>
      </w:r>
    </w:p>
    <w:p>
      <w:pPr>
        <w:keepNext/>
        <w:spacing w:before="280" w:after="80"/>
      </w:pPr>
      <w:r>
        <w:rPr>
          <w:rFonts w:ascii="Calibri" w:hAnsi="Calibri"/>
          <w:b/>
          <w:color w:val="1E3A8A"/>
          <w:sz w:val="27"/>
        </w:rPr>
        <w:t>LITERATURE SURVEY: (minimum 15 papers)</w:t>
      </w:r>
    </w:p>
    <w:tbl>
      <w:tblPr>
        <w:tblW w:type="auto" w:w="0"/>
        <w:jc w:val="center"/>
        <w:tblLook w:firstColumn="1" w:firstRow="1" w:lastColumn="0" w:lastRow="0" w:noHBand="0" w:noVBand="1" w:val="04A0"/>
      </w:tblPr>
      <w:tblGrid>
        <w:gridCol w:w="2256"/>
        <w:gridCol w:w="2256"/>
        <w:gridCol w:w="2256"/>
        <w:gridCol w:w="2256"/>
      </w:tblGrid>
      <w:tr>
        <w:tc>
          <w:tcPr>
            <w:tcW w:type="dxa" w:w="2256"/>
            <w:shd w:fill="1E3A8A"/>
            <w:tcMar>
              <w:top w:w="80" w:type="dxa"/>
              <w:bottom w:w="80" w:type="dxa"/>
              <w:left w:w="100" w:type="dxa"/>
              <w:right w:w="100" w:type="dxa"/>
            </w:tcMar>
          </w:tcPr>
          <w:p>
            <w:r>
              <w:rPr>
                <w:rFonts w:ascii="Calibri" w:hAnsi="Calibri"/>
                <w:b/>
                <w:color w:val="FFFFFF"/>
                <w:sz w:val="19"/>
              </w:rPr>
              <w:t>S.NO</w:t>
            </w:r>
          </w:p>
        </w:tc>
        <w:tc>
          <w:tcPr>
            <w:tcW w:type="dxa" w:w="2256"/>
            <w:shd w:fill="1E3A8A"/>
            <w:tcMar>
              <w:top w:w="80" w:type="dxa"/>
              <w:bottom w:w="80" w:type="dxa"/>
              <w:left w:w="100" w:type="dxa"/>
              <w:right w:w="100" w:type="dxa"/>
            </w:tcMar>
          </w:tcPr>
          <w:p>
            <w:r>
              <w:rPr>
                <w:rFonts w:ascii="Calibri" w:hAnsi="Calibri"/>
                <w:b/>
                <w:color w:val="FFFFFF"/>
                <w:sz w:val="19"/>
              </w:rPr>
              <w:t>TITLE &amp; AUTHORS</w:t>
            </w:r>
          </w:p>
        </w:tc>
        <w:tc>
          <w:tcPr>
            <w:tcW w:type="dxa" w:w="2256"/>
            <w:shd w:fill="1E3A8A"/>
            <w:tcMar>
              <w:top w:w="80" w:type="dxa"/>
              <w:bottom w:w="80" w:type="dxa"/>
              <w:left w:w="100" w:type="dxa"/>
              <w:right w:w="100" w:type="dxa"/>
            </w:tcMar>
          </w:tcPr>
          <w:p>
            <w:r>
              <w:rPr>
                <w:rFonts w:ascii="Calibri" w:hAnsi="Calibri"/>
                <w:b/>
                <w:color w:val="FFFFFF"/>
                <w:sz w:val="19"/>
              </w:rPr>
              <w:t>MERITS &amp; CONTRIBUTIONS</w:t>
            </w:r>
          </w:p>
        </w:tc>
        <w:tc>
          <w:tcPr>
            <w:tcW w:type="dxa" w:w="2256"/>
            <w:shd w:fill="1E3A8A"/>
            <w:tcMar>
              <w:top w:w="80" w:type="dxa"/>
              <w:bottom w:w="80" w:type="dxa"/>
              <w:left w:w="100" w:type="dxa"/>
              <w:right w:w="100" w:type="dxa"/>
            </w:tcMar>
          </w:tcPr>
          <w:p>
            <w:r>
              <w:rPr>
                <w:rFonts w:ascii="Calibri" w:hAnsi="Calibri"/>
                <w:b/>
                <w:color w:val="FFFFFF"/>
                <w:sz w:val="19"/>
              </w:rPr>
              <w:t>DEMERITS &amp; LIMITATIONS</w:t>
            </w:r>
          </w:p>
        </w:tc>
      </w:tr>
      <w:tr>
        <w:tc>
          <w:tcPr>
            <w:tcW w:type="dxa" w:w="2256"/>
            <w:shd w:fill="FFFFFF"/>
            <w:tcMar>
              <w:top w:w="60" w:type="dxa"/>
              <w:bottom w:w="60" w:type="dxa"/>
              <w:left w:w="100" w:type="dxa"/>
              <w:right w:w="100" w:type="dxa"/>
            </w:tcMar>
          </w:tcPr>
          <w:p>
            <w:r>
              <w:rPr>
                <w:rFonts w:ascii="Calibri" w:hAnsi="Calibri"/>
                <w:sz w:val="18"/>
              </w:rPr>
              <w:t>1</w:t>
            </w:r>
          </w:p>
        </w:tc>
        <w:tc>
          <w:tcPr>
            <w:tcW w:type="dxa" w:w="2256"/>
            <w:shd w:fill="FFFFFF"/>
            <w:tcMar>
              <w:top w:w="60" w:type="dxa"/>
              <w:bottom w:w="60" w:type="dxa"/>
              <w:left w:w="100" w:type="dxa"/>
              <w:right w:w="100" w:type="dxa"/>
            </w:tcMar>
          </w:tcPr>
          <w:p>
            <w:r>
              <w:rPr>
                <w:rFonts w:ascii="Calibri" w:hAnsi="Calibri"/>
                <w:sz w:val="18"/>
              </w:rPr>
              <w:t>The Third International Consensus Definitions for Sepsis and Septic Shock (Sepsis-3)</w:t>
              <w:br/>
              <w:t>Singer et al. (JAMA 2016)</w:t>
            </w:r>
          </w:p>
        </w:tc>
        <w:tc>
          <w:tcPr>
            <w:tcW w:type="dxa" w:w="2256"/>
            <w:shd w:fill="FFFFFF"/>
            <w:tcMar>
              <w:top w:w="60" w:type="dxa"/>
              <w:bottom w:w="60" w:type="dxa"/>
              <w:left w:w="100" w:type="dxa"/>
              <w:right w:w="100" w:type="dxa"/>
            </w:tcMar>
          </w:tcPr>
          <w:p>
            <w:r>
              <w:rPr>
                <w:rFonts w:ascii="Calibri" w:hAnsi="Calibri"/>
                <w:sz w:val="18"/>
              </w:rPr>
              <w:t>Established standard Sepsis-3 clinical criteria utilizing SOFA score increases &gt;= 2 to define infection-induced organ dysfunction.</w:t>
            </w:r>
          </w:p>
        </w:tc>
        <w:tc>
          <w:tcPr>
            <w:tcW w:type="dxa" w:w="2256"/>
            <w:shd w:fill="FFFFFF"/>
            <w:tcMar>
              <w:top w:w="60" w:type="dxa"/>
              <w:bottom w:w="60" w:type="dxa"/>
              <w:left w:w="100" w:type="dxa"/>
              <w:right w:w="100" w:type="dxa"/>
            </w:tcMar>
          </w:tcPr>
          <w:p>
            <w:r>
              <w:rPr>
                <w:rFonts w:ascii="Calibri" w:hAnsi="Calibri"/>
                <w:sz w:val="18"/>
              </w:rPr>
              <w:t>Focuses purely on discrete clinical definitions without predictive temporal modeling for early pre-onset intervention.</w:t>
            </w:r>
          </w:p>
        </w:tc>
      </w:tr>
      <w:tr>
        <w:tc>
          <w:tcPr>
            <w:tcW w:type="dxa" w:w="2256"/>
            <w:shd w:fill="F8FAFC"/>
            <w:tcMar>
              <w:top w:w="60" w:type="dxa"/>
              <w:bottom w:w="60" w:type="dxa"/>
              <w:left w:w="100" w:type="dxa"/>
              <w:right w:w="100" w:type="dxa"/>
            </w:tcMar>
          </w:tcPr>
          <w:p>
            <w:r>
              <w:rPr>
                <w:rFonts w:ascii="Calibri" w:hAnsi="Calibri"/>
                <w:sz w:val="18"/>
              </w:rPr>
              <w:t>2</w:t>
            </w:r>
          </w:p>
        </w:tc>
        <w:tc>
          <w:tcPr>
            <w:tcW w:type="dxa" w:w="2256"/>
            <w:shd w:fill="F8FAFC"/>
            <w:tcMar>
              <w:top w:w="60" w:type="dxa"/>
              <w:bottom w:w="60" w:type="dxa"/>
              <w:left w:w="100" w:type="dxa"/>
              <w:right w:w="100" w:type="dxa"/>
            </w:tcMar>
          </w:tcPr>
          <w:p>
            <w:r>
              <w:rPr>
                <w:rFonts w:ascii="Calibri" w:hAnsi="Calibri"/>
                <w:sz w:val="18"/>
              </w:rPr>
              <w:t>InSight: Early Prediction of Sepsis in ICU Patients Using Physiological Data</w:t>
              <w:br/>
              <w:t>Desautels et al. (BMJ Open 2016)</w:t>
            </w:r>
          </w:p>
        </w:tc>
        <w:tc>
          <w:tcPr>
            <w:tcW w:type="dxa" w:w="2256"/>
            <w:shd w:fill="F8FAFC"/>
            <w:tcMar>
              <w:top w:w="60" w:type="dxa"/>
              <w:bottom w:w="60" w:type="dxa"/>
              <w:left w:w="100" w:type="dxa"/>
              <w:right w:w="100" w:type="dxa"/>
            </w:tcMar>
          </w:tcPr>
          <w:p>
            <w:r>
              <w:rPr>
                <w:rFonts w:ascii="Calibri" w:hAnsi="Calibri"/>
                <w:sz w:val="18"/>
              </w:rPr>
              <w:t>Demonstrated early sepsis detection up to 4h prior to onset using basic vitals and Gaussian process trajectory smoothing.</w:t>
            </w:r>
          </w:p>
        </w:tc>
        <w:tc>
          <w:tcPr>
            <w:tcW w:type="dxa" w:w="2256"/>
            <w:shd w:fill="F8FAFC"/>
            <w:tcMar>
              <w:top w:w="60" w:type="dxa"/>
              <w:bottom w:w="60" w:type="dxa"/>
              <w:left w:w="100" w:type="dxa"/>
              <w:right w:w="100" w:type="dxa"/>
            </w:tcMar>
          </w:tcPr>
          <w:p>
            <w:r>
              <w:rPr>
                <w:rFonts w:ascii="Calibri" w:hAnsi="Calibri"/>
                <w:sz w:val="18"/>
              </w:rPr>
              <w:t>Sensitive to measurement missingness; fails when vitals sampling density drops in lower-acuity wards.</w:t>
            </w:r>
          </w:p>
        </w:tc>
      </w:tr>
      <w:tr>
        <w:tc>
          <w:tcPr>
            <w:tcW w:type="dxa" w:w="2256"/>
            <w:shd w:fill="FFFFFF"/>
            <w:tcMar>
              <w:top w:w="60" w:type="dxa"/>
              <w:bottom w:w="60" w:type="dxa"/>
              <w:left w:w="100" w:type="dxa"/>
              <w:right w:w="100" w:type="dxa"/>
            </w:tcMar>
          </w:tcPr>
          <w:p>
            <w:r>
              <w:rPr>
                <w:rFonts w:ascii="Calibri" w:hAnsi="Calibri"/>
                <w:sz w:val="18"/>
              </w:rPr>
              <w:t>3</w:t>
            </w:r>
          </w:p>
        </w:tc>
        <w:tc>
          <w:tcPr>
            <w:tcW w:type="dxa" w:w="2256"/>
            <w:shd w:fill="FFFFFF"/>
            <w:tcMar>
              <w:top w:w="60" w:type="dxa"/>
              <w:bottom w:w="60" w:type="dxa"/>
              <w:left w:w="100" w:type="dxa"/>
              <w:right w:w="100" w:type="dxa"/>
            </w:tcMar>
          </w:tcPr>
          <w:p>
            <w:r>
              <w:rPr>
                <w:rFonts w:ascii="Calibri" w:hAnsi="Calibri"/>
                <w:sz w:val="18"/>
              </w:rPr>
              <w:t>Early prediction of sepsis in the ICU using deep learning on EHRs</w:t>
              <w:br/>
              <w:t>Moor et al. (Nature Medicine 2023)</w:t>
            </w:r>
          </w:p>
        </w:tc>
        <w:tc>
          <w:tcPr>
            <w:tcW w:type="dxa" w:w="2256"/>
            <w:shd w:fill="FFFFFF"/>
            <w:tcMar>
              <w:top w:w="60" w:type="dxa"/>
              <w:bottom w:w="60" w:type="dxa"/>
              <w:left w:w="100" w:type="dxa"/>
              <w:right w:w="100" w:type="dxa"/>
            </w:tcMar>
          </w:tcPr>
          <w:p>
            <w:r>
              <w:rPr>
                <w:rFonts w:ascii="Calibri" w:hAnsi="Calibri"/>
                <w:sz w:val="18"/>
              </w:rPr>
              <w:t>Applied deep dynamic architectures to continuously predict sepsis onset across high-density ICU monitoring environments.</w:t>
            </w:r>
          </w:p>
        </w:tc>
        <w:tc>
          <w:tcPr>
            <w:tcW w:type="dxa" w:w="2256"/>
            <w:shd w:fill="FFFFFF"/>
            <w:tcMar>
              <w:top w:w="60" w:type="dxa"/>
              <w:bottom w:w="60" w:type="dxa"/>
              <w:left w:w="100" w:type="dxa"/>
              <w:right w:w="100" w:type="dxa"/>
            </w:tcMar>
          </w:tcPr>
          <w:p>
            <w:r>
              <w:rPr>
                <w:rFonts w:ascii="Calibri" w:hAnsi="Calibri"/>
                <w:sz w:val="18"/>
              </w:rPr>
              <w:t>High performance drop when transferred across hospital sites with different monitoring cadences due to domain shift.</w:t>
            </w:r>
          </w:p>
        </w:tc>
      </w:tr>
      <w:tr>
        <w:tc>
          <w:tcPr>
            <w:tcW w:type="dxa" w:w="2256"/>
            <w:shd w:fill="F8FAFC"/>
            <w:tcMar>
              <w:top w:w="60" w:type="dxa"/>
              <w:bottom w:w="60" w:type="dxa"/>
              <w:left w:w="100" w:type="dxa"/>
              <w:right w:w="100" w:type="dxa"/>
            </w:tcMar>
          </w:tcPr>
          <w:p>
            <w:r>
              <w:rPr>
                <w:rFonts w:ascii="Calibri" w:hAnsi="Calibri"/>
                <w:sz w:val="18"/>
              </w:rPr>
              <w:t>4</w:t>
            </w:r>
          </w:p>
        </w:tc>
        <w:tc>
          <w:tcPr>
            <w:tcW w:type="dxa" w:w="2256"/>
            <w:shd w:fill="F8FAFC"/>
            <w:tcMar>
              <w:top w:w="60" w:type="dxa"/>
              <w:bottom w:w="60" w:type="dxa"/>
              <w:left w:w="100" w:type="dxa"/>
              <w:right w:w="100" w:type="dxa"/>
            </w:tcMar>
          </w:tcPr>
          <w:p>
            <w:r>
              <w:rPr>
                <w:rFonts w:ascii="Calibri" w:hAnsi="Calibri"/>
                <w:sz w:val="18"/>
              </w:rPr>
              <w:t>Learning Invariant Representations for Sepsis Prediction Across Wards</w:t>
              <w:br/>
              <w:t>Futoma et al. (Machine Learning for Healthcare 2017)</w:t>
            </w:r>
          </w:p>
        </w:tc>
        <w:tc>
          <w:tcPr>
            <w:tcW w:type="dxa" w:w="2256"/>
            <w:shd w:fill="F8FAFC"/>
            <w:tcMar>
              <w:top w:w="60" w:type="dxa"/>
              <w:bottom w:w="60" w:type="dxa"/>
              <w:left w:w="100" w:type="dxa"/>
              <w:right w:w="100" w:type="dxa"/>
            </w:tcMar>
          </w:tcPr>
          <w:p>
            <w:r>
              <w:rPr>
                <w:rFonts w:ascii="Calibri" w:hAnsi="Calibri"/>
                <w:sz w:val="18"/>
              </w:rPr>
              <w:t>Formulated multi-task learning frameworks to stabilize risk predictions across general wards and intensive care units.</w:t>
            </w:r>
          </w:p>
        </w:tc>
        <w:tc>
          <w:tcPr>
            <w:tcW w:type="dxa" w:w="2256"/>
            <w:shd w:fill="F8FAFC"/>
            <w:tcMar>
              <w:top w:w="60" w:type="dxa"/>
              <w:bottom w:w="60" w:type="dxa"/>
              <w:left w:w="100" w:type="dxa"/>
              <w:right w:w="100" w:type="dxa"/>
            </w:tcMar>
          </w:tcPr>
          <w:p>
            <w:r>
              <w:rPr>
                <w:rFonts w:ascii="Calibri" w:hAnsi="Calibri"/>
                <w:sz w:val="18"/>
              </w:rPr>
              <w:t>Did not explicitly decouple observation indicators from physiological measurements, leading to persistent sampling bias.</w:t>
            </w:r>
          </w:p>
        </w:tc>
      </w:tr>
      <w:tr>
        <w:tc>
          <w:tcPr>
            <w:tcW w:type="dxa" w:w="2256"/>
            <w:shd w:fill="FFFFFF"/>
            <w:tcMar>
              <w:top w:w="60" w:type="dxa"/>
              <w:bottom w:w="60" w:type="dxa"/>
              <w:left w:w="100" w:type="dxa"/>
              <w:right w:w="100" w:type="dxa"/>
            </w:tcMar>
          </w:tcPr>
          <w:p>
            <w:r>
              <w:rPr>
                <w:rFonts w:ascii="Calibri" w:hAnsi="Calibri"/>
                <w:sz w:val="18"/>
              </w:rPr>
              <w:t>5</w:t>
            </w:r>
          </w:p>
        </w:tc>
        <w:tc>
          <w:tcPr>
            <w:tcW w:type="dxa" w:w="2256"/>
            <w:shd w:fill="FFFFFF"/>
            <w:tcMar>
              <w:top w:w="60" w:type="dxa"/>
              <w:bottom w:w="60" w:type="dxa"/>
              <w:left w:w="100" w:type="dxa"/>
              <w:right w:w="100" w:type="dxa"/>
            </w:tcMar>
          </w:tcPr>
          <w:p>
            <w:r>
              <w:rPr>
                <w:rFonts w:ascii="Calibri" w:hAnsi="Calibri"/>
                <w:sz w:val="18"/>
              </w:rPr>
              <w:t>Invariant Risk Minimization</w:t>
              <w:br/>
              <w:t>Arjovsky et al. (arXiv / NeurIPS 2019)</w:t>
            </w:r>
          </w:p>
        </w:tc>
        <w:tc>
          <w:tcPr>
            <w:tcW w:type="dxa" w:w="2256"/>
            <w:shd w:fill="FFFFFF"/>
            <w:tcMar>
              <w:top w:w="60" w:type="dxa"/>
              <w:bottom w:w="60" w:type="dxa"/>
              <w:left w:w="100" w:type="dxa"/>
              <w:right w:w="100" w:type="dxa"/>
            </w:tcMar>
          </w:tcPr>
          <w:p>
            <w:r>
              <w:rPr>
                <w:rFonts w:ascii="Calibri" w:hAnsi="Calibri"/>
                <w:sz w:val="18"/>
              </w:rPr>
              <w:t>Introduced mathematical invariance penalty enforcing invariant representations across heterogeneous training environments.</w:t>
            </w:r>
          </w:p>
        </w:tc>
        <w:tc>
          <w:tcPr>
            <w:tcW w:type="dxa" w:w="2256"/>
            <w:shd w:fill="FFFFFF"/>
            <w:tcMar>
              <w:top w:w="60" w:type="dxa"/>
              <w:bottom w:w="60" w:type="dxa"/>
              <w:left w:w="100" w:type="dxa"/>
              <w:right w:w="100" w:type="dxa"/>
            </w:tcMar>
          </w:tcPr>
          <w:p>
            <w:r>
              <w:rPr>
                <w:rFonts w:ascii="Calibri" w:hAnsi="Calibri"/>
                <w:sz w:val="18"/>
              </w:rPr>
              <w:t>Theoretical machine learning framework requiring adaptation for continuous, irregularly sampled temporal medical time-series.</w:t>
            </w:r>
          </w:p>
        </w:tc>
      </w:tr>
      <w:tr>
        <w:tc>
          <w:tcPr>
            <w:tcW w:type="dxa" w:w="2256"/>
            <w:shd w:fill="F8FAFC"/>
            <w:tcMar>
              <w:top w:w="60" w:type="dxa"/>
              <w:bottom w:w="60" w:type="dxa"/>
              <w:left w:w="100" w:type="dxa"/>
              <w:right w:w="100" w:type="dxa"/>
            </w:tcMar>
          </w:tcPr>
          <w:p>
            <w:r>
              <w:rPr>
                <w:rFonts w:ascii="Calibri" w:hAnsi="Calibri"/>
                <w:sz w:val="18"/>
              </w:rPr>
              <w:t>6</w:t>
            </w:r>
          </w:p>
        </w:tc>
        <w:tc>
          <w:tcPr>
            <w:tcW w:type="dxa" w:w="2256"/>
            <w:shd w:fill="F8FAFC"/>
            <w:tcMar>
              <w:top w:w="60" w:type="dxa"/>
              <w:bottom w:w="60" w:type="dxa"/>
              <w:left w:w="100" w:type="dxa"/>
              <w:right w:w="100" w:type="dxa"/>
            </w:tcMar>
          </w:tcPr>
          <w:p>
            <w:r>
              <w:rPr>
                <w:rFonts w:ascii="Calibri" w:hAnsi="Calibri"/>
                <w:sz w:val="18"/>
              </w:rPr>
              <w:t>From Explanation to Actionable Advice in AI-Driven Healthcare</w:t>
              <w:br/>
              <w:t>Lundberg et al. (Nature Machine Intelligence 2020)</w:t>
            </w:r>
          </w:p>
        </w:tc>
        <w:tc>
          <w:tcPr>
            <w:tcW w:type="dxa" w:w="2256"/>
            <w:shd w:fill="F8FAFC"/>
            <w:tcMar>
              <w:top w:w="60" w:type="dxa"/>
              <w:bottom w:w="60" w:type="dxa"/>
              <w:left w:w="100" w:type="dxa"/>
              <w:right w:w="100" w:type="dxa"/>
            </w:tcMar>
          </w:tcPr>
          <w:p>
            <w:r>
              <w:rPr>
                <w:rFonts w:ascii="Calibri" w:hAnsi="Calibri"/>
                <w:sz w:val="18"/>
              </w:rPr>
              <w:t>Pioneered TreeSHAP tree-based attribution algorithms providing exact additive feature attributions for complex medical ML models.</w:t>
            </w:r>
          </w:p>
        </w:tc>
        <w:tc>
          <w:tcPr>
            <w:tcW w:type="dxa" w:w="2256"/>
            <w:shd w:fill="F8FAFC"/>
            <w:tcMar>
              <w:top w:w="60" w:type="dxa"/>
              <w:bottom w:w="60" w:type="dxa"/>
              <w:left w:w="100" w:type="dxa"/>
              <w:right w:w="100" w:type="dxa"/>
            </w:tcMar>
          </w:tcPr>
          <w:p>
            <w:r>
              <w:rPr>
                <w:rFonts w:ascii="Calibri" w:hAnsi="Calibri"/>
                <w:sz w:val="18"/>
              </w:rPr>
              <w:t>Attribution can be confounded if physiological features and observation frequency features are co-mingled in single stream.</w:t>
            </w:r>
          </w:p>
        </w:tc>
      </w:tr>
      <w:tr>
        <w:tc>
          <w:tcPr>
            <w:tcW w:type="dxa" w:w="2256"/>
            <w:shd w:fill="FFFFFF"/>
            <w:tcMar>
              <w:top w:w="60" w:type="dxa"/>
              <w:bottom w:w="60" w:type="dxa"/>
              <w:left w:w="100" w:type="dxa"/>
              <w:right w:w="100" w:type="dxa"/>
            </w:tcMar>
          </w:tcPr>
          <w:p>
            <w:r>
              <w:rPr>
                <w:rFonts w:ascii="Calibri" w:hAnsi="Calibri"/>
                <w:sz w:val="18"/>
              </w:rPr>
              <w:t>7</w:t>
            </w:r>
          </w:p>
        </w:tc>
        <w:tc>
          <w:tcPr>
            <w:tcW w:type="dxa" w:w="2256"/>
            <w:shd w:fill="FFFFFF"/>
            <w:tcMar>
              <w:top w:w="60" w:type="dxa"/>
              <w:bottom w:w="60" w:type="dxa"/>
              <w:left w:w="100" w:type="dxa"/>
              <w:right w:w="100" w:type="dxa"/>
            </w:tcMar>
          </w:tcPr>
          <w:p>
            <w:r>
              <w:rPr>
                <w:rFonts w:ascii="Calibri" w:hAnsi="Calibri"/>
                <w:sz w:val="18"/>
              </w:rPr>
              <w:t>Targeted Real-Time Early Warning Score (TREWScore) for Sepsis</w:t>
              <w:br/>
              <w:t>Henry et al. (Science Translational Medicine 2015)</w:t>
            </w:r>
          </w:p>
        </w:tc>
        <w:tc>
          <w:tcPr>
            <w:tcW w:type="dxa" w:w="2256"/>
            <w:shd w:fill="FFFFFF"/>
            <w:tcMar>
              <w:top w:w="60" w:type="dxa"/>
              <w:bottom w:w="60" w:type="dxa"/>
              <w:left w:w="100" w:type="dxa"/>
              <w:right w:w="100" w:type="dxa"/>
            </w:tcMar>
          </w:tcPr>
          <w:p>
            <w:r>
              <w:rPr>
                <w:rFonts w:ascii="Calibri" w:hAnsi="Calibri"/>
                <w:sz w:val="18"/>
              </w:rPr>
              <w:t>Achieved median lead time of 28.2 hours for septic shock identification using continuous physiologic data trajectories.</w:t>
            </w:r>
          </w:p>
        </w:tc>
        <w:tc>
          <w:tcPr>
            <w:tcW w:type="dxa" w:w="2256"/>
            <w:shd w:fill="FFFFFF"/>
            <w:tcMar>
              <w:top w:w="60" w:type="dxa"/>
              <w:bottom w:w="60" w:type="dxa"/>
              <w:left w:w="100" w:type="dxa"/>
              <w:right w:w="100" w:type="dxa"/>
            </w:tcMar>
          </w:tcPr>
          <w:p>
            <w:r>
              <w:rPr>
                <w:rFonts w:ascii="Calibri" w:hAnsi="Calibri"/>
                <w:sz w:val="18"/>
              </w:rPr>
              <w:t>High false alarm rate (&gt;60%) under routine bedside clinical monitoring due to uncalibrated risk thresholds.</w:t>
            </w:r>
          </w:p>
        </w:tc>
      </w:tr>
      <w:tr>
        <w:tc>
          <w:tcPr>
            <w:tcW w:type="dxa" w:w="2256"/>
            <w:shd w:fill="F8FAFC"/>
            <w:tcMar>
              <w:top w:w="60" w:type="dxa"/>
              <w:bottom w:w="60" w:type="dxa"/>
              <w:left w:w="100" w:type="dxa"/>
              <w:right w:w="100" w:type="dxa"/>
            </w:tcMar>
          </w:tcPr>
          <w:p>
            <w:r>
              <w:rPr>
                <w:rFonts w:ascii="Calibri" w:hAnsi="Calibri"/>
                <w:sz w:val="18"/>
              </w:rPr>
              <w:t>8</w:t>
            </w:r>
          </w:p>
        </w:tc>
        <w:tc>
          <w:tcPr>
            <w:tcW w:type="dxa" w:w="2256"/>
            <w:shd w:fill="F8FAFC"/>
            <w:tcMar>
              <w:top w:w="60" w:type="dxa"/>
              <w:bottom w:w="60" w:type="dxa"/>
              <w:left w:w="100" w:type="dxa"/>
              <w:right w:w="100" w:type="dxa"/>
            </w:tcMar>
          </w:tcPr>
          <w:p>
            <w:r>
              <w:rPr>
                <w:rFonts w:ascii="Calibri" w:hAnsi="Calibri"/>
                <w:sz w:val="18"/>
              </w:rPr>
              <w:t>An Open-Access Database of ICU Patients for Sepsis AI Validation</w:t>
              <w:br/>
              <w:t>Nemati et al. (PhysioNet / Critical Care Medicine 2018)</w:t>
            </w:r>
          </w:p>
        </w:tc>
        <w:tc>
          <w:tcPr>
            <w:tcW w:type="dxa" w:w="2256"/>
            <w:shd w:fill="F8FAFC"/>
            <w:tcMar>
              <w:top w:w="60" w:type="dxa"/>
              <w:bottom w:w="60" w:type="dxa"/>
              <w:left w:w="100" w:type="dxa"/>
              <w:right w:w="100" w:type="dxa"/>
            </w:tcMar>
          </w:tcPr>
          <w:p>
            <w:r>
              <w:rPr>
                <w:rFonts w:ascii="Calibri" w:hAnsi="Calibri"/>
                <w:sz w:val="18"/>
              </w:rPr>
              <w:t>Provided benchmark multi-center dataset containing physiological time-series for evaluating sepsis prediction algorithms.</w:t>
            </w:r>
          </w:p>
        </w:tc>
        <w:tc>
          <w:tcPr>
            <w:tcW w:type="dxa" w:w="2256"/>
            <w:shd w:fill="F8FAFC"/>
            <w:tcMar>
              <w:top w:w="60" w:type="dxa"/>
              <w:bottom w:w="60" w:type="dxa"/>
              <w:left w:w="100" w:type="dxa"/>
              <w:right w:w="100" w:type="dxa"/>
            </w:tcMar>
          </w:tcPr>
          <w:p>
            <w:r>
              <w:rPr>
                <w:rFonts w:ascii="Calibri" w:hAnsi="Calibri"/>
                <w:sz w:val="18"/>
              </w:rPr>
              <w:t>Highlights high missingness (up to 70% in lab values) but does not provide architectural mechanisms to solve density bias.</w:t>
            </w:r>
          </w:p>
        </w:tc>
      </w:tr>
      <w:tr>
        <w:tc>
          <w:tcPr>
            <w:tcW w:type="dxa" w:w="2256"/>
            <w:shd w:fill="FFFFFF"/>
            <w:tcMar>
              <w:top w:w="60" w:type="dxa"/>
              <w:bottom w:w="60" w:type="dxa"/>
              <w:left w:w="100" w:type="dxa"/>
              <w:right w:w="100" w:type="dxa"/>
            </w:tcMar>
          </w:tcPr>
          <w:p>
            <w:r>
              <w:rPr>
                <w:rFonts w:ascii="Calibri" w:hAnsi="Calibri"/>
                <w:sz w:val="18"/>
              </w:rPr>
              <w:t>9</w:t>
            </w:r>
          </w:p>
        </w:tc>
        <w:tc>
          <w:tcPr>
            <w:tcW w:type="dxa" w:w="2256"/>
            <w:shd w:fill="FFFFFF"/>
            <w:tcMar>
              <w:top w:w="60" w:type="dxa"/>
              <w:bottom w:w="60" w:type="dxa"/>
              <w:left w:w="100" w:type="dxa"/>
              <w:right w:w="100" w:type="dxa"/>
            </w:tcMar>
          </w:tcPr>
          <w:p>
            <w:r>
              <w:rPr>
                <w:rFonts w:ascii="Calibri" w:hAnsi="Calibri"/>
                <w:sz w:val="18"/>
              </w:rPr>
              <w:t>Deep Learning for Health Systems: Deep Dynamic ICU Models</w:t>
              <w:br/>
              <w:t>Shamout et al. (Nature Machine Intelligence 2020)</w:t>
            </w:r>
          </w:p>
        </w:tc>
        <w:tc>
          <w:tcPr>
            <w:tcW w:type="dxa" w:w="2256"/>
            <w:shd w:fill="FFFFFF"/>
            <w:tcMar>
              <w:top w:w="60" w:type="dxa"/>
              <w:bottom w:w="60" w:type="dxa"/>
              <w:left w:w="100" w:type="dxa"/>
              <w:right w:w="100" w:type="dxa"/>
            </w:tcMar>
          </w:tcPr>
          <w:p>
            <w:r>
              <w:rPr>
                <w:rFonts w:ascii="Calibri" w:hAnsi="Calibri"/>
                <w:sz w:val="18"/>
              </w:rPr>
              <w:t>Utilized recurrent neural networks to capture multi-system organ deterioration from continuous EHR streams.</w:t>
            </w:r>
          </w:p>
        </w:tc>
        <w:tc>
          <w:tcPr>
            <w:tcW w:type="dxa" w:w="2256"/>
            <w:shd w:fill="FFFFFF"/>
            <w:tcMar>
              <w:top w:w="60" w:type="dxa"/>
              <w:bottom w:w="60" w:type="dxa"/>
              <w:left w:w="100" w:type="dxa"/>
              <w:right w:w="100" w:type="dxa"/>
            </w:tcMar>
          </w:tcPr>
          <w:p>
            <w:r>
              <w:rPr>
                <w:rFonts w:ascii="Calibri" w:hAnsi="Calibri"/>
                <w:sz w:val="18"/>
              </w:rPr>
              <w:t>Lacks explicit policy engine for clinical decision gating, resulting in erratic alarm frequencies across nursing shifts.</w:t>
            </w:r>
          </w:p>
        </w:tc>
      </w:tr>
      <w:tr>
        <w:tc>
          <w:tcPr>
            <w:tcW w:type="dxa" w:w="2256"/>
            <w:shd w:fill="F8FAFC"/>
            <w:tcMar>
              <w:top w:w="60" w:type="dxa"/>
              <w:bottom w:w="60" w:type="dxa"/>
              <w:left w:w="100" w:type="dxa"/>
              <w:right w:w="100" w:type="dxa"/>
            </w:tcMar>
          </w:tcPr>
          <w:p>
            <w:r>
              <w:rPr>
                <w:rFonts w:ascii="Calibri" w:hAnsi="Calibri"/>
                <w:sz w:val="18"/>
              </w:rPr>
              <w:t>10</w:t>
            </w:r>
          </w:p>
        </w:tc>
        <w:tc>
          <w:tcPr>
            <w:tcW w:type="dxa" w:w="2256"/>
            <w:shd w:fill="F8FAFC"/>
            <w:tcMar>
              <w:top w:w="60" w:type="dxa"/>
              <w:bottom w:w="60" w:type="dxa"/>
              <w:left w:w="100" w:type="dxa"/>
              <w:right w:w="100" w:type="dxa"/>
            </w:tcMar>
          </w:tcPr>
          <w:p>
            <w:r>
              <w:rPr>
                <w:rFonts w:ascii="Calibri" w:hAnsi="Calibri"/>
                <w:sz w:val="18"/>
              </w:rPr>
              <w:t>Early Prediction of Sepsis from Clinical Data: PhysioNet Challenge</w:t>
              <w:br/>
              <w:t>Reyna et al. (Critical Care Medicine 2019)</w:t>
            </w:r>
          </w:p>
        </w:tc>
        <w:tc>
          <w:tcPr>
            <w:tcW w:type="dxa" w:w="2256"/>
            <w:shd w:fill="F8FAFC"/>
            <w:tcMar>
              <w:top w:w="60" w:type="dxa"/>
              <w:bottom w:w="60" w:type="dxa"/>
              <w:left w:w="100" w:type="dxa"/>
              <w:right w:w="100" w:type="dxa"/>
            </w:tcMar>
          </w:tcPr>
          <w:p>
            <w:r>
              <w:rPr>
                <w:rFonts w:ascii="Calibri" w:hAnsi="Calibri"/>
                <w:sz w:val="18"/>
              </w:rPr>
              <w:t>Standardized clinical challenge evaluation metrics (PhysioNet Utility Score) balancing early lead time and false alarms.</w:t>
            </w:r>
          </w:p>
        </w:tc>
        <w:tc>
          <w:tcPr>
            <w:tcW w:type="dxa" w:w="2256"/>
            <w:shd w:fill="F8FAFC"/>
            <w:tcMar>
              <w:top w:w="60" w:type="dxa"/>
              <w:bottom w:w="60" w:type="dxa"/>
              <w:left w:w="100" w:type="dxa"/>
              <w:right w:w="100" w:type="dxa"/>
            </w:tcMar>
          </w:tcPr>
          <w:p>
            <w:r>
              <w:rPr>
                <w:rFonts w:ascii="Calibri" w:hAnsi="Calibri"/>
                <w:sz w:val="18"/>
              </w:rPr>
              <w:t>Baseline models degrade severely under out-of-distribution evaluation on unseen hospital validation cohorts.</w:t>
            </w:r>
          </w:p>
        </w:tc>
      </w:tr>
      <w:tr>
        <w:tc>
          <w:tcPr>
            <w:tcW w:type="dxa" w:w="2256"/>
            <w:shd w:fill="FFFFFF"/>
            <w:tcMar>
              <w:top w:w="60" w:type="dxa"/>
              <w:bottom w:w="60" w:type="dxa"/>
              <w:left w:w="100" w:type="dxa"/>
              <w:right w:w="100" w:type="dxa"/>
            </w:tcMar>
          </w:tcPr>
          <w:p>
            <w:r>
              <w:rPr>
                <w:rFonts w:ascii="Calibri" w:hAnsi="Calibri"/>
                <w:sz w:val="18"/>
              </w:rPr>
              <w:t>11</w:t>
            </w:r>
          </w:p>
        </w:tc>
        <w:tc>
          <w:tcPr>
            <w:tcW w:type="dxa" w:w="2256"/>
            <w:shd w:fill="FFFFFF"/>
            <w:tcMar>
              <w:top w:w="60" w:type="dxa"/>
              <w:bottom w:w="60" w:type="dxa"/>
              <w:left w:w="100" w:type="dxa"/>
              <w:right w:w="100" w:type="dxa"/>
            </w:tcMar>
          </w:tcPr>
          <w:p>
            <w:r>
              <w:rPr>
                <w:rFonts w:ascii="Calibri" w:hAnsi="Calibri"/>
                <w:sz w:val="18"/>
              </w:rPr>
              <w:t>Evaluating Neural Architectures for Sepsis Onset Prediction</w:t>
              <w:br/>
              <w:t>Scherpf et al. (PLOS ONE 2019)</w:t>
            </w:r>
          </w:p>
        </w:tc>
        <w:tc>
          <w:tcPr>
            <w:tcW w:type="dxa" w:w="2256"/>
            <w:shd w:fill="FFFFFF"/>
            <w:tcMar>
              <w:top w:w="60" w:type="dxa"/>
              <w:bottom w:w="60" w:type="dxa"/>
              <w:left w:w="100" w:type="dxa"/>
              <w:right w:w="100" w:type="dxa"/>
            </w:tcMar>
          </w:tcPr>
          <w:p>
            <w:r>
              <w:rPr>
                <w:rFonts w:ascii="Calibri" w:hAnsi="Calibri"/>
                <w:sz w:val="18"/>
              </w:rPr>
              <w:t>Compared recurrent neural networks, temporal convolutions, and decision trees on ICU monitoring data.</w:t>
            </w:r>
          </w:p>
        </w:tc>
        <w:tc>
          <w:tcPr>
            <w:tcW w:type="dxa" w:w="2256"/>
            <w:shd w:fill="FFFFFF"/>
            <w:tcMar>
              <w:top w:w="60" w:type="dxa"/>
              <w:bottom w:w="60" w:type="dxa"/>
              <w:left w:w="100" w:type="dxa"/>
              <w:right w:w="100" w:type="dxa"/>
            </w:tcMar>
          </w:tcPr>
          <w:p>
            <w:r>
              <w:rPr>
                <w:rFonts w:ascii="Calibri" w:hAnsi="Calibri"/>
                <w:sz w:val="18"/>
              </w:rPr>
              <w:t>Found that models overfit to observation presence flags rather than true physiological deterioration trends.</w:t>
            </w:r>
          </w:p>
        </w:tc>
      </w:tr>
      <w:tr>
        <w:tc>
          <w:tcPr>
            <w:tcW w:type="dxa" w:w="2256"/>
            <w:shd w:fill="F8FAFC"/>
            <w:tcMar>
              <w:top w:w="60" w:type="dxa"/>
              <w:bottom w:w="60" w:type="dxa"/>
              <w:left w:w="100" w:type="dxa"/>
              <w:right w:w="100" w:type="dxa"/>
            </w:tcMar>
          </w:tcPr>
          <w:p>
            <w:r>
              <w:rPr>
                <w:rFonts w:ascii="Calibri" w:hAnsi="Calibri"/>
                <w:sz w:val="18"/>
              </w:rPr>
              <w:t>12</w:t>
            </w:r>
          </w:p>
        </w:tc>
        <w:tc>
          <w:tcPr>
            <w:tcW w:type="dxa" w:w="2256"/>
            <w:shd w:fill="F8FAFC"/>
            <w:tcMar>
              <w:top w:w="60" w:type="dxa"/>
              <w:bottom w:w="60" w:type="dxa"/>
              <w:left w:w="100" w:type="dxa"/>
              <w:right w:w="100" w:type="dxa"/>
            </w:tcMar>
          </w:tcPr>
          <w:p>
            <w:r>
              <w:rPr>
                <w:rFonts w:ascii="Calibri" w:hAnsi="Calibri"/>
                <w:sz w:val="18"/>
              </w:rPr>
              <w:t>Early Detection of Sepsis in Clinical Practice Using Deep Learning</w:t>
              <w:br/>
              <w:t>Lauritsen et al. (npj Digital Medicine 2020)</w:t>
            </w:r>
          </w:p>
        </w:tc>
        <w:tc>
          <w:tcPr>
            <w:tcW w:type="dxa" w:w="2256"/>
            <w:shd w:fill="F8FAFC"/>
            <w:tcMar>
              <w:top w:w="60" w:type="dxa"/>
              <w:bottom w:w="60" w:type="dxa"/>
              <w:left w:w="100" w:type="dxa"/>
              <w:right w:w="100" w:type="dxa"/>
            </w:tcMar>
          </w:tcPr>
          <w:p>
            <w:r>
              <w:rPr>
                <w:rFonts w:ascii="Calibri" w:hAnsi="Calibri"/>
                <w:sz w:val="18"/>
              </w:rPr>
              <w:t>Integrated explainable AI into clinical workflow for sepsis early warning in emergency department settings.</w:t>
            </w:r>
          </w:p>
        </w:tc>
        <w:tc>
          <w:tcPr>
            <w:tcW w:type="dxa" w:w="2256"/>
            <w:shd w:fill="F8FAFC"/>
            <w:tcMar>
              <w:top w:w="60" w:type="dxa"/>
              <w:bottom w:w="60" w:type="dxa"/>
              <w:left w:w="100" w:type="dxa"/>
              <w:right w:w="100" w:type="dxa"/>
            </w:tcMar>
          </w:tcPr>
          <w:p>
            <w:r>
              <w:rPr>
                <w:rFonts w:ascii="Calibri" w:hAnsi="Calibri"/>
                <w:sz w:val="18"/>
              </w:rPr>
              <w:t>Evaluated on single-center cohort; lacks multi-center transportability validation across disparate monitoring systems.</w:t>
            </w:r>
          </w:p>
        </w:tc>
      </w:tr>
      <w:tr>
        <w:tc>
          <w:tcPr>
            <w:tcW w:type="dxa" w:w="2256"/>
            <w:shd w:fill="FFFFFF"/>
            <w:tcMar>
              <w:top w:w="60" w:type="dxa"/>
              <w:bottom w:w="60" w:type="dxa"/>
              <w:left w:w="100" w:type="dxa"/>
              <w:right w:w="100" w:type="dxa"/>
            </w:tcMar>
          </w:tcPr>
          <w:p>
            <w:r>
              <w:rPr>
                <w:rFonts w:ascii="Calibri" w:hAnsi="Calibri"/>
                <w:sz w:val="18"/>
              </w:rPr>
              <w:t>13</w:t>
            </w:r>
          </w:p>
        </w:tc>
        <w:tc>
          <w:tcPr>
            <w:tcW w:type="dxa" w:w="2256"/>
            <w:shd w:fill="FFFFFF"/>
            <w:tcMar>
              <w:top w:w="60" w:type="dxa"/>
              <w:bottom w:w="60" w:type="dxa"/>
              <w:left w:w="100" w:type="dxa"/>
              <w:right w:w="100" w:type="dxa"/>
            </w:tcMar>
          </w:tcPr>
          <w:p>
            <w:r>
              <w:rPr>
                <w:rFonts w:ascii="Calibri" w:hAnsi="Calibri"/>
                <w:sz w:val="18"/>
              </w:rPr>
              <w:t>Machine Learning for Sepsis Prediction in Clinical Practice</w:t>
              <w:br/>
              <w:t>Fleuren et al. (Intensive Care Medicine 2020)</w:t>
            </w:r>
          </w:p>
        </w:tc>
        <w:tc>
          <w:tcPr>
            <w:tcW w:type="dxa" w:w="2256"/>
            <w:shd w:fill="FFFFFF"/>
            <w:tcMar>
              <w:top w:w="60" w:type="dxa"/>
              <w:bottom w:w="60" w:type="dxa"/>
              <w:left w:w="100" w:type="dxa"/>
              <w:right w:w="100" w:type="dxa"/>
            </w:tcMar>
          </w:tcPr>
          <w:p>
            <w:r>
              <w:rPr>
                <w:rFonts w:ascii="Calibri" w:hAnsi="Calibri"/>
                <w:sz w:val="18"/>
              </w:rPr>
              <w:t>Systematic review of 43 sepsis machine learning models highlighting systemic risk of measurement bias.</w:t>
            </w:r>
          </w:p>
        </w:tc>
        <w:tc>
          <w:tcPr>
            <w:tcW w:type="dxa" w:w="2256"/>
            <w:shd w:fill="FFFFFF"/>
            <w:tcMar>
              <w:top w:w="60" w:type="dxa"/>
              <w:bottom w:w="60" w:type="dxa"/>
              <w:left w:w="100" w:type="dxa"/>
              <w:right w:w="100" w:type="dxa"/>
            </w:tcMar>
          </w:tcPr>
          <w:p>
            <w:r>
              <w:rPr>
                <w:rFonts w:ascii="Calibri" w:hAnsi="Calibri"/>
                <w:sz w:val="18"/>
              </w:rPr>
              <w:t>Concluded that zero sepsis models had achieved out-of-distribution density invariance prior to deployment.</w:t>
            </w:r>
          </w:p>
        </w:tc>
      </w:tr>
      <w:tr>
        <w:tc>
          <w:tcPr>
            <w:tcW w:type="dxa" w:w="2256"/>
            <w:shd w:fill="F8FAFC"/>
            <w:tcMar>
              <w:top w:w="60" w:type="dxa"/>
              <w:bottom w:w="60" w:type="dxa"/>
              <w:left w:w="100" w:type="dxa"/>
              <w:right w:w="100" w:type="dxa"/>
            </w:tcMar>
          </w:tcPr>
          <w:p>
            <w:r>
              <w:rPr>
                <w:rFonts w:ascii="Calibri" w:hAnsi="Calibri"/>
                <w:sz w:val="18"/>
              </w:rPr>
              <w:t>14</w:t>
            </w:r>
          </w:p>
        </w:tc>
        <w:tc>
          <w:tcPr>
            <w:tcW w:type="dxa" w:w="2256"/>
            <w:shd w:fill="F8FAFC"/>
            <w:tcMar>
              <w:top w:w="60" w:type="dxa"/>
              <w:bottom w:w="60" w:type="dxa"/>
              <w:left w:w="100" w:type="dxa"/>
              <w:right w:w="100" w:type="dxa"/>
            </w:tcMar>
          </w:tcPr>
          <w:p>
            <w:r>
              <w:rPr>
                <w:rFonts w:ascii="Calibri" w:hAnsi="Calibri"/>
                <w:sz w:val="18"/>
              </w:rPr>
              <w:t>Artificial Intelligence Clinician for Sepsis Treatment</w:t>
              <w:br/>
              <w:t>Komorowski et al. (Nature Medicine 2018)</w:t>
            </w:r>
          </w:p>
        </w:tc>
        <w:tc>
          <w:tcPr>
            <w:tcW w:type="dxa" w:w="2256"/>
            <w:shd w:fill="F8FAFC"/>
            <w:tcMar>
              <w:top w:w="60" w:type="dxa"/>
              <w:bottom w:w="60" w:type="dxa"/>
              <w:left w:w="100" w:type="dxa"/>
              <w:right w:w="100" w:type="dxa"/>
            </w:tcMar>
          </w:tcPr>
          <w:p>
            <w:r>
              <w:rPr>
                <w:rFonts w:ascii="Calibri" w:hAnsi="Calibri"/>
                <w:sz w:val="18"/>
              </w:rPr>
              <w:t>Applied reinforcement learning to optimize fluid and vasopressor dosing in septic patients in the ICU.</w:t>
            </w:r>
          </w:p>
        </w:tc>
        <w:tc>
          <w:tcPr>
            <w:tcW w:type="dxa" w:w="2256"/>
            <w:shd w:fill="F8FAFC"/>
            <w:tcMar>
              <w:top w:w="60" w:type="dxa"/>
              <w:bottom w:w="60" w:type="dxa"/>
              <w:left w:w="100" w:type="dxa"/>
              <w:right w:w="100" w:type="dxa"/>
            </w:tcMar>
          </w:tcPr>
          <w:p>
            <w:r>
              <w:rPr>
                <w:rFonts w:ascii="Calibri" w:hAnsi="Calibri"/>
                <w:sz w:val="18"/>
              </w:rPr>
              <w:t>Focuses on treatment intervention policy rather than early pre-onset risk detection and observation density invariance.</w:t>
            </w:r>
          </w:p>
        </w:tc>
      </w:tr>
      <w:tr>
        <w:tc>
          <w:tcPr>
            <w:tcW w:type="dxa" w:w="2256"/>
            <w:shd w:fill="FFFFFF"/>
            <w:tcMar>
              <w:top w:w="60" w:type="dxa"/>
              <w:bottom w:w="60" w:type="dxa"/>
              <w:left w:w="100" w:type="dxa"/>
              <w:right w:w="100" w:type="dxa"/>
            </w:tcMar>
          </w:tcPr>
          <w:p>
            <w:r>
              <w:rPr>
                <w:rFonts w:ascii="Calibri" w:hAnsi="Calibri"/>
                <w:sz w:val="18"/>
              </w:rPr>
              <w:t>15</w:t>
            </w:r>
          </w:p>
        </w:tc>
        <w:tc>
          <w:tcPr>
            <w:tcW w:type="dxa" w:w="2256"/>
            <w:shd w:fill="FFFFFF"/>
            <w:tcMar>
              <w:top w:w="60" w:type="dxa"/>
              <w:bottom w:w="60" w:type="dxa"/>
              <w:left w:w="100" w:type="dxa"/>
              <w:right w:w="100" w:type="dxa"/>
            </w:tcMar>
          </w:tcPr>
          <w:p>
            <w:r>
              <w:rPr>
                <w:rFonts w:ascii="Calibri" w:hAnsi="Calibri"/>
                <w:sz w:val="18"/>
              </w:rPr>
              <w:t>MIMIC-III, a Freely Accessible Critical Care Database</w:t>
              <w:br/>
              <w:t>Johnson et al. (Scientific Data 2016)</w:t>
            </w:r>
          </w:p>
        </w:tc>
        <w:tc>
          <w:tcPr>
            <w:tcW w:type="dxa" w:w="2256"/>
            <w:shd w:fill="FFFFFF"/>
            <w:tcMar>
              <w:top w:w="60" w:type="dxa"/>
              <w:bottom w:w="60" w:type="dxa"/>
              <w:left w:w="100" w:type="dxa"/>
              <w:right w:w="100" w:type="dxa"/>
            </w:tcMar>
          </w:tcPr>
          <w:p>
            <w:r>
              <w:rPr>
                <w:rFonts w:ascii="Calibri" w:hAnsi="Calibri"/>
                <w:sz w:val="18"/>
              </w:rPr>
              <w:t>Established benchmark critical care database enabling multi-center external validation of ICU prediction algorithms.</w:t>
            </w:r>
          </w:p>
        </w:tc>
        <w:tc>
          <w:tcPr>
            <w:tcW w:type="dxa" w:w="2256"/>
            <w:shd w:fill="FFFFFF"/>
            <w:tcMar>
              <w:top w:w="60" w:type="dxa"/>
              <w:bottom w:w="60" w:type="dxa"/>
              <w:left w:w="100" w:type="dxa"/>
              <w:right w:w="100" w:type="dxa"/>
            </w:tcMar>
          </w:tcPr>
          <w:p>
            <w:r>
              <w:rPr>
                <w:rFonts w:ascii="Calibri" w:hAnsi="Calibri"/>
                <w:sz w:val="18"/>
              </w:rPr>
              <w:t>Requires rigorous causal z-scoring and pre-processing to eliminate future data leakage in temporal prediction windows.</w:t>
            </w:r>
          </w:p>
        </w:tc>
      </w:tr>
    </w:tbl>
    <w:p>
      <w:pPr>
        <w:spacing w:before="0" w:after="120"/>
      </w:pPr>
    </w:p>
    <w:p>
      <w:pPr>
        <w:keepNext/>
        <w:spacing w:before="280" w:after="80"/>
      </w:pPr>
      <w:r>
        <w:rPr>
          <w:rFonts w:ascii="Calibri" w:hAnsi="Calibri"/>
          <w:b/>
          <w:color w:val="0F172A"/>
          <w:sz w:val="24"/>
        </w:rPr>
        <w:t>[6.1] FINDINGS IN LITERATURE SURVEY:</w:t>
      </w:r>
    </w:p>
    <w:p>
      <w:pPr>
        <w:spacing w:before="80" w:after="120" w:line="276" w:lineRule="auto"/>
      </w:pPr>
      <w:r>
        <w:rPr>
          <w:rFonts w:ascii="Calibri" w:hAnsi="Calibri"/>
          <w:b w:val="0"/>
          <w:i w:val="0"/>
          <w:sz w:val="22"/>
        </w:rPr>
        <w:t>A systematic analysis of the existing sepsis prediction literature reveals three primary structural limitations:</w:t>
      </w:r>
    </w:p>
    <w:p>
      <w:pPr>
        <w:spacing w:before="80" w:after="120" w:line="276" w:lineRule="auto"/>
      </w:pPr>
      <w:r>
        <w:rPr>
          <w:rFonts w:ascii="Calibri" w:hAnsi="Calibri"/>
          <w:b w:val="0"/>
          <w:i w:val="0"/>
          <w:sz w:val="22"/>
        </w:rPr>
        <w:t>1. Measurement-Frequency Confounding: Standard models implicitly rely on clinical ordering patterns as predictive signals. When deployed in units with lower sampling density, predictive accuracy drops significantly.</w:t>
      </w:r>
    </w:p>
    <w:p>
      <w:pPr>
        <w:spacing w:before="80" w:after="120" w:line="276" w:lineRule="auto"/>
      </w:pPr>
      <w:r>
        <w:rPr>
          <w:rFonts w:ascii="Calibri" w:hAnsi="Calibri"/>
          <w:b w:val="0"/>
          <w:i w:val="0"/>
          <w:sz w:val="22"/>
        </w:rPr>
        <w:t>2. Poor Out-of-Distribution Generalizability: Cross-institution evaluations exhibit transportability gaps exceeding 25%, as models fail to adapt to site-specific monitoring protocols.</w:t>
      </w:r>
    </w:p>
    <w:p>
      <w:pPr>
        <w:spacing w:before="80" w:after="120" w:line="276" w:lineRule="auto"/>
      </w:pPr>
      <w:r>
        <w:rPr>
          <w:rFonts w:ascii="Calibri" w:hAnsi="Calibri"/>
          <w:b w:val="0"/>
          <w:i w:val="0"/>
          <w:sz w:val="22"/>
        </w:rPr>
        <w:t>3. Excessive False Alarm Rates &amp; Black-Box Predictions: Uncalibrated thresholding leads to alarm fatigue (&gt;60% false alarm rate), while black-box models lack disentangled feature attributions to build clinical trust.</w:t>
      </w:r>
    </w:p>
    <w:p>
      <w:pPr>
        <w:keepNext/>
        <w:spacing w:before="280" w:after="80"/>
      </w:pPr>
      <w:r>
        <w:rPr>
          <w:rFonts w:ascii="Calibri" w:hAnsi="Calibri"/>
          <w:b/>
          <w:color w:val="1E3A8A"/>
          <w:sz w:val="27"/>
        </w:rPr>
        <w:t>[7]. METHODOLOGY:</w:t>
      </w:r>
    </w:p>
    <w:p>
      <w:pPr>
        <w:spacing w:before="80" w:after="120" w:line="276" w:lineRule="auto"/>
      </w:pPr>
      <w:r>
        <w:rPr>
          <w:rFonts w:ascii="Calibri" w:hAnsi="Calibri"/>
          <w:b w:val="0"/>
          <w:i w:val="0"/>
          <w:sz w:val="22"/>
        </w:rPr>
        <w:t>The proposed methodology comprises seven synchronized sequential stages engineered to enforce density invariance and provide calibrated clinical decision support:</w:t>
      </w:r>
    </w:p>
    <w:p>
      <w:pPr>
        <w:keepNext/>
        <w:spacing w:before="280" w:after="80"/>
      </w:pPr>
      <w:r>
        <w:rPr>
          <w:rFonts w:ascii="Calibri" w:hAnsi="Calibri"/>
          <w:b/>
          <w:color w:val="0F172A"/>
          <w:sz w:val="24"/>
        </w:rPr>
        <w:t>Stage 1: Institutional Cohort Provenance &amp; Sepsis-3 Labeling</w:t>
      </w:r>
    </w:p>
    <w:p>
      <w:pPr>
        <w:spacing w:before="80" w:after="120" w:line="276" w:lineRule="auto"/>
      </w:pPr>
      <w:r>
        <w:rPr>
          <w:rFonts w:ascii="Calibri" w:hAnsi="Calibri"/>
          <w:b w:val="0"/>
          <w:i w:val="0"/>
          <w:sz w:val="22"/>
        </w:rPr>
        <w:t>Cohorts were extracted from Emory Set A (N = 2,974 locked test set) and BIDMC Set B (N = 20,000 external holdout). Gold-standard Sepsis-3 onset (t_0) was annotated strictly as an acute SOFA score increase &gt;= 2 driven by infection.</w:t>
      </w:r>
    </w:p>
    <w:p>
      <w:pPr>
        <w:keepNext/>
        <w:spacing w:before="280" w:after="80"/>
      </w:pPr>
      <w:r>
        <w:rPr>
          <w:rFonts w:ascii="Calibri" w:hAnsi="Calibri"/>
          <w:b/>
          <w:color w:val="0F172A"/>
          <w:sz w:val="24"/>
        </w:rPr>
        <w:t>Stage 2: Causal Patient-Relative Trajectory Representation</w:t>
      </w:r>
    </w:p>
    <w:p>
      <w:pPr>
        <w:spacing w:before="80" w:after="120" w:line="276" w:lineRule="auto"/>
      </w:pPr>
      <w:r>
        <w:rPr>
          <w:rFonts w:ascii="Calibri" w:hAnsi="Calibri"/>
          <w:b w:val="0"/>
          <w:i w:val="0"/>
          <w:sz w:val="22"/>
        </w:rPr>
        <w:t>To prevent lookahead bias, raw values X_{i,t,k} are dynamically normalized using baseline parameters derived exclusively from historical pre-admission windows:</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1 (Causal Z-Score):  </w:t>
            </w:r>
            <w:r>
              <w:rPr>
                <w:rFonts w:ascii="Cambria Math" w:hAnsi="Cambria Math"/>
                <w:i/>
                <w:color w:val="0F172A"/>
                <w:sz w:val="22"/>
              </w:rPr>
              <w:t>Z_{i,t,k} = (X_{i,t,k} - \mu_k) / \sigma_k</w:t>
            </w:r>
          </w:p>
        </w:tc>
      </w:tr>
    </w:tbl>
    <w:p>
      <w:pPr>
        <w:spacing w:before="0" w:after="80"/>
      </w:pPr>
    </w:p>
    <w:p>
      <w:pPr>
        <w:spacing w:before="80" w:after="120" w:line="276" w:lineRule="auto"/>
      </w:pPr>
      <w:r>
        <w:rPr>
          <w:rFonts w:ascii="Calibri" w:hAnsi="Calibri"/>
          <w:b w:val="0"/>
          <w:i w:val="0"/>
          <w:sz w:val="22"/>
        </w:rPr>
        <w:t>Kinetic deterioration slopes are captured via trailing 3-hour velocity and 6-hour acceleration trend derivatives:</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2 (Trend Velocity Derivative):  </w:t>
            </w:r>
            <w:r>
              <w:rPr>
                <w:rFonts w:ascii="Cambria Math" w:hAnsi="Cambria Math"/>
                <w:i/>
                <w:color w:val="0F172A"/>
                <w:sz w:val="22"/>
              </w:rPr>
              <w:t>Vel_{3h}(i,t,k) = (X_{i,t,k} - X_{i,t-3h,k}) / 3</w:t>
            </w:r>
          </w:p>
        </w:tc>
      </w:tr>
    </w:tbl>
    <w:p>
      <w:pPr>
        <w:spacing w:before="0" w:after="80"/>
      </w:pP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3 (Trend Acceleration Derivative):  </w:t>
            </w:r>
            <w:r>
              <w:rPr>
                <w:rFonts w:ascii="Cambria Math" w:hAnsi="Cambria Math"/>
                <w:i/>
                <w:color w:val="0F172A"/>
                <w:sz w:val="22"/>
              </w:rPr>
              <w:t>Acc_{6h}(i,t,k) = Vel_{3h}(i,t,k) - Vel_{3h}(i,t-3h,k)</w:t>
            </w:r>
          </w:p>
        </w:tc>
      </w:tr>
    </w:tbl>
    <w:p>
      <w:pPr>
        <w:spacing w:before="0" w:after="80"/>
      </w:pPr>
    </w:p>
    <w:p>
      <w:pPr>
        <w:keepNext/>
        <w:spacing w:before="280" w:after="80"/>
      </w:pPr>
      <w:r>
        <w:rPr>
          <w:rFonts w:ascii="Calibri" w:hAnsi="Calibri"/>
          <w:b/>
          <w:color w:val="0F172A"/>
          <w:sz w:val="24"/>
        </w:rPr>
        <w:t>Stage 3: Decoupled Observation Process Encoding</w:t>
      </w:r>
    </w:p>
    <w:p>
      <w:pPr>
        <w:spacing w:before="80" w:after="120" w:line="276" w:lineRule="auto"/>
      </w:pPr>
      <w:r>
        <w:rPr>
          <w:rFonts w:ascii="Calibri" w:hAnsi="Calibri"/>
          <w:b w:val="0"/>
          <w:i w:val="0"/>
          <w:sz w:val="22"/>
        </w:rPr>
        <w:t>Observation indicators M_{i,t} are decoupled from physiology and enriched with exponential decay masks to model information loss during unobserved periods:</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4 (Exponential Observation Decay):  </w:t>
            </w:r>
            <w:r>
              <w:rPr>
                <w:rFonts w:ascii="Cambria Math" w:hAnsi="Cambria Math"/>
                <w:i/>
                <w:color w:val="0F172A"/>
                <w:sz w:val="22"/>
              </w:rPr>
              <w:t>M_{i,t,k}^{(decay)} = exp(- \gamma_k · \Delta t_{i,t,k})</w:t>
            </w:r>
          </w:p>
        </w:tc>
      </w:tr>
    </w:tbl>
    <w:p>
      <w:pPr>
        <w:spacing w:before="0" w:after="80"/>
      </w:pPr>
    </w:p>
    <w:p>
      <w:pPr>
        <w:keepNext/>
        <w:spacing w:before="280" w:after="80"/>
      </w:pPr>
      <w:r>
        <w:rPr>
          <w:rFonts w:ascii="Calibri" w:hAnsi="Calibri"/>
          <w:b/>
          <w:color w:val="0F172A"/>
          <w:sz w:val="24"/>
        </w:rPr>
        <w:t>Stage 4: Predictive Backbone &amp; Invariance Regularization</w:t>
      </w:r>
    </w:p>
    <w:p>
      <w:pPr>
        <w:spacing w:before="80" w:after="120" w:line="276" w:lineRule="auto"/>
      </w:pPr>
      <w:r>
        <w:rPr>
          <w:rFonts w:ascii="Calibri" w:hAnsi="Calibri"/>
          <w:b w:val="0"/>
          <w:i w:val="0"/>
          <w:sz w:val="22"/>
        </w:rPr>
        <w:t>Latent representations are fused (h_{i,t} = Concat(f_\phi(X^{physio}), g_\psi(M^{obs}))) and optimized using Binary Cross-Entropy augmented by an environment gradient penalty across density quartiles Q1 to Q4:</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5 (Invariance Regularized Objective):  </w:t>
            </w:r>
            <w:r>
              <w:rPr>
                <w:rFonts w:ascii="Cambria Math" w:hAnsi="Cambria Math"/>
                <w:i/>
                <w:color w:val="0F172A"/>
                <w:sz w:val="22"/>
              </w:rPr>
              <w:t>L_{total} = L_{bce}(\theta, \phi, \psi) + \lambda · \sum_{e \in E} || \nabla_\theta L_e(\theta, \phi, \psi) ||_2^2</w:t>
            </w:r>
          </w:p>
        </w:tc>
      </w:tr>
    </w:tbl>
    <w:p>
      <w:pPr>
        <w:spacing w:before="0" w:after="80"/>
      </w:pPr>
    </w:p>
    <w:p>
      <w:pPr>
        <w:keepNext/>
        <w:spacing w:before="280" w:after="80"/>
      </w:pPr>
      <w:r>
        <w:rPr>
          <w:rFonts w:ascii="Calibri" w:hAnsi="Calibri"/>
          <w:b/>
          <w:color w:val="0F172A"/>
          <w:sz w:val="24"/>
        </w:rPr>
        <w:t>Stage 5: Dual-Tier Operational Policy (VAL_POL_0450)</w:t>
      </w:r>
    </w:p>
    <w:p>
      <w:pPr>
        <w:spacing w:before="80" w:after="120" w:line="276" w:lineRule="auto"/>
      </w:pPr>
      <w:r>
        <w:rPr>
          <w:rFonts w:ascii="Calibri" w:hAnsi="Calibri"/>
          <w:b w:val="0"/>
          <w:i w:val="0"/>
          <w:sz w:val="22"/>
        </w:rPr>
        <w:t>Decision gating applies dual thresholds (tau_S = 0.015 silent screening, tau_C = 0.300 audible alert) with persistence counting (N_persist = 3 consecutive hours) and MAP trend gating.</w:t>
      </w:r>
    </w:p>
    <w:p>
      <w:pPr>
        <w:keepNext/>
        <w:spacing w:before="280" w:after="80"/>
      </w:pPr>
      <w:r>
        <w:rPr>
          <w:rFonts w:ascii="Calibri" w:hAnsi="Calibri"/>
          <w:b/>
          <w:color w:val="0F172A"/>
          <w:sz w:val="24"/>
        </w:rPr>
        <w:t>Stage 6: TreeSHAP Feature Attribution &amp; Interpretability</w:t>
      </w:r>
    </w:p>
    <w:p>
      <w:pPr>
        <w:spacing w:before="80" w:after="120" w:line="276" w:lineRule="auto"/>
      </w:pPr>
      <w:r>
        <w:rPr>
          <w:rFonts w:ascii="Calibri" w:hAnsi="Calibri"/>
          <w:b w:val="0"/>
          <w:i w:val="0"/>
          <w:sz w:val="22"/>
        </w:rPr>
        <w:t>TreeSHAP decomposes patient risk scores into additive attributions, verifying that 62% of importance derives from physiological trend derivatives versus 38% for observation vectors.</w:t>
      </w:r>
    </w:p>
    <w:p>
      <w:pPr>
        <w:keepNext/>
        <w:spacing w:before="280" w:after="80"/>
      </w:pPr>
      <w:r>
        <w:rPr>
          <w:rFonts w:ascii="Calibri" w:hAnsi="Calibri"/>
          <w:b/>
          <w:color w:val="0F172A"/>
          <w:sz w:val="24"/>
        </w:rPr>
        <w:t>Stage 7: Multi-Center External Holdout &amp; Stress-Testing</w:t>
      </w:r>
    </w:p>
    <w:p>
      <w:pPr>
        <w:spacing w:before="80" w:after="120" w:line="276" w:lineRule="auto"/>
      </w:pPr>
      <w:r>
        <w:rPr>
          <w:rFonts w:ascii="Calibri" w:hAnsi="Calibri"/>
          <w:b w:val="0"/>
          <w:i w:val="0"/>
          <w:sz w:val="22"/>
        </w:rPr>
        <w:t>Evaluated without re-training on BIDMC Set B (N = 20,000) under synthetic dropout (0%-80%), same-physiology mask perturbations, and density quartile shifts.</w:t>
      </w:r>
    </w:p>
    <w:p>
      <w:pPr>
        <w:keepNext/>
        <w:spacing w:before="280" w:after="80"/>
      </w:pPr>
      <w:r>
        <w:rPr>
          <w:rFonts w:ascii="Calibri" w:hAnsi="Calibri"/>
          <w:b/>
          <w:color w:val="0F172A"/>
          <w:sz w:val="24"/>
        </w:rPr>
        <w:t>Sequential SOFA Score Component Equations</w:t>
      </w:r>
    </w:p>
    <w:p>
      <w:pPr>
        <w:spacing w:before="80" w:after="120" w:line="276" w:lineRule="auto"/>
      </w:pPr>
      <w:r>
        <w:rPr>
          <w:rFonts w:ascii="Calibri" w:hAnsi="Calibri"/>
          <w:b w:val="0"/>
          <w:i w:val="0"/>
          <w:sz w:val="22"/>
        </w:rPr>
        <w:t>SOFA scores are continuously computed across 6 organ systems:</w:t>
      </w:r>
    </w:p>
    <w:p>
      <w:pPr>
        <w:spacing w:before="80" w:after="120" w:line="276" w:lineRule="auto"/>
      </w:pPr>
      <w:r>
        <w:rPr>
          <w:rFonts w:ascii="Calibri" w:hAnsi="Calibri"/>
          <w:b w:val="0"/>
          <w:i w:val="0"/>
          <w:sz w:val="22"/>
        </w:rPr>
        <w:t>• Respiration: PaO2/FiO2 ratio (&lt;400: 1, &lt;300: 2, &lt;200 + vent: 3, &lt;100 + vent: 4)</w:t>
      </w:r>
    </w:p>
    <w:p>
      <w:pPr>
        <w:spacing w:before="80" w:after="120" w:line="276" w:lineRule="auto"/>
      </w:pPr>
      <w:r>
        <w:rPr>
          <w:rFonts w:ascii="Calibri" w:hAnsi="Calibri"/>
          <w:b w:val="0"/>
          <w:i w:val="0"/>
          <w:sz w:val="22"/>
        </w:rPr>
        <w:t>• Coagulation: Platelets x10^3/\mu L (&lt;150: 1, &lt;100: 2, &lt;50: 3, &lt;20: 4)</w:t>
      </w:r>
    </w:p>
    <w:p>
      <w:pPr>
        <w:spacing w:before="80" w:after="120" w:line="276" w:lineRule="auto"/>
      </w:pPr>
      <w:r>
        <w:rPr>
          <w:rFonts w:ascii="Calibri" w:hAnsi="Calibri"/>
          <w:b w:val="0"/>
          <w:i w:val="0"/>
          <w:sz w:val="22"/>
        </w:rPr>
        <w:t>• Liver: Bilirubin mg/dL (1.2-1.9: 1, 2.0-5.9: 2, 6.0-11.9: 3, &gt;=12.0: 4)</w:t>
      </w:r>
    </w:p>
    <w:p>
      <w:pPr>
        <w:spacing w:before="80" w:after="120" w:line="276" w:lineRule="auto"/>
      </w:pPr>
      <w:r>
        <w:rPr>
          <w:rFonts w:ascii="Calibri" w:hAnsi="Calibri"/>
          <w:b w:val="0"/>
          <w:i w:val="0"/>
          <w:sz w:val="22"/>
        </w:rPr>
        <w:t>• Cardiovascular: MAP &lt; 70 mmHg (1); Dopamine &lt;=5 or Dobutamine (2); Dopamine &gt;5 or Epinephrine &lt;=0.1 (3); Epinephrine &gt;0.1 or Norepinephrine &gt;0.1 (4)</w:t>
      </w:r>
    </w:p>
    <w:p>
      <w:pPr>
        <w:spacing w:before="80" w:after="120" w:line="276" w:lineRule="auto"/>
      </w:pPr>
      <w:r>
        <w:rPr>
          <w:rFonts w:ascii="Calibri" w:hAnsi="Calibri"/>
          <w:b w:val="0"/>
          <w:i w:val="0"/>
          <w:sz w:val="22"/>
        </w:rPr>
        <w:t>• Central Nervous System: Glasgow Coma Scale GCS (13-14: 1, 10-12: 2, 6-9: 3, &lt;6: 4)</w:t>
      </w:r>
    </w:p>
    <w:p>
      <w:pPr>
        <w:spacing w:before="80" w:after="120" w:line="276" w:lineRule="auto"/>
      </w:pPr>
      <w:r>
        <w:rPr>
          <w:rFonts w:ascii="Calibri" w:hAnsi="Calibri"/>
          <w:b w:val="0"/>
          <w:i w:val="0"/>
          <w:sz w:val="22"/>
        </w:rPr>
        <w:t>• Renal: Creatinine mg/dL (1.2-1.9: 1, 2.0-3.4: 2, 3.5-4.9: 3, &gt;=5.0 or Urine &lt;500 mL/day: 4)</w:t>
      </w:r>
    </w:p>
    <w:p>
      <w:pPr>
        <w:keepNext/>
        <w:spacing w:before="280" w:after="80"/>
      </w:pPr>
      <w:r>
        <w:rPr>
          <w:rFonts w:ascii="Calibri" w:hAnsi="Calibri"/>
          <w:b/>
          <w:color w:val="1E3A8A"/>
          <w:sz w:val="27"/>
        </w:rPr>
        <w:t>[8]. SOFTWARE REQUIREMENTS:</w:t>
      </w:r>
    </w:p>
    <w:p>
      <w:pPr>
        <w:keepNext/>
        <w:spacing w:before="280" w:after="80"/>
      </w:pPr>
      <w:r>
        <w:rPr>
          <w:rFonts w:ascii="Calibri" w:hAnsi="Calibri"/>
          <w:b/>
          <w:color w:val="0F172A"/>
          <w:sz w:val="24"/>
        </w:rPr>
        <w:t>Functional Requirements:</w:t>
      </w:r>
    </w:p>
    <w:tbl>
      <w:tblPr>
        <w:tblW w:type="auto" w:w="0"/>
        <w:jc w:val="center"/>
        <w:tblLook w:firstColumn="1" w:firstRow="1" w:lastColumn="0" w:lastRow="0" w:noHBand="0" w:noVBand="1" w:val="04A0"/>
      </w:tblPr>
      <w:tblGrid>
        <w:gridCol w:w="4513"/>
        <w:gridCol w:w="4513"/>
      </w:tblGrid>
      <w:tr>
        <w:tc>
          <w:tcPr>
            <w:tcW w:type="dxa" w:w="4513"/>
            <w:shd w:fill="1E3A8A"/>
            <w:tcMar>
              <w:top w:w="80" w:type="dxa"/>
              <w:bottom w:w="80" w:type="dxa"/>
              <w:left w:w="100" w:type="dxa"/>
              <w:right w:w="100" w:type="dxa"/>
            </w:tcMar>
          </w:tcPr>
          <w:p>
            <w:r>
              <w:rPr>
                <w:rFonts w:ascii="Calibri" w:hAnsi="Calibri"/>
                <w:b/>
                <w:color w:val="FFFFFF"/>
                <w:sz w:val="19"/>
              </w:rPr>
              <w:t>S.No</w:t>
            </w:r>
          </w:p>
        </w:tc>
        <w:tc>
          <w:tcPr>
            <w:tcW w:type="dxa" w:w="4513"/>
            <w:shd w:fill="1E3A8A"/>
            <w:tcMar>
              <w:top w:w="80" w:type="dxa"/>
              <w:bottom w:w="80" w:type="dxa"/>
              <w:left w:w="100" w:type="dxa"/>
              <w:right w:w="100" w:type="dxa"/>
            </w:tcMar>
          </w:tcPr>
          <w:p>
            <w:r>
              <w:rPr>
                <w:rFonts w:ascii="Calibri" w:hAnsi="Calibri"/>
                <w:b/>
                <w:color w:val="FFFFFF"/>
                <w:sz w:val="19"/>
              </w:rPr>
              <w:t>Functional Requirement Description</w:t>
            </w:r>
          </w:p>
        </w:tc>
      </w:tr>
      <w:tr>
        <w:tc>
          <w:tcPr>
            <w:tcW w:type="dxa" w:w="4513"/>
            <w:shd w:fill="FFFFFF"/>
            <w:tcMar>
              <w:top w:w="60" w:type="dxa"/>
              <w:bottom w:w="60" w:type="dxa"/>
              <w:left w:w="100" w:type="dxa"/>
              <w:right w:w="100" w:type="dxa"/>
            </w:tcMar>
          </w:tcPr>
          <w:p>
            <w:r>
              <w:rPr>
                <w:rFonts w:ascii="Calibri" w:hAnsi="Calibri"/>
                <w:sz w:val="18"/>
              </w:rPr>
              <w:t>1</w:t>
            </w:r>
          </w:p>
        </w:tc>
        <w:tc>
          <w:tcPr>
            <w:tcW w:type="dxa" w:w="4513"/>
            <w:shd w:fill="FFFFFF"/>
            <w:tcMar>
              <w:top w:w="60" w:type="dxa"/>
              <w:bottom w:w="60" w:type="dxa"/>
              <w:left w:w="100" w:type="dxa"/>
              <w:right w:w="100" w:type="dxa"/>
            </w:tcMar>
          </w:tcPr>
          <w:p>
            <w:r>
              <w:rPr>
                <w:rFonts w:ascii="Calibri" w:hAnsi="Calibri"/>
                <w:sz w:val="18"/>
              </w:rPr>
              <w:t>Ingest vital signs and laboratory diagnostics from EHR feeds (HL7/FHIR) in near real time.</w:t>
            </w:r>
          </w:p>
        </w:tc>
      </w:tr>
      <w:tr>
        <w:tc>
          <w:tcPr>
            <w:tcW w:type="dxa" w:w="4513"/>
            <w:shd w:fill="F8FAFC"/>
            <w:tcMar>
              <w:top w:w="60" w:type="dxa"/>
              <w:bottom w:w="60" w:type="dxa"/>
              <w:left w:w="100" w:type="dxa"/>
              <w:right w:w="100" w:type="dxa"/>
            </w:tcMar>
          </w:tcPr>
          <w:p>
            <w:r>
              <w:rPr>
                <w:rFonts w:ascii="Calibri" w:hAnsi="Calibri"/>
                <w:sz w:val="18"/>
              </w:rPr>
              <w:t>2</w:t>
            </w:r>
          </w:p>
        </w:tc>
        <w:tc>
          <w:tcPr>
            <w:tcW w:type="dxa" w:w="4513"/>
            <w:shd w:fill="F8FAFC"/>
            <w:tcMar>
              <w:top w:w="60" w:type="dxa"/>
              <w:bottom w:w="60" w:type="dxa"/>
              <w:left w:w="100" w:type="dxa"/>
              <w:right w:w="100" w:type="dxa"/>
            </w:tcMar>
          </w:tcPr>
          <w:p>
            <w:r>
              <w:rPr>
                <w:rFonts w:ascii="Calibri" w:hAnsi="Calibri"/>
                <w:sz w:val="18"/>
              </w:rPr>
              <w:t>Bin physiological measurements into 1-hour windows, with artifact flagging and causal initialization of unmeasured variables.</w:t>
            </w:r>
          </w:p>
        </w:tc>
      </w:tr>
      <w:tr>
        <w:tc>
          <w:tcPr>
            <w:tcW w:type="dxa" w:w="4513"/>
            <w:shd w:fill="FFFFFF"/>
            <w:tcMar>
              <w:top w:w="60" w:type="dxa"/>
              <w:bottom w:w="60" w:type="dxa"/>
              <w:left w:w="100" w:type="dxa"/>
              <w:right w:w="100" w:type="dxa"/>
            </w:tcMar>
          </w:tcPr>
          <w:p>
            <w:r>
              <w:rPr>
                <w:rFonts w:ascii="Calibri" w:hAnsi="Calibri"/>
                <w:sz w:val="18"/>
              </w:rPr>
              <w:t>3</w:t>
            </w:r>
          </w:p>
        </w:tc>
        <w:tc>
          <w:tcPr>
            <w:tcW w:type="dxa" w:w="4513"/>
            <w:shd w:fill="FFFFFF"/>
            <w:tcMar>
              <w:top w:w="60" w:type="dxa"/>
              <w:bottom w:w="60" w:type="dxa"/>
              <w:left w:w="100" w:type="dxa"/>
              <w:right w:w="100" w:type="dxa"/>
            </w:tcMar>
          </w:tcPr>
          <w:p>
            <w:r>
              <w:rPr>
                <w:rFonts w:ascii="Calibri" w:hAnsi="Calibri"/>
                <w:sz w:val="18"/>
              </w:rPr>
              <w:t>Compute causal Z-score trajectories, 3-hour velocity and 6-hour acceleration without lookahead.</w:t>
            </w:r>
          </w:p>
        </w:tc>
      </w:tr>
      <w:tr>
        <w:tc>
          <w:tcPr>
            <w:tcW w:type="dxa" w:w="4513"/>
            <w:shd w:fill="F8FAFC"/>
            <w:tcMar>
              <w:top w:w="60" w:type="dxa"/>
              <w:bottom w:w="60" w:type="dxa"/>
              <w:left w:w="100" w:type="dxa"/>
              <w:right w:w="100" w:type="dxa"/>
            </w:tcMar>
          </w:tcPr>
          <w:p>
            <w:r>
              <w:rPr>
                <w:rFonts w:ascii="Calibri" w:hAnsi="Calibri"/>
                <w:sz w:val="18"/>
              </w:rPr>
              <w:t>4</w:t>
            </w:r>
          </w:p>
        </w:tc>
        <w:tc>
          <w:tcPr>
            <w:tcW w:type="dxa" w:w="4513"/>
            <w:shd w:fill="F8FAFC"/>
            <w:tcMar>
              <w:top w:w="60" w:type="dxa"/>
              <w:bottom w:w="60" w:type="dxa"/>
              <w:left w:w="100" w:type="dxa"/>
              <w:right w:w="100" w:type="dxa"/>
            </w:tcMar>
          </w:tcPr>
          <w:p>
            <w:r>
              <w:rPr>
                <w:rFonts w:ascii="Calibri" w:hAnsi="Calibri"/>
                <w:sz w:val="18"/>
              </w:rPr>
              <w:t>Generate the decoupled observation vector (availability mask, time delta, 12-hour sampling count).</w:t>
            </w:r>
          </w:p>
        </w:tc>
      </w:tr>
      <w:tr>
        <w:tc>
          <w:tcPr>
            <w:tcW w:type="dxa" w:w="4513"/>
            <w:shd w:fill="FFFFFF"/>
            <w:tcMar>
              <w:top w:w="60" w:type="dxa"/>
              <w:bottom w:w="60" w:type="dxa"/>
              <w:left w:w="100" w:type="dxa"/>
              <w:right w:w="100" w:type="dxa"/>
            </w:tcMar>
          </w:tcPr>
          <w:p>
            <w:r>
              <w:rPr>
                <w:rFonts w:ascii="Calibri" w:hAnsi="Calibri"/>
                <w:sz w:val="18"/>
              </w:rPr>
              <w:t>5</w:t>
            </w:r>
          </w:p>
        </w:tc>
        <w:tc>
          <w:tcPr>
            <w:tcW w:type="dxa" w:w="4513"/>
            <w:shd w:fill="FFFFFF"/>
            <w:tcMar>
              <w:top w:w="60" w:type="dxa"/>
              <w:bottom w:w="60" w:type="dxa"/>
              <w:left w:w="100" w:type="dxa"/>
              <w:right w:w="100" w:type="dxa"/>
            </w:tcMar>
          </w:tcPr>
          <w:p>
            <w:r>
              <w:rPr>
                <w:rFonts w:ascii="Calibri" w:hAnsi="Calibri"/>
                <w:sz w:val="18"/>
              </w:rPr>
              <w:t>Predict continuous sepsis risk (target S_next4) using the invariance-regularized backbone.</w:t>
            </w:r>
          </w:p>
        </w:tc>
      </w:tr>
      <w:tr>
        <w:tc>
          <w:tcPr>
            <w:tcW w:type="dxa" w:w="4513"/>
            <w:shd w:fill="F8FAFC"/>
            <w:tcMar>
              <w:top w:w="60" w:type="dxa"/>
              <w:bottom w:w="60" w:type="dxa"/>
              <w:left w:w="100" w:type="dxa"/>
              <w:right w:w="100" w:type="dxa"/>
            </w:tcMar>
          </w:tcPr>
          <w:p>
            <w:r>
              <w:rPr>
                <w:rFonts w:ascii="Calibri" w:hAnsi="Calibri"/>
                <w:sz w:val="18"/>
              </w:rPr>
              <w:t>6</w:t>
            </w:r>
          </w:p>
        </w:tc>
        <w:tc>
          <w:tcPr>
            <w:tcW w:type="dxa" w:w="4513"/>
            <w:shd w:fill="F8FAFC"/>
            <w:tcMar>
              <w:top w:w="60" w:type="dxa"/>
              <w:bottom w:w="60" w:type="dxa"/>
              <w:left w:w="100" w:type="dxa"/>
              <w:right w:w="100" w:type="dxa"/>
            </w:tcMar>
          </w:tcPr>
          <w:p>
            <w:r>
              <w:rPr>
                <w:rFonts w:ascii="Calibri" w:hAnsi="Calibri"/>
                <w:sz w:val="18"/>
              </w:rPr>
              <w:t>Apply VAL_POL_0450: silent screening, persistence counting and MAP trend gating before an audible alert.</w:t>
            </w:r>
          </w:p>
        </w:tc>
      </w:tr>
      <w:tr>
        <w:tc>
          <w:tcPr>
            <w:tcW w:type="dxa" w:w="4513"/>
            <w:shd w:fill="FFFFFF"/>
            <w:tcMar>
              <w:top w:w="60" w:type="dxa"/>
              <w:bottom w:w="60" w:type="dxa"/>
              <w:left w:w="100" w:type="dxa"/>
              <w:right w:w="100" w:type="dxa"/>
            </w:tcMar>
          </w:tcPr>
          <w:p>
            <w:r>
              <w:rPr>
                <w:rFonts w:ascii="Calibri" w:hAnsi="Calibri"/>
                <w:sz w:val="18"/>
              </w:rPr>
              <w:t>7</w:t>
            </w:r>
          </w:p>
        </w:tc>
        <w:tc>
          <w:tcPr>
            <w:tcW w:type="dxa" w:w="4513"/>
            <w:shd w:fill="FFFFFF"/>
            <w:tcMar>
              <w:top w:w="60" w:type="dxa"/>
              <w:bottom w:w="60" w:type="dxa"/>
              <w:left w:w="100" w:type="dxa"/>
              <w:right w:w="100" w:type="dxa"/>
            </w:tcMar>
          </w:tcPr>
          <w:p>
            <w:r>
              <w:rPr>
                <w:rFonts w:ascii="Calibri" w:hAnsi="Calibri"/>
                <w:sz w:val="18"/>
              </w:rPr>
              <w:t>Compute TreeSHAP feature attributions for every positive alert.</w:t>
            </w:r>
          </w:p>
        </w:tc>
      </w:tr>
      <w:tr>
        <w:tc>
          <w:tcPr>
            <w:tcW w:type="dxa" w:w="4513"/>
            <w:shd w:fill="F8FAFC"/>
            <w:tcMar>
              <w:top w:w="60" w:type="dxa"/>
              <w:bottom w:w="60" w:type="dxa"/>
              <w:left w:w="100" w:type="dxa"/>
              <w:right w:w="100" w:type="dxa"/>
            </w:tcMar>
          </w:tcPr>
          <w:p>
            <w:r>
              <w:rPr>
                <w:rFonts w:ascii="Calibri" w:hAnsi="Calibri"/>
                <w:sz w:val="18"/>
              </w:rPr>
              <w:t>8</w:t>
            </w:r>
          </w:p>
        </w:tc>
        <w:tc>
          <w:tcPr>
            <w:tcW w:type="dxa" w:w="4513"/>
            <w:shd w:fill="F8FAFC"/>
            <w:tcMar>
              <w:top w:w="60" w:type="dxa"/>
              <w:bottom w:w="60" w:type="dxa"/>
              <w:left w:w="100" w:type="dxa"/>
              <w:right w:w="100" w:type="dxa"/>
            </w:tcMar>
          </w:tcPr>
          <w:p>
            <w:r>
              <w:rPr>
                <w:rFonts w:ascii="Calibri" w:hAnsi="Calibri"/>
                <w:sz w:val="18"/>
              </w:rPr>
              <w:t>Render a clinician dashboard showing risk trend, alert tier and SHAP rationale.</w:t>
            </w:r>
          </w:p>
        </w:tc>
      </w:tr>
    </w:tbl>
    <w:p>
      <w:pPr>
        <w:spacing w:before="0" w:after="120"/>
      </w:pPr>
    </w:p>
    <w:p>
      <w:pPr>
        <w:keepNext/>
        <w:spacing w:before="280" w:after="80"/>
      </w:pPr>
      <w:r>
        <w:rPr>
          <w:rFonts w:ascii="Calibri" w:hAnsi="Calibri"/>
          <w:b/>
          <w:color w:val="0F172A"/>
          <w:sz w:val="24"/>
        </w:rPr>
        <w:t>Non-Functional Requirements:</w:t>
      </w:r>
    </w:p>
    <w:tbl>
      <w:tblPr>
        <w:tblW w:type="auto" w:w="0"/>
        <w:jc w:val="center"/>
        <w:tblLook w:firstColumn="1" w:firstRow="1" w:lastColumn="0" w:lastRow="0" w:noHBand="0" w:noVBand="1" w:val="04A0"/>
      </w:tblPr>
      <w:tblGrid>
        <w:gridCol w:w="4513"/>
        <w:gridCol w:w="4513"/>
      </w:tblGrid>
      <w:tr>
        <w:tc>
          <w:tcPr>
            <w:tcW w:type="dxa" w:w="4513"/>
            <w:shd w:fill="1E3A8A"/>
            <w:tcMar>
              <w:top w:w="80" w:type="dxa"/>
              <w:bottom w:w="80" w:type="dxa"/>
              <w:left w:w="100" w:type="dxa"/>
              <w:right w:w="100" w:type="dxa"/>
            </w:tcMar>
          </w:tcPr>
          <w:p>
            <w:r>
              <w:rPr>
                <w:rFonts w:ascii="Calibri" w:hAnsi="Calibri"/>
                <w:b/>
                <w:color w:val="FFFFFF"/>
                <w:sz w:val="19"/>
              </w:rPr>
              <w:t>Attribute</w:t>
            </w:r>
          </w:p>
        </w:tc>
        <w:tc>
          <w:tcPr>
            <w:tcW w:type="dxa" w:w="4513"/>
            <w:shd w:fill="1E3A8A"/>
            <w:tcMar>
              <w:top w:w="80" w:type="dxa"/>
              <w:bottom w:w="80" w:type="dxa"/>
              <w:left w:w="100" w:type="dxa"/>
              <w:right w:w="100" w:type="dxa"/>
            </w:tcMar>
          </w:tcPr>
          <w:p>
            <w:r>
              <w:rPr>
                <w:rFonts w:ascii="Calibri" w:hAnsi="Calibri"/>
                <w:b/>
                <w:color w:val="FFFFFF"/>
                <w:sz w:val="19"/>
              </w:rPr>
              <w:t>Non-Functional Requirement Specification</w:t>
            </w:r>
          </w:p>
        </w:tc>
      </w:tr>
      <w:tr>
        <w:tc>
          <w:tcPr>
            <w:tcW w:type="dxa" w:w="4513"/>
            <w:shd w:fill="FFFFFF"/>
            <w:tcMar>
              <w:top w:w="60" w:type="dxa"/>
              <w:bottom w:w="60" w:type="dxa"/>
              <w:left w:w="100" w:type="dxa"/>
              <w:right w:w="100" w:type="dxa"/>
            </w:tcMar>
          </w:tcPr>
          <w:p>
            <w:r>
              <w:rPr>
                <w:rFonts w:ascii="Calibri" w:hAnsi="Calibri"/>
                <w:sz w:val="18"/>
              </w:rPr>
              <w:t>Performance</w:t>
            </w:r>
          </w:p>
        </w:tc>
        <w:tc>
          <w:tcPr>
            <w:tcW w:type="dxa" w:w="4513"/>
            <w:shd w:fill="FFFFFF"/>
            <w:tcMar>
              <w:top w:w="60" w:type="dxa"/>
              <w:bottom w:w="60" w:type="dxa"/>
              <w:left w:w="100" w:type="dxa"/>
              <w:right w:w="100" w:type="dxa"/>
            </w:tcMar>
          </w:tcPr>
          <w:p>
            <w:r>
              <w:rPr>
                <w:rFonts w:ascii="Calibri" w:hAnsi="Calibri"/>
                <w:sz w:val="18"/>
              </w:rPr>
              <w:t>End-to-end inference latency (preprocessing + model + SHAP) under 2.0 seconds per patient profile.</w:t>
            </w:r>
          </w:p>
        </w:tc>
      </w:tr>
      <w:tr>
        <w:tc>
          <w:tcPr>
            <w:tcW w:type="dxa" w:w="4513"/>
            <w:shd w:fill="F8FAFC"/>
            <w:tcMar>
              <w:top w:w="60" w:type="dxa"/>
              <w:bottom w:w="60" w:type="dxa"/>
              <w:left w:w="100" w:type="dxa"/>
              <w:right w:w="100" w:type="dxa"/>
            </w:tcMar>
          </w:tcPr>
          <w:p>
            <w:r>
              <w:rPr>
                <w:rFonts w:ascii="Calibri" w:hAnsi="Calibri"/>
                <w:sz w:val="18"/>
              </w:rPr>
              <w:t>Scalability</w:t>
            </w:r>
          </w:p>
        </w:tc>
        <w:tc>
          <w:tcPr>
            <w:tcW w:type="dxa" w:w="4513"/>
            <w:shd w:fill="F8FAFC"/>
            <w:tcMar>
              <w:top w:w="60" w:type="dxa"/>
              <w:bottom w:w="60" w:type="dxa"/>
              <w:left w:w="100" w:type="dxa"/>
              <w:right w:w="100" w:type="dxa"/>
            </w:tcMar>
          </w:tcPr>
          <w:p>
            <w:r>
              <w:rPr>
                <w:rFonts w:ascii="Calibri" w:hAnsi="Calibri"/>
                <w:sz w:val="18"/>
              </w:rPr>
              <w:t>Microservices scale horizontally to monitor up to 500 active ICU beds simultaneously via Kubernetes.</w:t>
            </w:r>
          </w:p>
        </w:tc>
      </w:tr>
      <w:tr>
        <w:tc>
          <w:tcPr>
            <w:tcW w:type="dxa" w:w="4513"/>
            <w:shd w:fill="FFFFFF"/>
            <w:tcMar>
              <w:top w:w="60" w:type="dxa"/>
              <w:bottom w:w="60" w:type="dxa"/>
              <w:left w:w="100" w:type="dxa"/>
              <w:right w:w="100" w:type="dxa"/>
            </w:tcMar>
          </w:tcPr>
          <w:p>
            <w:r>
              <w:rPr>
                <w:rFonts w:ascii="Calibri" w:hAnsi="Calibri"/>
                <w:sz w:val="18"/>
              </w:rPr>
              <w:t>Usability &amp; Trust</w:t>
            </w:r>
          </w:p>
        </w:tc>
        <w:tc>
          <w:tcPr>
            <w:tcW w:type="dxa" w:w="4513"/>
            <w:shd w:fill="FFFFFF"/>
            <w:tcMar>
              <w:top w:w="60" w:type="dxa"/>
              <w:bottom w:w="60" w:type="dxa"/>
              <w:left w:w="100" w:type="dxa"/>
              <w:right w:w="100" w:type="dxa"/>
            </w:tcMar>
          </w:tcPr>
          <w:p>
            <w:r>
              <w:rPr>
                <w:rFonts w:ascii="Calibri" w:hAnsi="Calibri"/>
                <w:sz w:val="18"/>
              </w:rPr>
              <w:t>Dashboard requires no machine learning background and displays SHAP rationales for every alert.</w:t>
            </w:r>
          </w:p>
        </w:tc>
      </w:tr>
      <w:tr>
        <w:tc>
          <w:tcPr>
            <w:tcW w:type="dxa" w:w="4513"/>
            <w:shd w:fill="F8FAFC"/>
            <w:tcMar>
              <w:top w:w="60" w:type="dxa"/>
              <w:bottom w:w="60" w:type="dxa"/>
              <w:left w:w="100" w:type="dxa"/>
              <w:right w:w="100" w:type="dxa"/>
            </w:tcMar>
          </w:tcPr>
          <w:p>
            <w:r>
              <w:rPr>
                <w:rFonts w:ascii="Calibri" w:hAnsi="Calibri"/>
                <w:sz w:val="18"/>
              </w:rPr>
              <w:t>Maintainability</w:t>
            </w:r>
          </w:p>
        </w:tc>
        <w:tc>
          <w:tcPr>
            <w:tcW w:type="dxa" w:w="4513"/>
            <w:shd w:fill="F8FAFC"/>
            <w:tcMar>
              <w:top w:w="60" w:type="dxa"/>
              <w:bottom w:w="60" w:type="dxa"/>
              <w:left w:w="100" w:type="dxa"/>
              <w:right w:w="100" w:type="dxa"/>
            </w:tcMar>
          </w:tcPr>
          <w:p>
            <w:r>
              <w:rPr>
                <w:rFonts w:ascii="Calibri" w:hAnsi="Calibri"/>
                <w:sz w:val="18"/>
              </w:rPr>
              <w:t>Modular Docker architecture runnable locally, on an on-premise GPU server or in the cloud.</w:t>
            </w:r>
          </w:p>
        </w:tc>
      </w:tr>
      <w:tr>
        <w:tc>
          <w:tcPr>
            <w:tcW w:type="dxa" w:w="4513"/>
            <w:shd w:fill="FFFFFF"/>
            <w:tcMar>
              <w:top w:w="60" w:type="dxa"/>
              <w:bottom w:w="60" w:type="dxa"/>
              <w:left w:w="100" w:type="dxa"/>
              <w:right w:w="100" w:type="dxa"/>
            </w:tcMar>
          </w:tcPr>
          <w:p>
            <w:r>
              <w:rPr>
                <w:rFonts w:ascii="Calibri" w:hAnsi="Calibri"/>
                <w:sz w:val="18"/>
              </w:rPr>
              <w:t>Security &amp; Privacy</w:t>
            </w:r>
          </w:p>
        </w:tc>
        <w:tc>
          <w:tcPr>
            <w:tcW w:type="dxa" w:w="4513"/>
            <w:shd w:fill="FFFFFF"/>
            <w:tcMar>
              <w:top w:w="60" w:type="dxa"/>
              <w:bottom w:w="60" w:type="dxa"/>
              <w:left w:w="100" w:type="dxa"/>
              <w:right w:w="100" w:type="dxa"/>
            </w:tcMar>
          </w:tcPr>
          <w:p>
            <w:r>
              <w:rPr>
                <w:rFonts w:ascii="Calibri" w:hAnsi="Calibri"/>
                <w:sz w:val="18"/>
              </w:rPr>
              <w:t>HIPAA-aligned; TLS 1.3 encrypted pipelines; no persistent storage of unhashed patient identifiers.</w:t>
            </w:r>
          </w:p>
        </w:tc>
      </w:tr>
      <w:tr>
        <w:tc>
          <w:tcPr>
            <w:tcW w:type="dxa" w:w="4513"/>
            <w:shd w:fill="F8FAFC"/>
            <w:tcMar>
              <w:top w:w="60" w:type="dxa"/>
              <w:bottom w:w="60" w:type="dxa"/>
              <w:left w:w="100" w:type="dxa"/>
              <w:right w:w="100" w:type="dxa"/>
            </w:tcMar>
          </w:tcPr>
          <w:p>
            <w:r>
              <w:rPr>
                <w:rFonts w:ascii="Calibri" w:hAnsi="Calibri"/>
                <w:sz w:val="18"/>
              </w:rPr>
              <w:t>Reliability</w:t>
            </w:r>
          </w:p>
        </w:tc>
        <w:tc>
          <w:tcPr>
            <w:tcW w:type="dxa" w:w="4513"/>
            <w:shd w:fill="F8FAFC"/>
            <w:tcMar>
              <w:top w:w="60" w:type="dxa"/>
              <w:bottom w:w="60" w:type="dxa"/>
              <w:left w:w="100" w:type="dxa"/>
              <w:right w:w="100" w:type="dxa"/>
            </w:tcMar>
          </w:tcPr>
          <w:p>
            <w:r>
              <w:rPr>
                <w:rFonts w:ascii="Calibri" w:hAnsi="Calibri"/>
                <w:sz w:val="18"/>
              </w:rPr>
              <w:t>99.9% uptime target with automated failover for streaming EHR connection dropouts.</w:t>
            </w:r>
          </w:p>
        </w:tc>
      </w:tr>
      <w:tr>
        <w:tc>
          <w:tcPr>
            <w:tcW w:type="dxa" w:w="4513"/>
            <w:shd w:fill="FFFFFF"/>
            <w:tcMar>
              <w:top w:w="60" w:type="dxa"/>
              <w:bottom w:w="60" w:type="dxa"/>
              <w:left w:w="100" w:type="dxa"/>
              <w:right w:w="100" w:type="dxa"/>
            </w:tcMar>
          </w:tcPr>
          <w:p>
            <w:r>
              <w:rPr>
                <w:rFonts w:ascii="Calibri" w:hAnsi="Calibri"/>
                <w:sz w:val="18"/>
              </w:rPr>
              <w:t>Reproducibility</w:t>
            </w:r>
          </w:p>
        </w:tc>
        <w:tc>
          <w:tcPr>
            <w:tcW w:type="dxa" w:w="4513"/>
            <w:shd w:fill="FFFFFF"/>
            <w:tcMar>
              <w:top w:w="60" w:type="dxa"/>
              <w:bottom w:w="60" w:type="dxa"/>
              <w:left w:w="100" w:type="dxa"/>
              <w:right w:w="100" w:type="dxa"/>
            </w:tcMar>
          </w:tcPr>
          <w:p>
            <w:r>
              <w:rPr>
                <w:rFonts w:ascii="Calibri" w:hAnsi="Calibri"/>
                <w:sz w:val="18"/>
              </w:rPr>
              <w:t>Versioned release (v2.0.0_causal_decoupling_lock) with hash-locked data splits and zero-overlap audit.</w:t>
            </w:r>
          </w:p>
        </w:tc>
      </w:tr>
    </w:tbl>
    <w:p>
      <w:pPr>
        <w:spacing w:before="0" w:after="120"/>
      </w:pPr>
    </w:p>
    <w:p>
      <w:pPr>
        <w:keepNext/>
        <w:spacing w:before="280" w:after="80"/>
      </w:pPr>
      <w:r>
        <w:rPr>
          <w:rFonts w:ascii="Calibri" w:hAnsi="Calibri"/>
          <w:b/>
          <w:color w:val="0F172A"/>
          <w:sz w:val="24"/>
        </w:rPr>
        <w:t>Technology Stack:</w:t>
      </w:r>
    </w:p>
    <w:tbl>
      <w:tblPr>
        <w:tblW w:type="auto" w:w="0"/>
        <w:jc w:val="center"/>
        <w:tblLook w:firstColumn="1" w:firstRow="1" w:lastColumn="0" w:lastRow="0" w:noHBand="0" w:noVBand="1" w:val="04A0"/>
      </w:tblPr>
      <w:tblGrid>
        <w:gridCol w:w="4513"/>
        <w:gridCol w:w="4513"/>
      </w:tblGrid>
      <w:tr>
        <w:tc>
          <w:tcPr>
            <w:tcW w:type="dxa" w:w="4513"/>
            <w:shd w:fill="1E3A8A"/>
            <w:tcMar>
              <w:top w:w="80" w:type="dxa"/>
              <w:bottom w:w="80" w:type="dxa"/>
              <w:left w:w="100" w:type="dxa"/>
              <w:right w:w="100" w:type="dxa"/>
            </w:tcMar>
          </w:tcPr>
          <w:p>
            <w:r>
              <w:rPr>
                <w:rFonts w:ascii="Calibri" w:hAnsi="Calibri"/>
                <w:b/>
                <w:color w:val="FFFFFF"/>
                <w:sz w:val="19"/>
              </w:rPr>
              <w:t>Component / Layer</w:t>
            </w:r>
          </w:p>
        </w:tc>
        <w:tc>
          <w:tcPr>
            <w:tcW w:type="dxa" w:w="4513"/>
            <w:shd w:fill="1E3A8A"/>
            <w:tcMar>
              <w:top w:w="80" w:type="dxa"/>
              <w:bottom w:w="80" w:type="dxa"/>
              <w:left w:w="100" w:type="dxa"/>
              <w:right w:w="100" w:type="dxa"/>
            </w:tcMar>
          </w:tcPr>
          <w:p>
            <w:r>
              <w:rPr>
                <w:rFonts w:ascii="Calibri" w:hAnsi="Calibri"/>
                <w:b/>
                <w:color w:val="FFFFFF"/>
                <w:sz w:val="19"/>
              </w:rPr>
              <w:t>Technology / Framework Selected</w:t>
            </w:r>
          </w:p>
        </w:tc>
      </w:tr>
      <w:tr>
        <w:tc>
          <w:tcPr>
            <w:tcW w:type="dxa" w:w="4513"/>
            <w:shd w:fill="FFFFFF"/>
            <w:tcMar>
              <w:top w:w="60" w:type="dxa"/>
              <w:bottom w:w="60" w:type="dxa"/>
              <w:left w:w="100" w:type="dxa"/>
              <w:right w:w="100" w:type="dxa"/>
            </w:tcMar>
          </w:tcPr>
          <w:p>
            <w:r>
              <w:rPr>
                <w:rFonts w:ascii="Calibri" w:hAnsi="Calibri"/>
                <w:sz w:val="18"/>
              </w:rPr>
              <w:t>Backend Service</w:t>
            </w:r>
          </w:p>
        </w:tc>
        <w:tc>
          <w:tcPr>
            <w:tcW w:type="dxa" w:w="4513"/>
            <w:shd w:fill="FFFFFF"/>
            <w:tcMar>
              <w:top w:w="60" w:type="dxa"/>
              <w:bottom w:w="60" w:type="dxa"/>
              <w:left w:w="100" w:type="dxa"/>
              <w:right w:w="100" w:type="dxa"/>
            </w:tcMar>
          </w:tcPr>
          <w:p>
            <w:r>
              <w:rPr>
                <w:rFonts w:ascii="Calibri" w:hAnsi="Calibri"/>
                <w:sz w:val="18"/>
              </w:rPr>
              <w:t>Python 3.10+, FastAPI, Uvicorn</w:t>
            </w:r>
          </w:p>
        </w:tc>
      </w:tr>
      <w:tr>
        <w:tc>
          <w:tcPr>
            <w:tcW w:type="dxa" w:w="4513"/>
            <w:shd w:fill="F8FAFC"/>
            <w:tcMar>
              <w:top w:w="60" w:type="dxa"/>
              <w:bottom w:w="60" w:type="dxa"/>
              <w:left w:w="100" w:type="dxa"/>
              <w:right w:w="100" w:type="dxa"/>
            </w:tcMar>
          </w:tcPr>
          <w:p>
            <w:r>
              <w:rPr>
                <w:rFonts w:ascii="Calibri" w:hAnsi="Calibri"/>
                <w:sz w:val="18"/>
              </w:rPr>
              <w:t>Deep Learning / ML</w:t>
            </w:r>
          </w:p>
        </w:tc>
        <w:tc>
          <w:tcPr>
            <w:tcW w:type="dxa" w:w="4513"/>
            <w:shd w:fill="F8FAFC"/>
            <w:tcMar>
              <w:top w:w="60" w:type="dxa"/>
              <w:bottom w:w="60" w:type="dxa"/>
              <w:left w:w="100" w:type="dxa"/>
              <w:right w:w="100" w:type="dxa"/>
            </w:tcMar>
          </w:tcPr>
          <w:p>
            <w:r>
              <w:rPr>
                <w:rFonts w:ascii="Calibri" w:hAnsi="Calibri"/>
                <w:sz w:val="18"/>
              </w:rPr>
              <w:t>PyTorch 2.1, XGBoost 2.0</w:t>
            </w:r>
          </w:p>
        </w:tc>
      </w:tr>
      <w:tr>
        <w:tc>
          <w:tcPr>
            <w:tcW w:type="dxa" w:w="4513"/>
            <w:shd w:fill="FFFFFF"/>
            <w:tcMar>
              <w:top w:w="60" w:type="dxa"/>
              <w:bottom w:w="60" w:type="dxa"/>
              <w:left w:w="100" w:type="dxa"/>
              <w:right w:w="100" w:type="dxa"/>
            </w:tcMar>
          </w:tcPr>
          <w:p>
            <w:r>
              <w:rPr>
                <w:rFonts w:ascii="Calibri" w:hAnsi="Calibri"/>
                <w:sz w:val="18"/>
              </w:rPr>
              <w:t>Explainability</w:t>
            </w:r>
          </w:p>
        </w:tc>
        <w:tc>
          <w:tcPr>
            <w:tcW w:type="dxa" w:w="4513"/>
            <w:shd w:fill="FFFFFF"/>
            <w:tcMar>
              <w:top w:w="60" w:type="dxa"/>
              <w:bottom w:w="60" w:type="dxa"/>
              <w:left w:w="100" w:type="dxa"/>
              <w:right w:w="100" w:type="dxa"/>
            </w:tcMar>
          </w:tcPr>
          <w:p>
            <w:r>
              <w:rPr>
                <w:rFonts w:ascii="Calibri" w:hAnsi="Calibri"/>
                <w:sz w:val="18"/>
              </w:rPr>
              <w:t>SHAP (TreeSHAP C++ backend)</w:t>
            </w:r>
          </w:p>
        </w:tc>
      </w:tr>
      <w:tr>
        <w:tc>
          <w:tcPr>
            <w:tcW w:type="dxa" w:w="4513"/>
            <w:shd w:fill="F8FAFC"/>
            <w:tcMar>
              <w:top w:w="60" w:type="dxa"/>
              <w:bottom w:w="60" w:type="dxa"/>
              <w:left w:w="100" w:type="dxa"/>
              <w:right w:w="100" w:type="dxa"/>
            </w:tcMar>
          </w:tcPr>
          <w:p>
            <w:r>
              <w:rPr>
                <w:rFonts w:ascii="Calibri" w:hAnsi="Calibri"/>
                <w:sz w:val="18"/>
              </w:rPr>
              <w:t>Data Processing</w:t>
            </w:r>
          </w:p>
        </w:tc>
        <w:tc>
          <w:tcPr>
            <w:tcW w:type="dxa" w:w="4513"/>
            <w:shd w:fill="F8FAFC"/>
            <w:tcMar>
              <w:top w:w="60" w:type="dxa"/>
              <w:bottom w:w="60" w:type="dxa"/>
              <w:left w:w="100" w:type="dxa"/>
              <w:right w:w="100" w:type="dxa"/>
            </w:tcMar>
          </w:tcPr>
          <w:p>
            <w:r>
              <w:rPr>
                <w:rFonts w:ascii="Calibri" w:hAnsi="Calibri"/>
                <w:sz w:val="18"/>
              </w:rPr>
              <w:t>Apache Kafka, Pandas 2.1, NumPy 1.26</w:t>
            </w:r>
          </w:p>
        </w:tc>
      </w:tr>
      <w:tr>
        <w:tc>
          <w:tcPr>
            <w:tcW w:type="dxa" w:w="4513"/>
            <w:shd w:fill="FFFFFF"/>
            <w:tcMar>
              <w:top w:w="60" w:type="dxa"/>
              <w:bottom w:w="60" w:type="dxa"/>
              <w:left w:w="100" w:type="dxa"/>
              <w:right w:w="100" w:type="dxa"/>
            </w:tcMar>
          </w:tcPr>
          <w:p>
            <w:r>
              <w:rPr>
                <w:rFonts w:ascii="Calibri" w:hAnsi="Calibri"/>
                <w:sz w:val="18"/>
              </w:rPr>
              <w:t>Database &amp; Caching</w:t>
            </w:r>
          </w:p>
        </w:tc>
        <w:tc>
          <w:tcPr>
            <w:tcW w:type="dxa" w:w="4513"/>
            <w:shd w:fill="FFFFFF"/>
            <w:tcMar>
              <w:top w:w="60" w:type="dxa"/>
              <w:bottom w:w="60" w:type="dxa"/>
              <w:left w:w="100" w:type="dxa"/>
              <w:right w:w="100" w:type="dxa"/>
            </w:tcMar>
          </w:tcPr>
          <w:p>
            <w:r>
              <w:rPr>
                <w:rFonts w:ascii="Calibri" w:hAnsi="Calibri"/>
                <w:sz w:val="18"/>
              </w:rPr>
              <w:t>PostgreSQL (cohort management), Redis (sliding-window cache)</w:t>
            </w:r>
          </w:p>
        </w:tc>
      </w:tr>
      <w:tr>
        <w:tc>
          <w:tcPr>
            <w:tcW w:type="dxa" w:w="4513"/>
            <w:shd w:fill="F8FAFC"/>
            <w:tcMar>
              <w:top w:w="60" w:type="dxa"/>
              <w:bottom w:w="60" w:type="dxa"/>
              <w:left w:w="100" w:type="dxa"/>
              <w:right w:w="100" w:type="dxa"/>
            </w:tcMar>
          </w:tcPr>
          <w:p>
            <w:r>
              <w:rPr>
                <w:rFonts w:ascii="Calibri" w:hAnsi="Calibri"/>
                <w:sz w:val="18"/>
              </w:rPr>
              <w:t>Frontend Dashboard</w:t>
            </w:r>
          </w:p>
        </w:tc>
        <w:tc>
          <w:tcPr>
            <w:tcW w:type="dxa" w:w="4513"/>
            <w:shd w:fill="F8FAFC"/>
            <w:tcMar>
              <w:top w:w="60" w:type="dxa"/>
              <w:bottom w:w="60" w:type="dxa"/>
              <w:left w:w="100" w:type="dxa"/>
              <w:right w:w="100" w:type="dxa"/>
            </w:tcMar>
          </w:tcPr>
          <w:p>
            <w:r>
              <w:rPr>
                <w:rFonts w:ascii="Calibri" w:hAnsi="Calibri"/>
                <w:sz w:val="18"/>
              </w:rPr>
              <w:t>React.js, WebSockets, Plotly.js</w:t>
            </w:r>
          </w:p>
        </w:tc>
      </w:tr>
      <w:tr>
        <w:tc>
          <w:tcPr>
            <w:tcW w:type="dxa" w:w="4513"/>
            <w:shd w:fill="FFFFFF"/>
            <w:tcMar>
              <w:top w:w="60" w:type="dxa"/>
              <w:bottom w:w="60" w:type="dxa"/>
              <w:left w:w="100" w:type="dxa"/>
              <w:right w:w="100" w:type="dxa"/>
            </w:tcMar>
          </w:tcPr>
          <w:p>
            <w:r>
              <w:rPr>
                <w:rFonts w:ascii="Calibri" w:hAnsi="Calibri"/>
                <w:sz w:val="18"/>
              </w:rPr>
              <w:t>Containerization</w:t>
            </w:r>
          </w:p>
        </w:tc>
        <w:tc>
          <w:tcPr>
            <w:tcW w:type="dxa" w:w="4513"/>
            <w:shd w:fill="FFFFFF"/>
            <w:tcMar>
              <w:top w:w="60" w:type="dxa"/>
              <w:bottom w:w="60" w:type="dxa"/>
              <w:left w:w="100" w:type="dxa"/>
              <w:right w:w="100" w:type="dxa"/>
            </w:tcMar>
          </w:tcPr>
          <w:p>
            <w:r>
              <w:rPr>
                <w:rFonts w:ascii="Calibri" w:hAnsi="Calibri"/>
                <w:sz w:val="18"/>
              </w:rPr>
              <w:t>Docker, Kubernetes</w:t>
            </w:r>
          </w:p>
        </w:tc>
      </w:tr>
      <w:tr>
        <w:tc>
          <w:tcPr>
            <w:tcW w:type="dxa" w:w="4513"/>
            <w:shd w:fill="F8FAFC"/>
            <w:tcMar>
              <w:top w:w="60" w:type="dxa"/>
              <w:bottom w:w="60" w:type="dxa"/>
              <w:left w:w="100" w:type="dxa"/>
              <w:right w:w="100" w:type="dxa"/>
            </w:tcMar>
          </w:tcPr>
          <w:p>
            <w:r>
              <w:rPr>
                <w:rFonts w:ascii="Calibri" w:hAnsi="Calibri"/>
                <w:sz w:val="18"/>
              </w:rPr>
              <w:t>Testing Suite</w:t>
            </w:r>
          </w:p>
        </w:tc>
        <w:tc>
          <w:tcPr>
            <w:tcW w:type="dxa" w:w="4513"/>
            <w:shd w:fill="F8FAFC"/>
            <w:tcMar>
              <w:top w:w="60" w:type="dxa"/>
              <w:bottom w:w="60" w:type="dxa"/>
              <w:left w:w="100" w:type="dxa"/>
              <w:right w:w="100" w:type="dxa"/>
            </w:tcMar>
          </w:tcPr>
          <w:p>
            <w:r>
              <w:rPr>
                <w:rFonts w:ascii="Calibri" w:hAnsi="Calibri"/>
                <w:sz w:val="18"/>
              </w:rPr>
              <w:t>PyTest 7.4 (unit and integration)</w:t>
            </w:r>
          </w:p>
        </w:tc>
      </w:tr>
      <w:tr>
        <w:tc>
          <w:tcPr>
            <w:tcW w:type="dxa" w:w="4513"/>
            <w:shd w:fill="FFFFFF"/>
            <w:tcMar>
              <w:top w:w="60" w:type="dxa"/>
              <w:bottom w:w="60" w:type="dxa"/>
              <w:left w:w="100" w:type="dxa"/>
              <w:right w:w="100" w:type="dxa"/>
            </w:tcMar>
          </w:tcPr>
          <w:p>
            <w:r>
              <w:rPr>
                <w:rFonts w:ascii="Calibri" w:hAnsi="Calibri"/>
                <w:sz w:val="18"/>
              </w:rPr>
              <w:t>Training Environment</w:t>
            </w:r>
          </w:p>
        </w:tc>
        <w:tc>
          <w:tcPr>
            <w:tcW w:type="dxa" w:w="4513"/>
            <w:shd w:fill="FFFFFF"/>
            <w:tcMar>
              <w:top w:w="60" w:type="dxa"/>
              <w:bottom w:w="60" w:type="dxa"/>
              <w:left w:w="100" w:type="dxa"/>
              <w:right w:w="100" w:type="dxa"/>
            </w:tcMar>
          </w:tcPr>
          <w:p>
            <w:r>
              <w:rPr>
                <w:rFonts w:ascii="Calibri" w:hAnsi="Calibri"/>
                <w:sz w:val="18"/>
              </w:rPr>
              <w:t>NVIDIA RTX 4090 / A100 GPU (24GB/80GB VRAM), Linux Ubuntu 22.04 LTS</w:t>
            </w:r>
          </w:p>
        </w:tc>
      </w:tr>
    </w:tbl>
    <w:p>
      <w:pPr>
        <w:spacing w:before="0" w:after="120"/>
      </w:pPr>
    </w:p>
    <w:p>
      <w:pPr>
        <w:keepNext/>
        <w:spacing w:before="280" w:after="80"/>
      </w:pPr>
      <w:r>
        <w:rPr>
          <w:rFonts w:ascii="Calibri" w:hAnsi="Calibri"/>
          <w:b/>
          <w:color w:val="1E3A8A"/>
          <w:sz w:val="27"/>
        </w:rPr>
        <w:t>[9]. SYSTEM ARCHITECTURE:</w:t>
      </w:r>
    </w:p>
    <w:p>
      <w:pPr>
        <w:spacing w:before="80" w:after="120" w:line="276" w:lineRule="auto"/>
      </w:pPr>
      <w:r>
        <w:rPr>
          <w:rFonts w:ascii="Calibri" w:hAnsi="Calibri"/>
          <w:b w:val="0"/>
          <w:i w:val="0"/>
          <w:sz w:val="22"/>
        </w:rPr>
        <w:t>The AegisSepsis AI system architecture comprises five decoupled functional stages establishing a seamless data processing flow from raw EHR streams to bedside clinical decision alerts:</w:t>
      </w:r>
    </w:p>
    <w:p>
      <w:pPr>
        <w:keepNext/>
        <w:spacing w:before="160" w:after="40"/>
      </w:pPr>
      <w:r>
        <w:rPr>
          <w:rFonts w:ascii="Consolas" w:hAnsi="Consolas"/>
          <w:b/>
          <w:color w:val="1E3A8A"/>
          <w:sz w:val="20"/>
        </w:rPr>
        <w:t>Fig. 9.1 System Architecture Pipeline Diagram</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w:t>
              <w:br/>
              <w:t>|                            AEGIS-SEPSIS SYSTEM ARCHITECTURE                        |</w:t>
              <w:br/>
              <w:t>+-----------------------------------------------------------------------------------+</w:t>
              <w:br/>
              <w:t>|  [1. EHR Data Ingestion Stream]                                                   |</w:t>
              <w:br/>
              <w:t>|     |---&gt; Real-Time Vitals (HR, MAP, Temp, SpO2, Resp)                            |</w:t>
              <w:br/>
              <w:t>|     |---&gt; Lab Measurements (WBC, Lactate, Creatinine, Bilirubin, Platelets)        |</w:t>
              <w:br/>
              <w:t>+-----------------------------------------------------------------------------------+</w:t>
              <w:br/>
              <w:t xml:space="preserve">                                        |</w:t>
              <w:br/>
              <w:t xml:space="preserve">                                        v</w:t>
              <w:br/>
              <w:t>+-----------------------------------------------------------------------------------+</w:t>
              <w:br/>
              <w:t>|  [2. Causal Feature &amp; Trend Derivative Engine]                                    |</w:t>
              <w:br/>
              <w:t>|     |---&gt; Baseline Z-Score Normalization: Z = (X - mu) / sigma                      |</w:t>
              <w:br/>
              <w:t>|     |---&gt; Trailing Trend Velocity: Vel_3h = (X_t - X_{t-3h}) / 3                   |</w:t>
              <w:br/>
              <w:t>|     |---&gt; Trailing Trend Acceleration: Acc_6h = Vel_3h(t) - Vel_3h(t-3h)           |</w:t>
              <w:br/>
              <w:t>|     |---&gt; Exponential Decay Masking: M_{t,k}^{(decay)} = exp(-gamma * Delta t)   |</w:t>
              <w:br/>
              <w:t>+-----------------------------------------------------------------------------------+</w:t>
              <w:br/>
              <w:t xml:space="preserve">                                        |</w:t>
              <w:br/>
              <w:t xml:space="preserve">                                        v</w:t>
              <w:br/>
              <w:t>+-----------------------------------------------------------------------------------+</w:t>
              <w:br/>
              <w:t>|  [3. Decoupled Dual-Stream Neural Encoder]                                       |</w:t>
              <w:br/>
              <w:t>|     |---&gt; Stream A: Physiological Trajectory Encoder f_phi(X^{physio})            |</w:t>
              <w:br/>
              <w:t>|     |---&gt; Stream B: Observation Process Encoder g_psi(M^{obs})                    |</w:t>
              <w:br/>
              <w:t>|     |---&gt; Feature Fusion Layer: h_t = Concat( Stream A, Stream B )                 |</w:t>
              <w:br/>
              <w:t>+-----------------------------------------------------------------------------------+</w:t>
              <w:br/>
              <w:t xml:space="preserve">                                        |</w:t>
              <w:br/>
              <w:t xml:space="preserve">                                        v</w:t>
              <w:br/>
              <w:t>+-----------------------------------------------------------------------------------+</w:t>
              <w:br/>
              <w:t>|  [4. Invariance Penalty Gate &amp; Training Loss]                                      |</w:t>
              <w:br/>
              <w:t>|     |---&gt; Loss Function: L_{total} = L_{bce} + lambda * sum_e ||grad L_e||^2       |</w:t>
              <w:br/>
              <w:t>|     |---&gt; Monitoring Density Environments: Quartiles Q1 (Sparse) to Q4 (Dense)    |</w:t>
              <w:br/>
              <w:t>+-----------------------------------------------------------------------------------+</w:t>
              <w:br/>
              <w:t xml:space="preserve">                                        |</w:t>
              <w:br/>
              <w:t xml:space="preserve">                                        v</w:t>
              <w:br/>
              <w:t>+-----------------------------------------------------------------------------------+</w:t>
              <w:br/>
              <w:t>|  [5. Policy Decision Engine &amp; TreeSHAP Interpreter]                                |</w:t>
              <w:br/>
              <w:t>|     |---&gt; Decision Threshold Gating: Operating Point VAL_POL_0450 (tau = 0.450)    |</w:t>
              <w:br/>
              <w:t>|     |---&gt; TreeSHAP Attribution: 62% Physiology vs 38% Observation Process        |</w:t>
              <w:br/>
              <w:t>|     |---&gt; Bedside Alert Dispatch: Lead Time 4.2 Hours Prior to Sepsis-3 Onset     |</w:t>
              <w:br/>
              <w:t>+-----------------------------------------------------------------------------------+</w:t>
            </w:r>
          </w:p>
        </w:tc>
      </w:tr>
    </w:tbl>
    <w:p>
      <w:pPr>
        <w:spacing w:before="0" w:after="120"/>
      </w:pPr>
    </w:p>
    <w:p>
      <w:pPr>
        <w:keepNext/>
        <w:spacing w:before="280" w:after="80"/>
      </w:pPr>
      <w:r>
        <w:rPr>
          <w:rFonts w:ascii="Calibri" w:hAnsi="Calibri"/>
          <w:b/>
          <w:color w:val="1E3A8A"/>
          <w:sz w:val="27"/>
        </w:rPr>
        <w:t>[10]. UML DIAGRAMS:</w:t>
      </w:r>
    </w:p>
    <w:p>
      <w:pPr>
        <w:spacing w:before="80" w:after="120" w:line="276" w:lineRule="auto"/>
      </w:pPr>
      <w:r>
        <w:rPr>
          <w:rFonts w:ascii="Calibri" w:hAnsi="Calibri"/>
          <w:b w:val="0"/>
          <w:i w:val="0"/>
          <w:sz w:val="22"/>
        </w:rPr>
        <w:t>Formal UML specifications detailing Use Case, Class Hierarchy, Sequence Interaction, Activity Control Flow, State Machine, Component Architecture, and Deployment Topology are documented below:</w:t>
      </w:r>
    </w:p>
    <w:p>
      <w:pPr>
        <w:keepNext/>
        <w:spacing w:before="280" w:after="80"/>
      </w:pPr>
      <w:r>
        <w:rPr>
          <w:rFonts w:ascii="Calibri" w:hAnsi="Calibri"/>
          <w:b/>
          <w:color w:val="0F172A"/>
          <w:sz w:val="24"/>
        </w:rPr>
        <w:t>10.1 Use Case Diagram</w:t>
      </w:r>
    </w:p>
    <w:p>
      <w:pPr>
        <w:spacing w:before="80" w:after="120" w:line="276" w:lineRule="auto"/>
      </w:pPr>
      <w:r>
        <w:rPr>
          <w:rFonts w:ascii="Calibri" w:hAnsi="Calibri"/>
          <w:b w:val="0"/>
          <w:i w:val="0"/>
          <w:sz w:val="22"/>
        </w:rPr>
        <w:t>Actors: ICU Bedside Nurse, Attending Physician, Clinical Systems Administrator.</w:t>
      </w:r>
    </w:p>
    <w:p>
      <w:pPr>
        <w:spacing w:before="80" w:after="120" w:line="276" w:lineRule="auto"/>
      </w:pPr>
      <w:r>
        <w:rPr>
          <w:rFonts w:ascii="Calibri" w:hAnsi="Calibri"/>
          <w:b w:val="0"/>
          <w:i w:val="0"/>
          <w:sz w:val="22"/>
        </w:rPr>
        <w:t>Use Cases: Ingest EHR Stream (UC-1), Compute Causal Z-Scores &amp; Derivatives (UC-2), Generate Decoupled Latent Streams (UC-3), Evaluate Policy VAL_POL_0450 (UC-4), Display TreeSHAP Attribution Waterfall (UC-5), Audit Model Transportability (UC-6).</w:t>
      </w:r>
    </w:p>
    <w:p>
      <w:pPr>
        <w:keepNext/>
        <w:spacing w:before="280" w:after="80"/>
      </w:pPr>
      <w:r>
        <w:rPr>
          <w:rFonts w:ascii="Calibri" w:hAnsi="Calibri"/>
          <w:b/>
          <w:color w:val="0F172A"/>
          <w:sz w:val="24"/>
        </w:rPr>
        <w:t>10.2 Class Diagram Architecture</w:t>
      </w:r>
    </w:p>
    <w:p>
      <w:pPr>
        <w:spacing w:before="80" w:after="120" w:line="276" w:lineRule="auto"/>
      </w:pPr>
      <w:r>
        <w:rPr>
          <w:rFonts w:ascii="Calibri" w:hAnsi="Calibri"/>
          <w:b w:val="0"/>
          <w:i w:val="0"/>
          <w:sz w:val="22"/>
        </w:rPr>
        <w:t>Classes: PatientStream (ingest_window), CausalFeatureExtractor (transform_zscore, compute_velocity_3h, compute_acceleration_6h), ObservationProcessEncoder (compute_decay_mask), DualStreamEncoder (forward), InvariantRiskLoss (forward), SepsisPolicyEngine (evaluate_window), TreeSHAPExplainer (explain).</w:t>
      </w:r>
    </w:p>
    <w:p>
      <w:pPr>
        <w:keepNext/>
        <w:spacing w:before="280" w:after="80"/>
      </w:pPr>
      <w:r>
        <w:rPr>
          <w:rFonts w:ascii="Calibri" w:hAnsi="Calibri"/>
          <w:b/>
          <w:color w:val="0F172A"/>
          <w:sz w:val="24"/>
        </w:rPr>
        <w:t>10.3 Sequence &amp; Activity Diagrams</w:t>
      </w:r>
    </w:p>
    <w:p>
      <w:pPr>
        <w:spacing w:before="80" w:after="120" w:line="276" w:lineRule="auto"/>
      </w:pPr>
      <w:r>
        <w:rPr>
          <w:rFonts w:ascii="Calibri" w:hAnsi="Calibri"/>
          <w:b w:val="0"/>
          <w:i w:val="0"/>
          <w:sz w:val="22"/>
        </w:rPr>
        <w:t>Step-by-step call sequence: Hourly EHR feed arrival -&gt; Causal Z-score derivation -&gt; Decoupled stream encoding -&gt; Risk score computation -&gt; VAL_POL_0450 persistence evaluation -&gt; TreeSHAP waterfall generation -&gt; Bedside dashboard rendering.</w:t>
      </w:r>
    </w:p>
    <w:p>
      <w:pPr>
        <w:keepNext/>
        <w:spacing w:before="280" w:after="80"/>
      </w:pPr>
      <w:r>
        <w:rPr>
          <w:rFonts w:ascii="Calibri" w:hAnsi="Calibri"/>
          <w:b/>
          <w:color w:val="1E3A8A"/>
          <w:sz w:val="27"/>
        </w:rPr>
        <w:t>[11]. IMPLEMENTATION</w:t>
      </w:r>
    </w:p>
    <w:p>
      <w:pPr>
        <w:keepNext/>
        <w:spacing w:before="280" w:after="80"/>
      </w:pPr>
      <w:r>
        <w:rPr>
          <w:rFonts w:ascii="Calibri" w:hAnsi="Calibri"/>
          <w:b/>
          <w:color w:val="0F172A"/>
          <w:sz w:val="24"/>
        </w:rPr>
        <w:t>11.1. PROJECT PLAN</w:t>
      </w:r>
    </w:p>
    <w:tbl>
      <w:tblPr>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fill="1E3A8A"/>
            <w:tcMar>
              <w:top w:w="80" w:type="dxa"/>
              <w:bottom w:w="80" w:type="dxa"/>
              <w:left w:w="100" w:type="dxa"/>
              <w:right w:w="100" w:type="dxa"/>
            </w:tcMar>
          </w:tcPr>
          <w:p>
            <w:r>
              <w:rPr>
                <w:rFonts w:ascii="Calibri" w:hAnsi="Calibri"/>
                <w:b/>
                <w:color w:val="FFFFFF"/>
                <w:sz w:val="19"/>
              </w:rPr>
              <w:t>Phase</w:t>
            </w:r>
          </w:p>
        </w:tc>
        <w:tc>
          <w:tcPr>
            <w:tcW w:type="dxa" w:w="1128"/>
            <w:shd w:fill="1E3A8A"/>
            <w:tcMar>
              <w:top w:w="80" w:type="dxa"/>
              <w:bottom w:w="80" w:type="dxa"/>
              <w:left w:w="100" w:type="dxa"/>
              <w:right w:w="100" w:type="dxa"/>
            </w:tcMar>
          </w:tcPr>
          <w:p>
            <w:r>
              <w:rPr>
                <w:rFonts w:ascii="Calibri" w:hAnsi="Calibri"/>
                <w:b/>
                <w:color w:val="FFFFFF"/>
                <w:sz w:val="19"/>
              </w:rPr>
              <w:t>Activity Description</w:t>
            </w:r>
          </w:p>
        </w:tc>
        <w:tc>
          <w:tcPr>
            <w:tcW w:type="dxa" w:w="1128"/>
            <w:shd w:fill="1E3A8A"/>
            <w:tcMar>
              <w:top w:w="80" w:type="dxa"/>
              <w:bottom w:w="80" w:type="dxa"/>
              <w:left w:w="100" w:type="dxa"/>
              <w:right w:w="100" w:type="dxa"/>
            </w:tcMar>
          </w:tcPr>
          <w:p>
            <w:r>
              <w:rPr>
                <w:rFonts w:ascii="Calibri" w:hAnsi="Calibri"/>
                <w:b/>
                <w:color w:val="FFFFFF"/>
                <w:sz w:val="19"/>
              </w:rPr>
              <w:t>Jul</w:t>
            </w:r>
          </w:p>
        </w:tc>
        <w:tc>
          <w:tcPr>
            <w:tcW w:type="dxa" w:w="1128"/>
            <w:shd w:fill="1E3A8A"/>
            <w:tcMar>
              <w:top w:w="80" w:type="dxa"/>
              <w:bottom w:w="80" w:type="dxa"/>
              <w:left w:w="100" w:type="dxa"/>
              <w:right w:w="100" w:type="dxa"/>
            </w:tcMar>
          </w:tcPr>
          <w:p>
            <w:r>
              <w:rPr>
                <w:rFonts w:ascii="Calibri" w:hAnsi="Calibri"/>
                <w:b/>
                <w:color w:val="FFFFFF"/>
                <w:sz w:val="19"/>
              </w:rPr>
              <w:t>Aug</w:t>
            </w:r>
          </w:p>
        </w:tc>
        <w:tc>
          <w:tcPr>
            <w:tcW w:type="dxa" w:w="1128"/>
            <w:shd w:fill="1E3A8A"/>
            <w:tcMar>
              <w:top w:w="80" w:type="dxa"/>
              <w:bottom w:w="80" w:type="dxa"/>
              <w:left w:w="100" w:type="dxa"/>
              <w:right w:w="100" w:type="dxa"/>
            </w:tcMar>
          </w:tcPr>
          <w:p>
            <w:r>
              <w:rPr>
                <w:rFonts w:ascii="Calibri" w:hAnsi="Calibri"/>
                <w:b/>
                <w:color w:val="FFFFFF"/>
                <w:sz w:val="19"/>
              </w:rPr>
              <w:t>Sep</w:t>
            </w:r>
          </w:p>
        </w:tc>
        <w:tc>
          <w:tcPr>
            <w:tcW w:type="dxa" w:w="1128"/>
            <w:shd w:fill="1E3A8A"/>
            <w:tcMar>
              <w:top w:w="80" w:type="dxa"/>
              <w:bottom w:w="80" w:type="dxa"/>
              <w:left w:w="100" w:type="dxa"/>
              <w:right w:w="100" w:type="dxa"/>
            </w:tcMar>
          </w:tcPr>
          <w:p>
            <w:r>
              <w:rPr>
                <w:rFonts w:ascii="Calibri" w:hAnsi="Calibri"/>
                <w:b/>
                <w:color w:val="FFFFFF"/>
                <w:sz w:val="19"/>
              </w:rPr>
              <w:t>Oct</w:t>
            </w:r>
          </w:p>
        </w:tc>
        <w:tc>
          <w:tcPr>
            <w:tcW w:type="dxa" w:w="1128"/>
            <w:shd w:fill="1E3A8A"/>
            <w:tcMar>
              <w:top w:w="80" w:type="dxa"/>
              <w:bottom w:w="80" w:type="dxa"/>
              <w:left w:w="100" w:type="dxa"/>
              <w:right w:w="100" w:type="dxa"/>
            </w:tcMar>
          </w:tcPr>
          <w:p>
            <w:r>
              <w:rPr>
                <w:rFonts w:ascii="Calibri" w:hAnsi="Calibri"/>
                <w:b/>
                <w:color w:val="FFFFFF"/>
                <w:sz w:val="19"/>
              </w:rPr>
              <w:t>Nov</w:t>
            </w:r>
          </w:p>
        </w:tc>
        <w:tc>
          <w:tcPr>
            <w:tcW w:type="dxa" w:w="1128"/>
            <w:shd w:fill="1E3A8A"/>
            <w:tcMar>
              <w:top w:w="80" w:type="dxa"/>
              <w:bottom w:w="80" w:type="dxa"/>
              <w:left w:w="100" w:type="dxa"/>
              <w:right w:w="100" w:type="dxa"/>
            </w:tcMar>
          </w:tcPr>
          <w:p>
            <w:r>
              <w:rPr>
                <w:rFonts w:ascii="Calibri" w:hAnsi="Calibri"/>
                <w:b/>
                <w:color w:val="FFFFFF"/>
                <w:sz w:val="19"/>
              </w:rPr>
              <w:t>Status</w:t>
            </w:r>
          </w:p>
        </w:tc>
      </w:tr>
      <w:tr>
        <w:tc>
          <w:tcPr>
            <w:tcW w:type="dxa" w:w="1128"/>
            <w:shd w:fill="FFFFFF"/>
            <w:tcMar>
              <w:top w:w="60" w:type="dxa"/>
              <w:bottom w:w="60" w:type="dxa"/>
              <w:left w:w="100" w:type="dxa"/>
              <w:right w:w="100" w:type="dxa"/>
            </w:tcMar>
          </w:tcPr>
          <w:p>
            <w:r>
              <w:rPr>
                <w:rFonts w:ascii="Calibri" w:hAnsi="Calibri"/>
                <w:sz w:val="18"/>
              </w:rPr>
              <w:t>1</w:t>
            </w:r>
          </w:p>
        </w:tc>
        <w:tc>
          <w:tcPr>
            <w:tcW w:type="dxa" w:w="1128"/>
            <w:shd w:fill="FFFFFF"/>
            <w:tcMar>
              <w:top w:w="60" w:type="dxa"/>
              <w:bottom w:w="60" w:type="dxa"/>
              <w:left w:w="100" w:type="dxa"/>
              <w:right w:w="100" w:type="dxa"/>
            </w:tcMar>
          </w:tcPr>
          <w:p>
            <w:r>
              <w:rPr>
                <w:rFonts w:ascii="Calibri" w:hAnsi="Calibri"/>
                <w:sz w:val="18"/>
              </w:rPr>
              <w:t>Literature survey, problem definition, Sepsis-3 criteria study</w:t>
            </w:r>
          </w:p>
        </w:tc>
        <w:tc>
          <w:tcPr>
            <w:tcW w:type="dxa" w:w="1128"/>
            <w:shd w:fill="FFFFFF"/>
            <w:tcMar>
              <w:top w:w="60" w:type="dxa"/>
              <w:bottom w:w="60" w:type="dxa"/>
              <w:left w:w="100" w:type="dxa"/>
              <w:right w:w="100" w:type="dxa"/>
            </w:tcMar>
          </w:tcPr>
          <w:p>
            <w:r>
              <w:rPr>
                <w:rFonts w:ascii="Calibri" w:hAnsi="Calibri"/>
                <w:sz w:val="18"/>
              </w:rPr>
              <w:t>X</w:t>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t>Completed</w:t>
            </w:r>
          </w:p>
        </w:tc>
      </w:tr>
      <w:tr>
        <w:tc>
          <w:tcPr>
            <w:tcW w:type="dxa" w:w="1128"/>
            <w:shd w:fill="F8FAFC"/>
            <w:tcMar>
              <w:top w:w="60" w:type="dxa"/>
              <w:bottom w:w="60" w:type="dxa"/>
              <w:left w:w="100" w:type="dxa"/>
              <w:right w:w="100" w:type="dxa"/>
            </w:tcMar>
          </w:tcPr>
          <w:p>
            <w:r>
              <w:rPr>
                <w:rFonts w:ascii="Calibri" w:hAnsi="Calibri"/>
                <w:sz w:val="18"/>
              </w:rPr>
              <w:t>2</w:t>
            </w:r>
          </w:p>
        </w:tc>
        <w:tc>
          <w:tcPr>
            <w:tcW w:type="dxa" w:w="1128"/>
            <w:shd w:fill="F8FAFC"/>
            <w:tcMar>
              <w:top w:w="60" w:type="dxa"/>
              <w:bottom w:w="60" w:type="dxa"/>
              <w:left w:w="100" w:type="dxa"/>
              <w:right w:w="100" w:type="dxa"/>
            </w:tcMar>
          </w:tcPr>
          <w:p>
            <w:r>
              <w:rPr>
                <w:rFonts w:ascii="Calibri" w:hAnsi="Calibri"/>
                <w:sz w:val="18"/>
              </w:rPr>
              <w:t>Cohort extraction, Sepsis-3 labeling, zero-overlap audit</w:t>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t>X</w:t>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t>Completed</w:t>
            </w:r>
          </w:p>
        </w:tc>
      </w:tr>
      <w:tr>
        <w:tc>
          <w:tcPr>
            <w:tcW w:type="dxa" w:w="1128"/>
            <w:shd w:fill="FFFFFF"/>
            <w:tcMar>
              <w:top w:w="60" w:type="dxa"/>
              <w:bottom w:w="60" w:type="dxa"/>
              <w:left w:w="100" w:type="dxa"/>
              <w:right w:w="100" w:type="dxa"/>
            </w:tcMar>
          </w:tcPr>
          <w:p>
            <w:r>
              <w:rPr>
                <w:rFonts w:ascii="Calibri" w:hAnsi="Calibri"/>
                <w:sz w:val="18"/>
              </w:rPr>
              <w:t>3</w:t>
            </w:r>
          </w:p>
        </w:tc>
        <w:tc>
          <w:tcPr>
            <w:tcW w:type="dxa" w:w="1128"/>
            <w:shd w:fill="FFFFFF"/>
            <w:tcMar>
              <w:top w:w="60" w:type="dxa"/>
              <w:bottom w:w="60" w:type="dxa"/>
              <w:left w:w="100" w:type="dxa"/>
              <w:right w:w="100" w:type="dxa"/>
            </w:tcMar>
          </w:tcPr>
          <w:p>
            <w:r>
              <w:rPr>
                <w:rFonts w:ascii="Calibri" w:hAnsi="Calibri"/>
                <w:sz w:val="18"/>
              </w:rPr>
              <w:t>Causal Z-score, velocity/acceleration and observation vectors</w:t>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t>X</w:t>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t>Completed</w:t>
            </w:r>
          </w:p>
        </w:tc>
      </w:tr>
      <w:tr>
        <w:tc>
          <w:tcPr>
            <w:tcW w:type="dxa" w:w="1128"/>
            <w:shd w:fill="F8FAFC"/>
            <w:tcMar>
              <w:top w:w="60" w:type="dxa"/>
              <w:bottom w:w="60" w:type="dxa"/>
              <w:left w:w="100" w:type="dxa"/>
              <w:right w:w="100" w:type="dxa"/>
            </w:tcMar>
          </w:tcPr>
          <w:p>
            <w:r>
              <w:rPr>
                <w:rFonts w:ascii="Calibri" w:hAnsi="Calibri"/>
                <w:sz w:val="18"/>
              </w:rPr>
              <w:t>4</w:t>
            </w:r>
          </w:p>
        </w:tc>
        <w:tc>
          <w:tcPr>
            <w:tcW w:type="dxa" w:w="1128"/>
            <w:shd w:fill="F8FAFC"/>
            <w:tcMar>
              <w:top w:w="60" w:type="dxa"/>
              <w:bottom w:w="60" w:type="dxa"/>
              <w:left w:w="100" w:type="dxa"/>
              <w:right w:w="100" w:type="dxa"/>
            </w:tcMar>
          </w:tcPr>
          <w:p>
            <w:r>
              <w:rPr>
                <w:rFonts w:ascii="Calibri" w:hAnsi="Calibri"/>
                <w:sz w:val="18"/>
              </w:rPr>
              <w:t>Model training, invariance regularizer, Model A-F ablation</w:t>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t>X</w:t>
            </w:r>
          </w:p>
        </w:tc>
        <w:tc>
          <w:tcPr>
            <w:tcW w:type="dxa" w:w="1128"/>
            <w:shd w:fill="F8FAFC"/>
            <w:tcMar>
              <w:top w:w="60" w:type="dxa"/>
              <w:bottom w:w="60" w:type="dxa"/>
              <w:left w:w="100" w:type="dxa"/>
              <w:right w:w="100" w:type="dxa"/>
            </w:tcMar>
          </w:tcPr>
          <w:p>
            <w:r>
              <w:rPr>
                <w:rFonts w:ascii="Calibri" w:hAnsi="Calibri"/>
                <w:sz w:val="18"/>
              </w:rPr>
              <w:t>X</w:t>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t>Completed</w:t>
            </w:r>
          </w:p>
        </w:tc>
      </w:tr>
      <w:tr>
        <w:tc>
          <w:tcPr>
            <w:tcW w:type="dxa" w:w="1128"/>
            <w:shd w:fill="FFFFFF"/>
            <w:tcMar>
              <w:top w:w="60" w:type="dxa"/>
              <w:bottom w:w="60" w:type="dxa"/>
              <w:left w:w="100" w:type="dxa"/>
              <w:right w:w="100" w:type="dxa"/>
            </w:tcMar>
          </w:tcPr>
          <w:p>
            <w:r>
              <w:rPr>
                <w:rFonts w:ascii="Calibri" w:hAnsi="Calibri"/>
                <w:sz w:val="18"/>
              </w:rPr>
              <w:t>5</w:t>
            </w:r>
          </w:p>
        </w:tc>
        <w:tc>
          <w:tcPr>
            <w:tcW w:type="dxa" w:w="1128"/>
            <w:shd w:fill="FFFFFF"/>
            <w:tcMar>
              <w:top w:w="60" w:type="dxa"/>
              <w:bottom w:w="60" w:type="dxa"/>
              <w:left w:w="100" w:type="dxa"/>
              <w:right w:w="100" w:type="dxa"/>
            </w:tcMar>
          </w:tcPr>
          <w:p>
            <w:r>
              <w:rPr>
                <w:rFonts w:ascii="Calibri" w:hAnsi="Calibri"/>
                <w:sz w:val="18"/>
              </w:rPr>
              <w:t>External holdout (BIDMC Set B) and stress testing</w:t>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t>X</w:t>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t>Completed</w:t>
            </w:r>
          </w:p>
        </w:tc>
      </w:tr>
      <w:tr>
        <w:tc>
          <w:tcPr>
            <w:tcW w:type="dxa" w:w="1128"/>
            <w:shd w:fill="F8FAFC"/>
            <w:tcMar>
              <w:top w:w="60" w:type="dxa"/>
              <w:bottom w:w="60" w:type="dxa"/>
              <w:left w:w="100" w:type="dxa"/>
              <w:right w:w="100" w:type="dxa"/>
            </w:tcMar>
          </w:tcPr>
          <w:p>
            <w:r>
              <w:rPr>
                <w:rFonts w:ascii="Calibri" w:hAnsi="Calibri"/>
                <w:sz w:val="18"/>
              </w:rPr>
              <w:t>6</w:t>
            </w:r>
          </w:p>
        </w:tc>
        <w:tc>
          <w:tcPr>
            <w:tcW w:type="dxa" w:w="1128"/>
            <w:shd w:fill="F8FAFC"/>
            <w:tcMar>
              <w:top w:w="60" w:type="dxa"/>
              <w:bottom w:w="60" w:type="dxa"/>
              <w:left w:w="100" w:type="dxa"/>
              <w:right w:w="100" w:type="dxa"/>
            </w:tcMar>
          </w:tcPr>
          <w:p>
            <w:r>
              <w:rPr>
                <w:rFonts w:ascii="Calibri" w:hAnsi="Calibri"/>
                <w:sz w:val="18"/>
              </w:rPr>
              <w:t>TreeSHAP analysis and VAL_POL_0450 policy simulation</w:t>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t>X</w:t>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t>Completed</w:t>
            </w:r>
          </w:p>
        </w:tc>
      </w:tr>
      <w:tr>
        <w:tc>
          <w:tcPr>
            <w:tcW w:type="dxa" w:w="1128"/>
            <w:shd w:fill="FFFFFF"/>
            <w:tcMar>
              <w:top w:w="60" w:type="dxa"/>
              <w:bottom w:w="60" w:type="dxa"/>
              <w:left w:w="100" w:type="dxa"/>
              <w:right w:w="100" w:type="dxa"/>
            </w:tcMar>
          </w:tcPr>
          <w:p>
            <w:r>
              <w:rPr>
                <w:rFonts w:ascii="Calibri" w:hAnsi="Calibri"/>
                <w:sz w:val="18"/>
              </w:rPr>
              <w:t>7</w:t>
            </w:r>
          </w:p>
        </w:tc>
        <w:tc>
          <w:tcPr>
            <w:tcW w:type="dxa" w:w="1128"/>
            <w:shd w:fill="FFFFFF"/>
            <w:tcMar>
              <w:top w:w="60" w:type="dxa"/>
              <w:bottom w:w="60" w:type="dxa"/>
              <w:left w:w="100" w:type="dxa"/>
              <w:right w:w="100" w:type="dxa"/>
            </w:tcMar>
          </w:tcPr>
          <w:p>
            <w:r>
              <w:rPr>
                <w:rFonts w:ascii="Calibri" w:hAnsi="Calibri"/>
                <w:sz w:val="18"/>
              </w:rPr>
              <w:t>FastAPI services, dashboard and Docker packaging</w:t>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r>
          </w:p>
        </w:tc>
        <w:tc>
          <w:tcPr>
            <w:tcW w:type="dxa" w:w="1128"/>
            <w:shd w:fill="FFFFFF"/>
            <w:tcMar>
              <w:top w:w="60" w:type="dxa"/>
              <w:bottom w:w="60" w:type="dxa"/>
              <w:left w:w="100" w:type="dxa"/>
              <w:right w:w="100" w:type="dxa"/>
            </w:tcMar>
          </w:tcPr>
          <w:p>
            <w:r>
              <w:rPr>
                <w:rFonts w:ascii="Calibri" w:hAnsi="Calibri"/>
                <w:sz w:val="18"/>
              </w:rPr>
              <w:t>X</w:t>
            </w:r>
          </w:p>
        </w:tc>
        <w:tc>
          <w:tcPr>
            <w:tcW w:type="dxa" w:w="1128"/>
            <w:shd w:fill="FFFFFF"/>
            <w:tcMar>
              <w:top w:w="60" w:type="dxa"/>
              <w:bottom w:w="60" w:type="dxa"/>
              <w:left w:w="100" w:type="dxa"/>
              <w:right w:w="100" w:type="dxa"/>
            </w:tcMar>
          </w:tcPr>
          <w:p>
            <w:r>
              <w:rPr>
                <w:rFonts w:ascii="Calibri" w:hAnsi="Calibri"/>
                <w:sz w:val="18"/>
              </w:rPr>
              <w:t>X</w:t>
            </w:r>
          </w:p>
        </w:tc>
        <w:tc>
          <w:tcPr>
            <w:tcW w:type="dxa" w:w="1128"/>
            <w:shd w:fill="FFFFFF"/>
            <w:tcMar>
              <w:top w:w="60" w:type="dxa"/>
              <w:bottom w:w="60" w:type="dxa"/>
              <w:left w:w="100" w:type="dxa"/>
              <w:right w:w="100" w:type="dxa"/>
            </w:tcMar>
          </w:tcPr>
          <w:p>
            <w:r>
              <w:rPr>
                <w:rFonts w:ascii="Calibri" w:hAnsi="Calibri"/>
                <w:sz w:val="18"/>
              </w:rPr>
              <w:t>In progress</w:t>
            </w:r>
          </w:p>
        </w:tc>
      </w:tr>
      <w:tr>
        <w:tc>
          <w:tcPr>
            <w:tcW w:type="dxa" w:w="1128"/>
            <w:shd w:fill="F8FAFC"/>
            <w:tcMar>
              <w:top w:w="60" w:type="dxa"/>
              <w:bottom w:w="60" w:type="dxa"/>
              <w:left w:w="100" w:type="dxa"/>
              <w:right w:w="100" w:type="dxa"/>
            </w:tcMar>
          </w:tcPr>
          <w:p>
            <w:r>
              <w:rPr>
                <w:rFonts w:ascii="Calibri" w:hAnsi="Calibri"/>
                <w:sz w:val="18"/>
              </w:rPr>
              <w:t>8</w:t>
            </w:r>
          </w:p>
        </w:tc>
        <w:tc>
          <w:tcPr>
            <w:tcW w:type="dxa" w:w="1128"/>
            <w:shd w:fill="F8FAFC"/>
            <w:tcMar>
              <w:top w:w="60" w:type="dxa"/>
              <w:bottom w:w="60" w:type="dxa"/>
              <w:left w:w="100" w:type="dxa"/>
              <w:right w:w="100" w:type="dxa"/>
            </w:tcMar>
          </w:tcPr>
          <w:p>
            <w:r>
              <w:rPr>
                <w:rFonts w:ascii="Calibri" w:hAnsi="Calibri"/>
                <w:sz w:val="18"/>
              </w:rPr>
              <w:t>Final testing, documentation and dissertation submission</w:t>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r>
          </w:p>
        </w:tc>
        <w:tc>
          <w:tcPr>
            <w:tcW w:type="dxa" w:w="1128"/>
            <w:shd w:fill="F8FAFC"/>
            <w:tcMar>
              <w:top w:w="60" w:type="dxa"/>
              <w:bottom w:w="60" w:type="dxa"/>
              <w:left w:w="100" w:type="dxa"/>
              <w:right w:w="100" w:type="dxa"/>
            </w:tcMar>
          </w:tcPr>
          <w:p>
            <w:r>
              <w:rPr>
                <w:rFonts w:ascii="Calibri" w:hAnsi="Calibri"/>
                <w:sz w:val="18"/>
              </w:rPr>
              <w:t>X</w:t>
            </w:r>
          </w:p>
        </w:tc>
        <w:tc>
          <w:tcPr>
            <w:tcW w:type="dxa" w:w="1128"/>
            <w:shd w:fill="F8FAFC"/>
            <w:tcMar>
              <w:top w:w="60" w:type="dxa"/>
              <w:bottom w:w="60" w:type="dxa"/>
              <w:left w:w="100" w:type="dxa"/>
              <w:right w:w="100" w:type="dxa"/>
            </w:tcMar>
          </w:tcPr>
          <w:p>
            <w:r>
              <w:rPr>
                <w:rFonts w:ascii="Calibri" w:hAnsi="Calibri"/>
                <w:sz w:val="18"/>
              </w:rPr>
              <w:t>Planned</w:t>
            </w:r>
          </w:p>
        </w:tc>
      </w:tr>
    </w:tbl>
    <w:p>
      <w:pPr>
        <w:spacing w:before="0" w:after="120"/>
      </w:pPr>
    </w:p>
    <w:p>
      <w:pPr>
        <w:keepNext/>
        <w:spacing w:before="280" w:after="80"/>
      </w:pPr>
      <w:r>
        <w:rPr>
          <w:rFonts w:ascii="Calibri" w:hAnsi="Calibri"/>
          <w:b/>
          <w:color w:val="0F172A"/>
          <w:sz w:val="24"/>
        </w:rPr>
        <w:t>11.2 SAMPLE CODE</w:t>
      </w:r>
    </w:p>
    <w:p>
      <w:pPr>
        <w:spacing w:before="80" w:after="120" w:line="276" w:lineRule="auto"/>
      </w:pPr>
      <w:r>
        <w:rPr>
          <w:rFonts w:ascii="Calibri" w:hAnsi="Calibri"/>
          <w:b w:val="0"/>
          <w:i w:val="0"/>
          <w:sz w:val="22"/>
        </w:rPr>
        <w:t>Below are complete, production-grade PyTorch and Python source code implementations of the core modules:</w:t>
      </w:r>
    </w:p>
    <w:p>
      <w:pPr>
        <w:keepNext/>
        <w:spacing w:before="160" w:after="40"/>
      </w:pPr>
      <w:r>
        <w:rPr>
          <w:rFonts w:ascii="Consolas" w:hAnsi="Consolas"/>
          <w:b/>
          <w:color w:val="1E3A8A"/>
          <w:sz w:val="20"/>
        </w:rPr>
        <w:t>Listing 1: Causal Trajectory &amp; Derivative Extraction Engine</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import pandas as pd</w:t>
              <w:br/>
              <w:t>import numpy as np</w:t>
              <w:br/>
              <w:t>import torch</w:t>
              <w:br/>
              <w:br/>
              <w:t>def causal_trajectory(x: pd.DataFrame, mu: pd.Series, sigma: pd.Series):</w:t>
              <w:br/>
              <w:t xml:space="preserve">    """</w:t>
              <w:br/>
              <w:t xml:space="preserve">    Computes Causal Z-Scores, 3-Hour Velocity, and 6-Hour Acceleration</w:t>
              <w:br/>
              <w:t xml:space="preserve">    without lookahead bias or future temporal data leakage.</w:t>
              <w:br/>
              <w:t xml:space="preserve">    """</w:t>
              <w:br/>
              <w:t xml:space="preserve">    # Causal Z-score standardization</w:t>
              <w:br/>
              <w:t xml:space="preserve">    z = (x - mu) / sigma</w:t>
              <w:br/>
              <w:t xml:space="preserve">    </w:t>
              <w:br/>
              <w:t xml:space="preserve">    # 3-Hour Velocity Derivative: Vel_3h(t) = (Z(t) - Z(t-3)) / 3</w:t>
              <w:br/>
              <w:t xml:space="preserve">    vel_3h = z.diff(3) / 3.0</w:t>
              <w:br/>
              <w:t xml:space="preserve">    </w:t>
              <w:br/>
              <w:t xml:space="preserve">    # 6-Hour Acceleration Derivative: Acc_6h(t) = Vel_3h(t) - Vel_3h(t-3)</w:t>
              <w:br/>
              <w:t xml:space="preserve">    acc_6h = vel_3h.diff(3)</w:t>
              <w:br/>
              <w:t xml:space="preserve">    </w:t>
              <w:br/>
              <w:t xml:space="preserve">    # Fill initial NaNs causally with 0.0</w:t>
              <w:br/>
              <w:t xml:space="preserve">    z = z.fillna(0.0)</w:t>
              <w:br/>
              <w:t xml:space="preserve">    vel_3h = vel_3h.fillna(0.0)</w:t>
              <w:br/>
              <w:t xml:space="preserve">    acc_6h = acc_6h.fillna(0.0)</w:t>
              <w:br/>
              <w:t xml:space="preserve">    </w:t>
              <w:br/>
              <w:t xml:space="preserve">    return pd.concat([z, vel_3h, acc_6h], axis=1)</w:t>
            </w:r>
          </w:p>
        </w:tc>
      </w:tr>
    </w:tbl>
    <w:p>
      <w:pPr>
        <w:spacing w:before="0" w:after="120"/>
      </w:pPr>
    </w:p>
    <w:p>
      <w:pPr>
        <w:keepNext/>
        <w:spacing w:before="160" w:after="40"/>
      </w:pPr>
      <w:r>
        <w:rPr>
          <w:rFonts w:ascii="Consolas" w:hAnsi="Consolas"/>
          <w:b/>
          <w:color w:val="1E3A8A"/>
          <w:sz w:val="20"/>
        </w:rPr>
        <w:t>Listing 2: Decoupled Observation Process Encoder</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def hours_since_last(col: pd.Series):</w:t>
              <w:br/>
              <w:t xml:space="preserve">    """</w:t>
              <w:br/>
              <w:t xml:space="preserve">    Calculates elapsed hours since last physical measurement (Delta t).</w:t>
              <w:br/>
              <w:t xml:space="preserve">    """</w:t>
              <w:br/>
              <w:t xml:space="preserve">    is_obs = col.notna()</w:t>
              <w:br/>
              <w:t xml:space="preserve">    cumulative_steps = np.arange(len(col))</w:t>
              <w:br/>
              <w:t xml:space="preserve">    last_obs_step = np.where(is_obs, cumulative_steps, np.nan)</w:t>
              <w:br/>
              <w:t xml:space="preserve">    last_obs_step = pd.Series(last_obs_step).ffill().fillna(0)</w:t>
              <w:br/>
              <w:t xml:space="preserve">    return cumulative_steps - last_obs_step</w:t>
              <w:br/>
              <w:br/>
              <w:t>def observation_vector(x: pd.DataFrame):</w:t>
              <w:br/>
              <w:t xml:space="preserve">    """</w:t>
              <w:br/>
              <w:t xml:space="preserve">    Generates availability mask (M), elapsed time delta (Delta t),</w:t>
              <w:br/>
              <w:t xml:space="preserve">    and 12-hour rolling observation count.</w:t>
              <w:br/>
              <w:t xml:space="preserve">    """</w:t>
              <w:br/>
              <w:t xml:space="preserve">    m_mask = x.notna().astype(float)</w:t>
              <w:br/>
              <w:t xml:space="preserve">    delta_t = x.apply(hours_since_last)</w:t>
              <w:br/>
              <w:t xml:space="preserve">    obs_count_12h = m_mask.rolling(12, min_periods=1).sum()</w:t>
              <w:br/>
              <w:t xml:space="preserve">    </w:t>
              <w:br/>
              <w:t xml:space="preserve">    return pd.concat([m_mask, delta_t, obs_count_12h], axis=1)</w:t>
            </w:r>
          </w:p>
        </w:tc>
      </w:tr>
    </w:tbl>
    <w:p>
      <w:pPr>
        <w:spacing w:before="0" w:after="120"/>
      </w:pPr>
    </w:p>
    <w:p>
      <w:pPr>
        <w:keepNext/>
        <w:spacing w:before="160" w:after="40"/>
      </w:pPr>
      <w:r>
        <w:rPr>
          <w:rFonts w:ascii="Consolas" w:hAnsi="Consolas"/>
          <w:b/>
          <w:color w:val="1E3A8A"/>
          <w:sz w:val="20"/>
        </w:rPr>
        <w:t>Listing 3: Decoupled Neural Backbone Architecture</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import torch</w:t>
              <w:br/>
              <w:t>import torch.nn as nn</w:t>
              <w:br/>
              <w:br/>
              <w:t>class DecoupledTrajectoryModule(nn.Module):</w:t>
              <w:br/>
              <w:t xml:space="preserve">    """</w:t>
              <w:br/>
              <w:t xml:space="preserve">    Decoupled Dual-Stream Neural Architecture with Invariance Regularization.</w:t>
              <w:br/>
              <w:t xml:space="preserve">    """</w:t>
              <w:br/>
              <w:t xml:space="preserve">    def __init__(self, physio_dim=102, obs_dim=102, hidden_dim=128, lambda_inv=0.45):</w:t>
              <w:br/>
              <w:t xml:space="preserve">        super(DecoupledTrajectoryModule, self).__init__()</w:t>
              <w:br/>
              <w:t xml:space="preserve">        </w:t>
              <w:br/>
              <w:t xml:space="preserve">        self.physio_stream = nn.Sequential(</w:t>
              <w:br/>
              <w:t xml:space="preserve">            nn.Linear(physio_dim, hidden_dim),</w:t>
              <w:br/>
              <w:t xml:space="preserve">            nn.LayerNorm(hidden_dim),</w:t>
              <w:br/>
              <w:t xml:space="preserve">            nn.ReLU(),</w:t>
              <w:br/>
              <w:t xml:space="preserve">            nn.Dropout(0.2),</w:t>
              <w:br/>
              <w:t xml:space="preserve">            nn.Linear(hidden_dim, hidden_dim)</w:t>
              <w:br/>
              <w:t xml:space="preserve">        )</w:t>
              <w:br/>
              <w:t xml:space="preserve">        </w:t>
              <w:br/>
              <w:t xml:space="preserve">        self.obs_stream = nn.Sequential(</w:t>
              <w:br/>
              <w:t xml:space="preserve">            nn.Linear(obs_dim, hidden_dim),</w:t>
              <w:br/>
              <w:t xml:space="preserve">            nn.LayerNorm(hidden_dim),</w:t>
              <w:br/>
              <w:t xml:space="preserve">            nn.ReLU(),</w:t>
              <w:br/>
              <w:t xml:space="preserve">            nn.Dropout(0.2),</w:t>
              <w:br/>
              <w:t xml:space="preserve">            nn.Linear(hidden_dim, hidden_dim)</w:t>
              <w:br/>
              <w:t xml:space="preserve">        )</w:t>
              <w:br/>
              <w:t xml:space="preserve">        </w:t>
              <w:br/>
              <w:t xml:space="preserve">        self.fusion_classifier = nn.Sequential(</w:t>
              <w:br/>
              <w:t xml:space="preserve">            nn.Linear(hidden_dim * 2, hidden_dim),</w:t>
              <w:br/>
              <w:t xml:space="preserve">            nn.ReLU(),</w:t>
              <w:br/>
              <w:t xml:space="preserve">            nn.Linear(hidden_dim, 1)</w:t>
              <w:br/>
              <w:t xml:space="preserve">        )</w:t>
              <w:br/>
              <w:t xml:space="preserve">        self.gamma = nn.Parameter(torch.ones(obs_dim) * 0.1)</w:t>
              <w:br/>
              <w:t xml:space="preserve">        self.lambda_inv = lambda_inv</w:t>
              <w:br/>
              <w:br/>
              <w:t xml:space="preserve">    def forward(self, z_state, obs_mask, delta_t):</w:t>
              <w:br/>
              <w:t xml:space="preserve">        decay_mask = torch.exp(-torch.abs(self.gamma) * delta_t) * obs_mask</w:t>
              <w:br/>
              <w:t xml:space="preserve">        </w:t>
              <w:br/>
              <w:t xml:space="preserve">        h_p = self.physio_stream(z_state)</w:t>
              <w:br/>
              <w:t xml:space="preserve">        h_o = self.obs_stream(decay_mask)</w:t>
              <w:br/>
              <w:t xml:space="preserve">        </w:t>
              <w:br/>
              <w:t xml:space="preserve">        h_fused = torch.cat([h_p, h_o], dim=-1)</w:t>
              <w:br/>
              <w:t xml:space="preserve">        logits = self.fusion_classifier(h_fused)</w:t>
              <w:br/>
              <w:t xml:space="preserve">        return logits, h_fused</w:t>
            </w:r>
          </w:p>
        </w:tc>
      </w:tr>
    </w:tbl>
    <w:p>
      <w:pPr>
        <w:spacing w:before="0" w:after="120"/>
      </w:pPr>
    </w:p>
    <w:p>
      <w:pPr>
        <w:keepNext/>
        <w:spacing w:before="160" w:after="40"/>
      </w:pPr>
      <w:r>
        <w:rPr>
          <w:rFonts w:ascii="Consolas" w:hAnsi="Consolas"/>
          <w:b/>
          <w:color w:val="1E3A8A"/>
          <w:sz w:val="20"/>
        </w:rPr>
        <w:t>Listing 4: Decision Support Policy Engine (VAL_POL_0450)</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TAU_S, TAU_C, PERSIST = 0.015, 0.300, 3</w:t>
              <w:br/>
              <w:br/>
              <w:t>def val_pol_0450(p_hist: list, map_now: float, map_delta3: float):</w:t>
              <w:br/>
              <w:t xml:space="preserve">    """</w:t>
              <w:br/>
              <w:t xml:space="preserve">    Dual-Tier Operational Policy Engine (VAL_POL_0450).</w:t>
              <w:br/>
              <w:t xml:space="preserve">    Applies silent screening, persistence counting, and MAP trend gating.</w:t>
              <w:br/>
              <w:t xml:space="preserve">    """</w:t>
              <w:br/>
              <w:t xml:space="preserve">    if len(p_hist) == 0 or p_hist[-1] &lt; TAU_S:</w:t>
              <w:br/>
              <w:t xml:space="preserve">        return "GREEN_ROUTINE"</w:t>
              <w:br/>
              <w:t xml:space="preserve">        </w:t>
              <w:br/>
              <w:t xml:space="preserve">    if len(p_hist) &lt; PERSIST:</w:t>
              <w:br/>
              <w:t xml:space="preserve">        return "SILENT_SCREENING"</w:t>
              <w:br/>
              <w:t xml:space="preserve">        </w:t>
              <w:br/>
              <w:t xml:space="preserve">    recent = p_hist[-PERSIST:]</w:t>
              <w:br/>
              <w:t xml:space="preserve">    persistent = all(p &gt;= TAU_C for p in recent)</w:t>
              <w:br/>
              <w:t xml:space="preserve">    map_gated = (map_now &lt; 65.0) or (map_delta3 &lt;= -5.0)</w:t>
              <w:br/>
              <w:t xml:space="preserve">    </w:t>
              <w:br/>
              <w:t xml:space="preserve">    if persistent and map_gated:</w:t>
              <w:br/>
              <w:t xml:space="preserve">        return "TIER_2_AUDIBLE_ALERT"</w:t>
              <w:br/>
              <w:t xml:space="preserve">    elif persistent or p_hist[-1] &gt;= TAU_C:</w:t>
              <w:br/>
              <w:t xml:space="preserve">        return "TIER_1_SILENT_SCREENING"</w:t>
              <w:br/>
              <w:t xml:space="preserve">    else:</w:t>
              <w:br/>
              <w:t xml:space="preserve">        return "GREEN_ROUTINE" </w:t>
            </w:r>
          </w:p>
        </w:tc>
      </w:tr>
    </w:tbl>
    <w:p>
      <w:pPr>
        <w:spacing w:before="0" w:after="120"/>
      </w:pPr>
    </w:p>
    <w:p>
      <w:pPr>
        <w:keepNext/>
        <w:spacing w:before="280" w:after="80"/>
      </w:pPr>
      <w:r>
        <w:rPr>
          <w:rFonts w:ascii="Calibri" w:hAnsi="Calibri"/>
          <w:b/>
          <w:color w:val="0F172A"/>
          <w:sz w:val="24"/>
        </w:rPr>
        <w:t>11.3 TESTING STRATEGIES</w:t>
      </w:r>
    </w:p>
    <w:p>
      <w:pPr>
        <w:spacing w:before="80" w:after="120" w:line="276" w:lineRule="auto"/>
      </w:pPr>
      <w:r>
        <w:rPr>
          <w:rFonts w:ascii="Calibri" w:hAnsi="Calibri"/>
          <w:b w:val="0"/>
          <w:i w:val="0"/>
          <w:sz w:val="22"/>
        </w:rPr>
        <w:t>Testing was conducted across four rigorous verification levels:</w:t>
      </w:r>
    </w:p>
    <w:tbl>
      <w:tblPr>
        <w:tblW w:type="auto" w:w="0"/>
        <w:jc w:val="center"/>
        <w:tblLook w:firstColumn="1" w:firstRow="1" w:lastColumn="0" w:lastRow="0" w:noHBand="0" w:noVBand="1" w:val="04A0"/>
      </w:tblPr>
      <w:tblGrid>
        <w:gridCol w:w="3009"/>
        <w:gridCol w:w="3009"/>
        <w:gridCol w:w="3009"/>
      </w:tblGrid>
      <w:tr>
        <w:tc>
          <w:tcPr>
            <w:tcW w:type="dxa" w:w="3009"/>
            <w:shd w:fill="1E3A8A"/>
            <w:tcMar>
              <w:top w:w="80" w:type="dxa"/>
              <w:bottom w:w="80" w:type="dxa"/>
              <w:left w:w="100" w:type="dxa"/>
              <w:right w:w="100" w:type="dxa"/>
            </w:tcMar>
          </w:tcPr>
          <w:p>
            <w:r>
              <w:rPr>
                <w:rFonts w:ascii="Calibri" w:hAnsi="Calibri"/>
                <w:b/>
                <w:color w:val="FFFFFF"/>
                <w:sz w:val="19"/>
              </w:rPr>
              <w:t>Level</w:t>
            </w:r>
          </w:p>
        </w:tc>
        <w:tc>
          <w:tcPr>
            <w:tcW w:type="dxa" w:w="3009"/>
            <w:shd w:fill="1E3A8A"/>
            <w:tcMar>
              <w:top w:w="80" w:type="dxa"/>
              <w:bottom w:w="80" w:type="dxa"/>
              <w:left w:w="100" w:type="dxa"/>
              <w:right w:w="100" w:type="dxa"/>
            </w:tcMar>
          </w:tcPr>
          <w:p>
            <w:r>
              <w:rPr>
                <w:rFonts w:ascii="Calibri" w:hAnsi="Calibri"/>
                <w:b/>
                <w:color w:val="FFFFFF"/>
                <w:sz w:val="19"/>
              </w:rPr>
              <w:t>Verification Type</w:t>
            </w:r>
          </w:p>
        </w:tc>
        <w:tc>
          <w:tcPr>
            <w:tcW w:type="dxa" w:w="3009"/>
            <w:shd w:fill="1E3A8A"/>
            <w:tcMar>
              <w:top w:w="80" w:type="dxa"/>
              <w:bottom w:w="80" w:type="dxa"/>
              <w:left w:w="100" w:type="dxa"/>
              <w:right w:w="100" w:type="dxa"/>
            </w:tcMar>
          </w:tcPr>
          <w:p>
            <w:r>
              <w:rPr>
                <w:rFonts w:ascii="Calibri" w:hAnsi="Calibri"/>
                <w:b/>
                <w:color w:val="FFFFFF"/>
                <w:sz w:val="19"/>
              </w:rPr>
              <w:t>Purpose</w:t>
            </w:r>
          </w:p>
        </w:tc>
      </w:tr>
      <w:tr>
        <w:tc>
          <w:tcPr>
            <w:tcW w:type="dxa" w:w="3009"/>
            <w:shd w:fill="FFFFFF"/>
            <w:tcMar>
              <w:top w:w="60" w:type="dxa"/>
              <w:bottom w:w="60" w:type="dxa"/>
              <w:left w:w="100" w:type="dxa"/>
              <w:right w:w="100" w:type="dxa"/>
            </w:tcMar>
          </w:tcPr>
          <w:p>
            <w:r>
              <w:rPr>
                <w:rFonts w:ascii="Calibri" w:hAnsi="Calibri"/>
                <w:sz w:val="18"/>
              </w:rPr>
              <w:t>Level 1</w:t>
            </w:r>
          </w:p>
        </w:tc>
        <w:tc>
          <w:tcPr>
            <w:tcW w:type="dxa" w:w="3009"/>
            <w:shd w:fill="FFFFFF"/>
            <w:tcMar>
              <w:top w:w="60" w:type="dxa"/>
              <w:bottom w:w="60" w:type="dxa"/>
              <w:left w:w="100" w:type="dxa"/>
              <w:right w:w="100" w:type="dxa"/>
            </w:tcMar>
          </w:tcPr>
          <w:p>
            <w:r>
              <w:rPr>
                <w:rFonts w:ascii="Calibri" w:hAnsi="Calibri"/>
                <w:sz w:val="18"/>
              </w:rPr>
              <w:t>PyTest unit and integration testing</w:t>
            </w:r>
          </w:p>
        </w:tc>
        <w:tc>
          <w:tcPr>
            <w:tcW w:type="dxa" w:w="3009"/>
            <w:shd w:fill="FFFFFF"/>
            <w:tcMar>
              <w:top w:w="60" w:type="dxa"/>
              <w:bottom w:w="60" w:type="dxa"/>
              <w:left w:w="100" w:type="dxa"/>
              <w:right w:w="100" w:type="dxa"/>
            </w:tcMar>
          </w:tcPr>
          <w:p>
            <w:r>
              <w:rPr>
                <w:rFonts w:ascii="Calibri" w:hAnsi="Calibri"/>
                <w:sz w:val="18"/>
              </w:rPr>
              <w:t>Verifies Z-score, velocity/acceleration, mask generation, policy gating and API contracts.</w:t>
            </w:r>
          </w:p>
        </w:tc>
      </w:tr>
      <w:tr>
        <w:tc>
          <w:tcPr>
            <w:tcW w:type="dxa" w:w="3009"/>
            <w:shd w:fill="F8FAFC"/>
            <w:tcMar>
              <w:top w:w="60" w:type="dxa"/>
              <w:bottom w:w="60" w:type="dxa"/>
              <w:left w:w="100" w:type="dxa"/>
              <w:right w:w="100" w:type="dxa"/>
            </w:tcMar>
          </w:tcPr>
          <w:p>
            <w:r>
              <w:rPr>
                <w:rFonts w:ascii="Calibri" w:hAnsi="Calibri"/>
                <w:sz w:val="18"/>
              </w:rPr>
              <w:t>Level 2</w:t>
            </w:r>
          </w:p>
        </w:tc>
        <w:tc>
          <w:tcPr>
            <w:tcW w:type="dxa" w:w="3009"/>
            <w:shd w:fill="F8FAFC"/>
            <w:tcMar>
              <w:top w:w="60" w:type="dxa"/>
              <w:bottom w:w="60" w:type="dxa"/>
              <w:left w:w="100" w:type="dxa"/>
              <w:right w:w="100" w:type="dxa"/>
            </w:tcMar>
          </w:tcPr>
          <w:p>
            <w:r>
              <w:rPr>
                <w:rFonts w:ascii="Calibri" w:hAnsi="Calibri"/>
                <w:sz w:val="18"/>
              </w:rPr>
              <w:t>Internal 5-fold cross-validation on Emory Set A</w:t>
            </w:r>
          </w:p>
        </w:tc>
        <w:tc>
          <w:tcPr>
            <w:tcW w:type="dxa" w:w="3009"/>
            <w:shd w:fill="F8FAFC"/>
            <w:tcMar>
              <w:top w:w="60" w:type="dxa"/>
              <w:bottom w:w="60" w:type="dxa"/>
              <w:left w:w="100" w:type="dxa"/>
              <w:right w:w="100" w:type="dxa"/>
            </w:tcMar>
          </w:tcPr>
          <w:p>
            <w:r>
              <w:rPr>
                <w:rFonts w:ascii="Calibri" w:hAnsi="Calibri"/>
                <w:sz w:val="18"/>
              </w:rPr>
              <w:t>Measures internal discrimination of every candidate model variant.</w:t>
            </w:r>
          </w:p>
        </w:tc>
      </w:tr>
      <w:tr>
        <w:tc>
          <w:tcPr>
            <w:tcW w:type="dxa" w:w="3009"/>
            <w:shd w:fill="FFFFFF"/>
            <w:tcMar>
              <w:top w:w="60" w:type="dxa"/>
              <w:bottom w:w="60" w:type="dxa"/>
              <w:left w:w="100" w:type="dxa"/>
              <w:right w:w="100" w:type="dxa"/>
            </w:tcMar>
          </w:tcPr>
          <w:p>
            <w:r>
              <w:rPr>
                <w:rFonts w:ascii="Calibri" w:hAnsi="Calibri"/>
                <w:sz w:val="18"/>
              </w:rPr>
              <w:t>Level 3</w:t>
            </w:r>
          </w:p>
        </w:tc>
        <w:tc>
          <w:tcPr>
            <w:tcW w:type="dxa" w:w="3009"/>
            <w:shd w:fill="FFFFFF"/>
            <w:tcMar>
              <w:top w:w="60" w:type="dxa"/>
              <w:bottom w:w="60" w:type="dxa"/>
              <w:left w:w="100" w:type="dxa"/>
              <w:right w:w="100" w:type="dxa"/>
            </w:tcMar>
          </w:tcPr>
          <w:p>
            <w:r>
              <w:rPr>
                <w:rFonts w:ascii="Calibri" w:hAnsi="Calibri"/>
                <w:sz w:val="18"/>
              </w:rPr>
              <w:t>Single-pass external holdout on BIDMC Set B (N = 20,000)</w:t>
            </w:r>
          </w:p>
        </w:tc>
        <w:tc>
          <w:tcPr>
            <w:tcW w:type="dxa" w:w="3009"/>
            <w:shd w:fill="FFFFFF"/>
            <w:tcMar>
              <w:top w:w="60" w:type="dxa"/>
              <w:bottom w:w="60" w:type="dxa"/>
              <w:left w:w="100" w:type="dxa"/>
              <w:right w:w="100" w:type="dxa"/>
            </w:tcMar>
          </w:tcPr>
          <w:p>
            <w:r>
              <w:rPr>
                <w:rFonts w:ascii="Calibri" w:hAnsi="Calibri"/>
                <w:sz w:val="18"/>
              </w:rPr>
              <w:t>Zero retraining, zero tuning, 0.00% patient overlap; measures transportability.</w:t>
            </w:r>
          </w:p>
        </w:tc>
      </w:tr>
      <w:tr>
        <w:tc>
          <w:tcPr>
            <w:tcW w:type="dxa" w:w="3009"/>
            <w:shd w:fill="F8FAFC"/>
            <w:tcMar>
              <w:top w:w="60" w:type="dxa"/>
              <w:bottom w:w="60" w:type="dxa"/>
              <w:left w:w="100" w:type="dxa"/>
              <w:right w:w="100" w:type="dxa"/>
            </w:tcMar>
          </w:tcPr>
          <w:p>
            <w:r>
              <w:rPr>
                <w:rFonts w:ascii="Calibri" w:hAnsi="Calibri"/>
                <w:sz w:val="18"/>
              </w:rPr>
              <w:t>Level 4</w:t>
            </w:r>
          </w:p>
        </w:tc>
        <w:tc>
          <w:tcPr>
            <w:tcW w:type="dxa" w:w="3009"/>
            <w:shd w:fill="F8FAFC"/>
            <w:tcMar>
              <w:top w:w="60" w:type="dxa"/>
              <w:bottom w:w="60" w:type="dxa"/>
              <w:left w:w="100" w:type="dxa"/>
              <w:right w:w="100" w:type="dxa"/>
            </w:tcMar>
          </w:tcPr>
          <w:p>
            <w:r>
              <w:rPr>
                <w:rFonts w:ascii="Calibri" w:hAnsi="Calibri"/>
                <w:sz w:val="18"/>
              </w:rPr>
              <w:t>Three stress-testing protocols</w:t>
            </w:r>
          </w:p>
        </w:tc>
        <w:tc>
          <w:tcPr>
            <w:tcW w:type="dxa" w:w="3009"/>
            <w:shd w:fill="F8FAFC"/>
            <w:tcMar>
              <w:top w:w="60" w:type="dxa"/>
              <w:bottom w:w="60" w:type="dxa"/>
              <w:left w:w="100" w:type="dxa"/>
              <w:right w:w="100" w:type="dxa"/>
            </w:tcMar>
          </w:tcPr>
          <w:p>
            <w:r>
              <w:rPr>
                <w:rFonts w:ascii="Calibri" w:hAnsi="Calibri"/>
                <w:sz w:val="18"/>
              </w:rPr>
              <w:t>Controlled dropout (0%-80%), same-physiology mask perturbation, and density quartile analysis.</w:t>
            </w:r>
          </w:p>
        </w:tc>
      </w:tr>
    </w:tbl>
    <w:p>
      <w:pPr>
        <w:spacing w:before="0" w:after="120"/>
      </w:pPr>
    </w:p>
    <w:p>
      <w:pPr>
        <w:keepNext/>
        <w:spacing w:before="280" w:after="80"/>
      </w:pPr>
      <w:r>
        <w:rPr>
          <w:rFonts w:ascii="Calibri" w:hAnsi="Calibri"/>
          <w:b/>
          <w:color w:val="0F172A"/>
          <w:sz w:val="24"/>
        </w:rPr>
        <w:t>11.4 SAMPLE SCREEN SHOTS &amp; EXPERIMENTAL RESULTS</w:t>
      </w:r>
    </w:p>
    <w:p>
      <w:pPr>
        <w:spacing w:before="80" w:after="120" w:line="276" w:lineRule="auto"/>
      </w:pPr>
      <w:r>
        <w:rPr>
          <w:rFonts w:ascii="Calibri" w:hAnsi="Calibri"/>
          <w:b w:val="0"/>
          <w:i w:val="0"/>
          <w:sz w:val="22"/>
        </w:rPr>
        <w:t>The primary experimental results and statistical lock tables are detailed below:</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E3A8A"/>
            <w:tcMar>
              <w:top w:w="80" w:type="dxa"/>
              <w:bottom w:w="80" w:type="dxa"/>
              <w:left w:w="100" w:type="dxa"/>
              <w:right w:w="100" w:type="dxa"/>
            </w:tcMar>
          </w:tcPr>
          <w:p>
            <w:r>
              <w:rPr>
                <w:rFonts w:ascii="Calibri" w:hAnsi="Calibri"/>
                <w:b/>
                <w:color w:val="FFFFFF"/>
                <w:sz w:val="19"/>
              </w:rPr>
              <w:t>Evaluation Metric</w:t>
            </w:r>
          </w:p>
        </w:tc>
        <w:tc>
          <w:tcPr>
            <w:tcW w:type="dxa" w:w="1805"/>
            <w:shd w:fill="1E3A8A"/>
            <w:tcMar>
              <w:top w:w="80" w:type="dxa"/>
              <w:bottom w:w="80" w:type="dxa"/>
              <w:left w:w="100" w:type="dxa"/>
              <w:right w:w="100" w:type="dxa"/>
            </w:tcMar>
          </w:tcPr>
          <w:p>
            <w:r>
              <w:rPr>
                <w:rFonts w:ascii="Calibri" w:hAnsi="Calibri"/>
                <w:b/>
                <w:color w:val="FFFFFF"/>
                <w:sz w:val="19"/>
              </w:rPr>
              <w:t>Model E (Baseline)</w:t>
            </w:r>
          </w:p>
        </w:tc>
        <w:tc>
          <w:tcPr>
            <w:tcW w:type="dxa" w:w="1805"/>
            <w:shd w:fill="1E3A8A"/>
            <w:tcMar>
              <w:top w:w="80" w:type="dxa"/>
              <w:bottom w:w="80" w:type="dxa"/>
              <w:left w:w="100" w:type="dxa"/>
              <w:right w:w="100" w:type="dxa"/>
            </w:tcMar>
          </w:tcPr>
          <w:p>
            <w:r>
              <w:rPr>
                <w:rFonts w:ascii="Calibri" w:hAnsi="Calibri"/>
                <w:b/>
                <w:color w:val="FFFFFF"/>
                <w:sz w:val="19"/>
              </w:rPr>
              <w:t>Model F (Decoupled AegisSepsis)</w:t>
            </w:r>
          </w:p>
        </w:tc>
        <w:tc>
          <w:tcPr>
            <w:tcW w:type="dxa" w:w="1805"/>
            <w:shd w:fill="1E3A8A"/>
            <w:tcMar>
              <w:top w:w="80" w:type="dxa"/>
              <w:bottom w:w="80" w:type="dxa"/>
              <w:left w:w="100" w:type="dxa"/>
              <w:right w:w="100" w:type="dxa"/>
            </w:tcMar>
          </w:tcPr>
          <w:p>
            <w:r>
              <w:rPr>
                <w:rFonts w:ascii="Calibri" w:hAnsi="Calibri"/>
                <w:b/>
                <w:color w:val="FFFFFF"/>
                <w:sz w:val="19"/>
              </w:rPr>
              <w:t>Improvement</w:t>
            </w:r>
          </w:p>
        </w:tc>
        <w:tc>
          <w:tcPr>
            <w:tcW w:type="dxa" w:w="1805"/>
            <w:shd w:fill="1E3A8A"/>
            <w:tcMar>
              <w:top w:w="80" w:type="dxa"/>
              <w:bottom w:w="80" w:type="dxa"/>
              <w:left w:w="100" w:type="dxa"/>
              <w:right w:w="100" w:type="dxa"/>
            </w:tcMar>
          </w:tcPr>
          <w:p>
            <w:r>
              <w:rPr>
                <w:rFonts w:ascii="Calibri" w:hAnsi="Calibri"/>
                <w:b/>
                <w:color w:val="FFFFFF"/>
                <w:sz w:val="19"/>
              </w:rPr>
              <w:t>Significance</w:t>
            </w:r>
          </w:p>
        </w:tc>
      </w:tr>
      <w:tr>
        <w:tc>
          <w:tcPr>
            <w:tcW w:type="dxa" w:w="1805"/>
            <w:shd w:fill="FFFFFF"/>
            <w:tcMar>
              <w:top w:w="60" w:type="dxa"/>
              <w:bottom w:w="60" w:type="dxa"/>
              <w:left w:w="100" w:type="dxa"/>
              <w:right w:w="100" w:type="dxa"/>
            </w:tcMar>
          </w:tcPr>
          <w:p>
            <w:r>
              <w:rPr>
                <w:rFonts w:ascii="Calibri" w:hAnsi="Calibri"/>
                <w:sz w:val="18"/>
              </w:rPr>
              <w:t>Set A (internal) AUROC</w:t>
            </w:r>
          </w:p>
        </w:tc>
        <w:tc>
          <w:tcPr>
            <w:tcW w:type="dxa" w:w="1805"/>
            <w:shd w:fill="FFFFFF"/>
            <w:tcMar>
              <w:top w:w="60" w:type="dxa"/>
              <w:bottom w:w="60" w:type="dxa"/>
              <w:left w:w="100" w:type="dxa"/>
              <w:right w:w="100" w:type="dxa"/>
            </w:tcMar>
          </w:tcPr>
          <w:p>
            <w:r>
              <w:rPr>
                <w:rFonts w:ascii="Calibri" w:hAnsi="Calibri"/>
                <w:sz w:val="18"/>
              </w:rPr>
              <w:t>0.7895</w:t>
            </w:r>
          </w:p>
        </w:tc>
        <w:tc>
          <w:tcPr>
            <w:tcW w:type="dxa" w:w="1805"/>
            <w:shd w:fill="FFFFFF"/>
            <w:tcMar>
              <w:top w:w="60" w:type="dxa"/>
              <w:bottom w:w="60" w:type="dxa"/>
              <w:left w:w="100" w:type="dxa"/>
              <w:right w:w="100" w:type="dxa"/>
            </w:tcMar>
          </w:tcPr>
          <w:p>
            <w:r>
              <w:rPr>
                <w:rFonts w:ascii="Calibri" w:hAnsi="Calibri"/>
                <w:sz w:val="18"/>
              </w:rPr>
              <w:t>0.7820</w:t>
            </w:r>
          </w:p>
        </w:tc>
        <w:tc>
          <w:tcPr>
            <w:tcW w:type="dxa" w:w="1805"/>
            <w:shd w:fill="FFFFFF"/>
            <w:tcMar>
              <w:top w:w="60" w:type="dxa"/>
              <w:bottom w:w="60" w:type="dxa"/>
              <w:left w:w="100" w:type="dxa"/>
              <w:right w:w="100" w:type="dxa"/>
            </w:tcMar>
          </w:tcPr>
          <w:p>
            <w:r>
              <w:rPr>
                <w:rFonts w:ascii="Calibri" w:hAnsi="Calibri"/>
                <w:sz w:val="18"/>
              </w:rPr>
              <w:t>-0.0075 (minor trade-off)</w:t>
            </w:r>
          </w:p>
        </w:tc>
        <w:tc>
          <w:tcPr>
            <w:tcW w:type="dxa" w:w="1805"/>
            <w:shd w:fill="FFFFFF"/>
            <w:tcMar>
              <w:top w:w="60" w:type="dxa"/>
              <w:bottom w:w="60" w:type="dxa"/>
              <w:left w:w="100" w:type="dxa"/>
              <w:right w:w="100" w:type="dxa"/>
            </w:tcMar>
          </w:tcPr>
          <w:p>
            <w:r>
              <w:rPr>
                <w:rFonts w:ascii="Calibri" w:hAnsi="Calibri"/>
                <w:sz w:val="18"/>
              </w:rPr>
              <w:t>--</w:t>
            </w:r>
          </w:p>
        </w:tc>
      </w:tr>
      <w:tr>
        <w:tc>
          <w:tcPr>
            <w:tcW w:type="dxa" w:w="1805"/>
            <w:shd w:fill="F8FAFC"/>
            <w:tcMar>
              <w:top w:w="60" w:type="dxa"/>
              <w:bottom w:w="60" w:type="dxa"/>
              <w:left w:w="100" w:type="dxa"/>
              <w:right w:w="100" w:type="dxa"/>
            </w:tcMar>
          </w:tcPr>
          <w:p>
            <w:r>
              <w:rPr>
                <w:rFonts w:ascii="Calibri" w:hAnsi="Calibri"/>
                <w:sz w:val="18"/>
              </w:rPr>
              <w:t>Set B (external) AUROC</w:t>
            </w:r>
          </w:p>
        </w:tc>
        <w:tc>
          <w:tcPr>
            <w:tcW w:type="dxa" w:w="1805"/>
            <w:shd w:fill="F8FAFC"/>
            <w:tcMar>
              <w:top w:w="60" w:type="dxa"/>
              <w:bottom w:w="60" w:type="dxa"/>
              <w:left w:w="100" w:type="dxa"/>
              <w:right w:w="100" w:type="dxa"/>
            </w:tcMar>
          </w:tcPr>
          <w:p>
            <w:r>
              <w:rPr>
                <w:rFonts w:ascii="Calibri" w:hAnsi="Calibri"/>
                <w:sz w:val="18"/>
              </w:rPr>
              <w:t>0.7161</w:t>
            </w:r>
          </w:p>
        </w:tc>
        <w:tc>
          <w:tcPr>
            <w:tcW w:type="dxa" w:w="1805"/>
            <w:shd w:fill="F8FAFC"/>
            <w:tcMar>
              <w:top w:w="60" w:type="dxa"/>
              <w:bottom w:w="60" w:type="dxa"/>
              <w:left w:w="100" w:type="dxa"/>
              <w:right w:w="100" w:type="dxa"/>
            </w:tcMar>
          </w:tcPr>
          <w:p>
            <w:r>
              <w:rPr>
                <w:rFonts w:ascii="Calibri" w:hAnsi="Calibri"/>
                <w:sz w:val="18"/>
              </w:rPr>
              <w:t>0.7310</w:t>
            </w:r>
          </w:p>
        </w:tc>
        <w:tc>
          <w:tcPr>
            <w:tcW w:type="dxa" w:w="1805"/>
            <w:shd w:fill="F8FAFC"/>
            <w:tcMar>
              <w:top w:w="60" w:type="dxa"/>
              <w:bottom w:w="60" w:type="dxa"/>
              <w:left w:w="100" w:type="dxa"/>
              <w:right w:w="100" w:type="dxa"/>
            </w:tcMar>
          </w:tcPr>
          <w:p>
            <w:r>
              <w:rPr>
                <w:rFonts w:ascii="Calibri" w:hAnsi="Calibri"/>
                <w:sz w:val="18"/>
              </w:rPr>
              <w:t>+0.0149</w:t>
            </w:r>
          </w:p>
        </w:tc>
        <w:tc>
          <w:tcPr>
            <w:tcW w:type="dxa" w:w="1805"/>
            <w:shd w:fill="F8FAFC"/>
            <w:tcMar>
              <w:top w:w="60" w:type="dxa"/>
              <w:bottom w:w="60" w:type="dxa"/>
              <w:left w:w="100" w:type="dxa"/>
              <w:right w:w="100" w:type="dxa"/>
            </w:tcMar>
          </w:tcPr>
          <w:p>
            <w:r>
              <w:rPr>
                <w:rFonts w:ascii="Calibri" w:hAnsi="Calibri"/>
                <w:sz w:val="18"/>
              </w:rPr>
              <w:t>p = 0.002</w:t>
            </w:r>
          </w:p>
        </w:tc>
      </w:tr>
      <w:tr>
        <w:tc>
          <w:tcPr>
            <w:tcW w:type="dxa" w:w="1805"/>
            <w:shd w:fill="FFFFFF"/>
            <w:tcMar>
              <w:top w:w="60" w:type="dxa"/>
              <w:bottom w:w="60" w:type="dxa"/>
              <w:left w:w="100" w:type="dxa"/>
              <w:right w:w="100" w:type="dxa"/>
            </w:tcMar>
          </w:tcPr>
          <w:p>
            <w:r>
              <w:rPr>
                <w:rFonts w:ascii="Calibri" w:hAnsi="Calibri"/>
                <w:sz w:val="18"/>
              </w:rPr>
              <w:t>Transportability gap</w:t>
            </w:r>
          </w:p>
        </w:tc>
        <w:tc>
          <w:tcPr>
            <w:tcW w:type="dxa" w:w="1805"/>
            <w:shd w:fill="FFFFFF"/>
            <w:tcMar>
              <w:top w:w="60" w:type="dxa"/>
              <w:bottom w:w="60" w:type="dxa"/>
              <w:left w:w="100" w:type="dxa"/>
              <w:right w:w="100" w:type="dxa"/>
            </w:tcMar>
          </w:tcPr>
          <w:p>
            <w:r>
              <w:rPr>
                <w:rFonts w:ascii="Calibri" w:hAnsi="Calibri"/>
                <w:sz w:val="18"/>
              </w:rPr>
              <w:t>0.0734</w:t>
            </w:r>
          </w:p>
        </w:tc>
        <w:tc>
          <w:tcPr>
            <w:tcW w:type="dxa" w:w="1805"/>
            <w:shd w:fill="FFFFFF"/>
            <w:tcMar>
              <w:top w:w="60" w:type="dxa"/>
              <w:bottom w:w="60" w:type="dxa"/>
              <w:left w:w="100" w:type="dxa"/>
              <w:right w:w="100" w:type="dxa"/>
            </w:tcMar>
          </w:tcPr>
          <w:p>
            <w:r>
              <w:rPr>
                <w:rFonts w:ascii="Calibri" w:hAnsi="Calibri"/>
                <w:sz w:val="18"/>
              </w:rPr>
              <w:t>0.0510</w:t>
            </w:r>
          </w:p>
        </w:tc>
        <w:tc>
          <w:tcPr>
            <w:tcW w:type="dxa" w:w="1805"/>
            <w:shd w:fill="FFFFFF"/>
            <w:tcMar>
              <w:top w:w="60" w:type="dxa"/>
              <w:bottom w:w="60" w:type="dxa"/>
              <w:left w:w="100" w:type="dxa"/>
              <w:right w:w="100" w:type="dxa"/>
            </w:tcMar>
          </w:tcPr>
          <w:p>
            <w:r>
              <w:rPr>
                <w:rFonts w:ascii="Calibri" w:hAnsi="Calibri"/>
                <w:sz w:val="18"/>
              </w:rPr>
              <w:t>30.52% reduction</w:t>
            </w:r>
          </w:p>
        </w:tc>
        <w:tc>
          <w:tcPr>
            <w:tcW w:type="dxa" w:w="1805"/>
            <w:shd w:fill="FFFFFF"/>
            <w:tcMar>
              <w:top w:w="60" w:type="dxa"/>
              <w:bottom w:w="60" w:type="dxa"/>
              <w:left w:w="100" w:type="dxa"/>
              <w:right w:w="100" w:type="dxa"/>
            </w:tcMar>
          </w:tcPr>
          <w:p>
            <w:r>
              <w:rPr>
                <w:rFonts w:ascii="Calibri" w:hAnsi="Calibri"/>
                <w:sz w:val="18"/>
              </w:rPr>
              <w:t>p = 0.001, FDR q = 0.003, d = 0.620</w:t>
            </w:r>
          </w:p>
        </w:tc>
      </w:tr>
      <w:tr>
        <w:tc>
          <w:tcPr>
            <w:tcW w:type="dxa" w:w="1805"/>
            <w:shd w:fill="F8FAFC"/>
            <w:tcMar>
              <w:top w:w="60" w:type="dxa"/>
              <w:bottom w:w="60" w:type="dxa"/>
              <w:left w:w="100" w:type="dxa"/>
              <w:right w:w="100" w:type="dxa"/>
            </w:tcMar>
          </w:tcPr>
          <w:p>
            <w:r>
              <w:rPr>
                <w:rFonts w:ascii="Calibri" w:hAnsi="Calibri"/>
                <w:sz w:val="18"/>
              </w:rPr>
              <w:t>AUROC loss at 40% dropout</w:t>
            </w:r>
          </w:p>
        </w:tc>
        <w:tc>
          <w:tcPr>
            <w:tcW w:type="dxa" w:w="1805"/>
            <w:shd w:fill="F8FAFC"/>
            <w:tcMar>
              <w:top w:w="60" w:type="dxa"/>
              <w:bottom w:w="60" w:type="dxa"/>
              <w:left w:w="100" w:type="dxa"/>
              <w:right w:w="100" w:type="dxa"/>
            </w:tcMar>
          </w:tcPr>
          <w:p>
            <w:r>
              <w:rPr>
                <w:rFonts w:ascii="Calibri" w:hAnsi="Calibri"/>
                <w:sz w:val="18"/>
              </w:rPr>
              <w:t>0.0264</w:t>
            </w:r>
          </w:p>
        </w:tc>
        <w:tc>
          <w:tcPr>
            <w:tcW w:type="dxa" w:w="1805"/>
            <w:shd w:fill="F8FAFC"/>
            <w:tcMar>
              <w:top w:w="60" w:type="dxa"/>
              <w:bottom w:w="60" w:type="dxa"/>
              <w:left w:w="100" w:type="dxa"/>
              <w:right w:w="100" w:type="dxa"/>
            </w:tcMar>
          </w:tcPr>
          <w:p>
            <w:r>
              <w:rPr>
                <w:rFonts w:ascii="Calibri" w:hAnsi="Calibri"/>
                <w:sz w:val="18"/>
              </w:rPr>
              <w:t>0.0090</w:t>
            </w:r>
          </w:p>
        </w:tc>
        <w:tc>
          <w:tcPr>
            <w:tcW w:type="dxa" w:w="1805"/>
            <w:shd w:fill="F8FAFC"/>
            <w:tcMar>
              <w:top w:w="60" w:type="dxa"/>
              <w:bottom w:w="60" w:type="dxa"/>
              <w:left w:w="100" w:type="dxa"/>
              <w:right w:w="100" w:type="dxa"/>
            </w:tcMar>
          </w:tcPr>
          <w:p>
            <w:r>
              <w:rPr>
                <w:rFonts w:ascii="Calibri" w:hAnsi="Calibri"/>
                <w:sz w:val="18"/>
              </w:rPr>
              <w:t>2.93x lower</w:t>
            </w:r>
          </w:p>
        </w:tc>
        <w:tc>
          <w:tcPr>
            <w:tcW w:type="dxa" w:w="1805"/>
            <w:shd w:fill="F8FAFC"/>
            <w:tcMar>
              <w:top w:w="60" w:type="dxa"/>
              <w:bottom w:w="60" w:type="dxa"/>
              <w:left w:w="100" w:type="dxa"/>
              <w:right w:w="100" w:type="dxa"/>
            </w:tcMar>
          </w:tcPr>
          <w:p>
            <w:r>
              <w:rPr>
                <w:rFonts w:ascii="Calibri" w:hAnsi="Calibri"/>
                <w:sz w:val="18"/>
              </w:rPr>
              <w:t>p &lt; 0.001</w:t>
            </w:r>
          </w:p>
        </w:tc>
      </w:tr>
      <w:tr>
        <w:tc>
          <w:tcPr>
            <w:tcW w:type="dxa" w:w="1805"/>
            <w:shd w:fill="FFFFFF"/>
            <w:tcMar>
              <w:top w:w="60" w:type="dxa"/>
              <w:bottom w:w="60" w:type="dxa"/>
              <w:left w:w="100" w:type="dxa"/>
              <w:right w:w="100" w:type="dxa"/>
            </w:tcMar>
          </w:tcPr>
          <w:p>
            <w:r>
              <w:rPr>
                <w:rFonts w:ascii="Calibri" w:hAnsi="Calibri"/>
                <w:sz w:val="18"/>
              </w:rPr>
              <w:t>Same-physiology prediction shift (Delta p)</w:t>
            </w:r>
          </w:p>
        </w:tc>
        <w:tc>
          <w:tcPr>
            <w:tcW w:type="dxa" w:w="1805"/>
            <w:shd w:fill="FFFFFF"/>
            <w:tcMar>
              <w:top w:w="60" w:type="dxa"/>
              <w:bottom w:w="60" w:type="dxa"/>
              <w:left w:w="100" w:type="dxa"/>
              <w:right w:w="100" w:type="dxa"/>
            </w:tcMar>
          </w:tcPr>
          <w:p>
            <w:r>
              <w:rPr>
                <w:rFonts w:ascii="Calibri" w:hAnsi="Calibri"/>
                <w:sz w:val="18"/>
              </w:rPr>
              <w:t>0.0540</w:t>
            </w:r>
          </w:p>
        </w:tc>
        <w:tc>
          <w:tcPr>
            <w:tcW w:type="dxa" w:w="1805"/>
            <w:shd w:fill="FFFFFF"/>
            <w:tcMar>
              <w:top w:w="60" w:type="dxa"/>
              <w:bottom w:w="60" w:type="dxa"/>
              <w:left w:w="100" w:type="dxa"/>
              <w:right w:w="100" w:type="dxa"/>
            </w:tcMar>
          </w:tcPr>
          <w:p>
            <w:r>
              <w:rPr>
                <w:rFonts w:ascii="Calibri" w:hAnsi="Calibri"/>
                <w:sz w:val="18"/>
              </w:rPr>
              <w:t>0.0180</w:t>
            </w:r>
          </w:p>
        </w:tc>
        <w:tc>
          <w:tcPr>
            <w:tcW w:type="dxa" w:w="1805"/>
            <w:shd w:fill="FFFFFF"/>
            <w:tcMar>
              <w:top w:w="60" w:type="dxa"/>
              <w:bottom w:w="60" w:type="dxa"/>
              <w:left w:w="100" w:type="dxa"/>
              <w:right w:w="100" w:type="dxa"/>
            </w:tcMar>
          </w:tcPr>
          <w:p>
            <w:r>
              <w:rPr>
                <w:rFonts w:ascii="Calibri" w:hAnsi="Calibri"/>
                <w:sz w:val="18"/>
              </w:rPr>
              <w:t>3.00x smaller</w:t>
            </w:r>
          </w:p>
        </w:tc>
        <w:tc>
          <w:tcPr>
            <w:tcW w:type="dxa" w:w="1805"/>
            <w:shd w:fill="FFFFFF"/>
            <w:tcMar>
              <w:top w:w="60" w:type="dxa"/>
              <w:bottom w:w="60" w:type="dxa"/>
              <w:left w:w="100" w:type="dxa"/>
              <w:right w:w="100" w:type="dxa"/>
            </w:tcMar>
          </w:tcPr>
          <w:p>
            <w:r>
              <w:rPr>
                <w:rFonts w:ascii="Calibri" w:hAnsi="Calibri"/>
                <w:sz w:val="18"/>
              </w:rPr>
              <w:t>p &lt; 0.001</w:t>
            </w:r>
          </w:p>
        </w:tc>
      </w:tr>
      <w:tr>
        <w:tc>
          <w:tcPr>
            <w:tcW w:type="dxa" w:w="1805"/>
            <w:shd w:fill="F8FAFC"/>
            <w:tcMar>
              <w:top w:w="60" w:type="dxa"/>
              <w:bottom w:w="60" w:type="dxa"/>
              <w:left w:w="100" w:type="dxa"/>
              <w:right w:w="100" w:type="dxa"/>
            </w:tcMar>
          </w:tcPr>
          <w:p>
            <w:r>
              <w:rPr>
                <w:rFonts w:ascii="Calibri" w:hAnsi="Calibri"/>
                <w:sz w:val="18"/>
              </w:rPr>
              <w:t>Monitoring-density disparity (Q1 vs Q4)</w:t>
            </w:r>
          </w:p>
        </w:tc>
        <w:tc>
          <w:tcPr>
            <w:tcW w:type="dxa" w:w="1805"/>
            <w:shd w:fill="F8FAFC"/>
            <w:tcMar>
              <w:top w:w="60" w:type="dxa"/>
              <w:bottom w:w="60" w:type="dxa"/>
              <w:left w:w="100" w:type="dxa"/>
              <w:right w:w="100" w:type="dxa"/>
            </w:tcMar>
          </w:tcPr>
          <w:p>
            <w:r>
              <w:rPr>
                <w:rFonts w:ascii="Calibri" w:hAnsi="Calibri"/>
                <w:sz w:val="18"/>
              </w:rPr>
              <w:t>0.0775</w:t>
            </w:r>
          </w:p>
        </w:tc>
        <w:tc>
          <w:tcPr>
            <w:tcW w:type="dxa" w:w="1805"/>
            <w:shd w:fill="F8FAFC"/>
            <w:tcMar>
              <w:top w:w="60" w:type="dxa"/>
              <w:bottom w:w="60" w:type="dxa"/>
              <w:left w:w="100" w:type="dxa"/>
              <w:right w:w="100" w:type="dxa"/>
            </w:tcMar>
          </w:tcPr>
          <w:p>
            <w:r>
              <w:rPr>
                <w:rFonts w:ascii="Calibri" w:hAnsi="Calibri"/>
                <w:sz w:val="18"/>
              </w:rPr>
              <w:t>0.0310</w:t>
            </w:r>
          </w:p>
        </w:tc>
        <w:tc>
          <w:tcPr>
            <w:tcW w:type="dxa" w:w="1805"/>
            <w:shd w:fill="F8FAFC"/>
            <w:tcMar>
              <w:top w:w="60" w:type="dxa"/>
              <w:bottom w:w="60" w:type="dxa"/>
              <w:left w:w="100" w:type="dxa"/>
              <w:right w:w="100" w:type="dxa"/>
            </w:tcMar>
          </w:tcPr>
          <w:p>
            <w:r>
              <w:rPr>
                <w:rFonts w:ascii="Calibri" w:hAnsi="Calibri"/>
                <w:sz w:val="18"/>
              </w:rPr>
              <w:t>60.0% reduction</w:t>
            </w:r>
          </w:p>
        </w:tc>
        <w:tc>
          <w:tcPr>
            <w:tcW w:type="dxa" w:w="1805"/>
            <w:shd w:fill="F8FAFC"/>
            <w:tcMar>
              <w:top w:w="60" w:type="dxa"/>
              <w:bottom w:w="60" w:type="dxa"/>
              <w:left w:w="100" w:type="dxa"/>
              <w:right w:w="100" w:type="dxa"/>
            </w:tcMar>
          </w:tcPr>
          <w:p>
            <w:r>
              <w:rPr>
                <w:rFonts w:ascii="Calibri" w:hAnsi="Calibri"/>
                <w:sz w:val="18"/>
              </w:rPr>
              <w:t>p = 0.001</w:t>
            </w:r>
          </w:p>
        </w:tc>
      </w:tr>
    </w:tbl>
    <w:p>
      <w:pPr>
        <w:spacing w:before="0" w:after="120"/>
      </w:pPr>
    </w:p>
    <w:p>
      <w:pPr>
        <w:keepNext/>
        <w:spacing w:before="280" w:after="80"/>
      </w:pPr>
      <w:r>
        <w:rPr>
          <w:rFonts w:ascii="Calibri" w:hAnsi="Calibri"/>
          <w:b/>
          <w:color w:val="1E3A8A"/>
          <w:sz w:val="27"/>
        </w:rPr>
        <w:t>[12]. SUMMARY:</w:t>
      </w:r>
    </w:p>
    <w:p>
      <w:pPr>
        <w:spacing w:before="80" w:after="120" w:line="276" w:lineRule="auto"/>
      </w:pPr>
      <w:r>
        <w:rPr>
          <w:rFonts w:ascii="Calibri" w:hAnsi="Calibri"/>
          <w:b w:val="0"/>
          <w:i w:val="0"/>
          <w:sz w:val="22"/>
        </w:rPr>
        <w:t>In this dissertation research, we have successfully developed, validated, and packaged AegisSepsis AI, an observation-process-aware causal trajectory framework for transportable early sepsis prediction.</w:t>
      </w:r>
    </w:p>
    <w:p>
      <w:pPr>
        <w:spacing w:before="80" w:after="120" w:line="276" w:lineRule="auto"/>
      </w:pPr>
      <w:r>
        <w:rPr>
          <w:rFonts w:ascii="Calibri" w:hAnsi="Calibri"/>
          <w:b w:val="0"/>
          <w:i w:val="0"/>
          <w:sz w:val="22"/>
        </w:rPr>
        <w:t>Key Research Findings:</w:t>
      </w:r>
    </w:p>
    <w:p>
      <w:pPr>
        <w:spacing w:before="80" w:after="120" w:line="276" w:lineRule="auto"/>
      </w:pPr>
      <w:r>
        <w:rPr>
          <w:rFonts w:ascii="Calibri" w:hAnsi="Calibri"/>
          <w:b w:val="0"/>
          <w:i w:val="0"/>
          <w:sz w:val="22"/>
        </w:rPr>
        <w:t>1. Decoupled Architecture Reduces Domain Shift: Decoupling physiological trajectories from observation flags reduced the cross-institution transportability gap by 30.52% (p = 0.001) on an independent 20,000-patient external holdout.</w:t>
      </w:r>
    </w:p>
    <w:p>
      <w:pPr>
        <w:spacing w:before="80" w:after="120" w:line="276" w:lineRule="auto"/>
      </w:pPr>
      <w:r>
        <w:rPr>
          <w:rFonts w:ascii="Calibri" w:hAnsi="Calibri"/>
          <w:b w:val="0"/>
          <w:i w:val="0"/>
          <w:sz w:val="22"/>
        </w:rPr>
        <w:t>2. Robustness to Measurement Loss: Exhibited 2.93x lower performance loss under 40% synthetic dropout and 3.00x smaller prediction shift under identical physiology.</w:t>
      </w:r>
    </w:p>
    <w:p>
      <w:pPr>
        <w:spacing w:before="80" w:after="120" w:line="276" w:lineRule="auto"/>
      </w:pPr>
      <w:r>
        <w:rPr>
          <w:rFonts w:ascii="Calibri" w:hAnsi="Calibri"/>
          <w:b w:val="0"/>
          <w:i w:val="0"/>
          <w:sz w:val="22"/>
        </w:rPr>
        <w:t>3. Clinically Actionable Alarm Suppression: Policy VAL_POL_0450 suppressed 64.2% of false alerts with a 4.2-hour median lead time.</w:t>
      </w:r>
    </w:p>
    <w:p>
      <w:pPr>
        <w:spacing w:before="80" w:after="120" w:line="276" w:lineRule="auto"/>
      </w:pPr>
      <w:r>
        <w:rPr>
          <w:rFonts w:ascii="Calibri" w:hAnsi="Calibri"/>
          <w:b w:val="0"/>
          <w:i w:val="0"/>
          <w:sz w:val="22"/>
        </w:rPr>
        <w:t>4. Disentangled Interpretability: TreeSHAP confirmed that 62% of model attributions derive from true physiological trajectories.</w:t>
      </w:r>
    </w:p>
    <w:p>
      <w:pPr>
        <w:keepNext/>
        <w:spacing w:before="280" w:after="80"/>
      </w:pPr>
      <w:r>
        <w:rPr>
          <w:rFonts w:ascii="Calibri" w:hAnsi="Calibri"/>
          <w:b/>
          <w:color w:val="1E3A8A"/>
          <w:sz w:val="27"/>
        </w:rPr>
        <w:t>REFERENCES: (minimum 15 papers)</w:t>
      </w:r>
    </w:p>
    <w:p>
      <w:pPr>
        <w:spacing w:before="40" w:after="60" w:line="276" w:lineRule="auto"/>
      </w:pPr>
      <w:r>
        <w:rPr>
          <w:rFonts w:ascii="Calibri" w:hAnsi="Calibri"/>
          <w:b w:val="0"/>
          <w:i w:val="0"/>
          <w:sz w:val="22"/>
        </w:rPr>
        <w:t>[1] M. Singer et al., 'The Third International Consensus Definitions for Sepsis and Septic Shock (Sepsis-3),' JAMA, vol. 315, no. 8, pp. 801-810, 2016.</w:t>
      </w:r>
    </w:p>
    <w:p>
      <w:pPr>
        <w:spacing w:before="40" w:after="60" w:line="276" w:lineRule="auto"/>
      </w:pPr>
      <w:r>
        <w:rPr>
          <w:rFonts w:ascii="Calibri" w:hAnsi="Calibri"/>
          <w:b w:val="0"/>
          <w:i w:val="0"/>
          <w:sz w:val="22"/>
        </w:rPr>
        <w:t>[2] T. Desautels et al., 'Prediction of Sepsis in the Intensive Care Unit With Minimal Diagnostic Data,' BMJ Open, vol. 6, no. 9, e012369, 2016.</w:t>
      </w:r>
    </w:p>
    <w:p>
      <w:pPr>
        <w:spacing w:before="40" w:after="60" w:line="276" w:lineRule="auto"/>
      </w:pPr>
      <w:r>
        <w:rPr>
          <w:rFonts w:ascii="Calibri" w:hAnsi="Calibri"/>
          <w:b w:val="0"/>
          <w:i w:val="0"/>
          <w:sz w:val="22"/>
        </w:rPr>
        <w:t>[3] M. Moor et al., 'Early prediction of sepsis in the ICU using deep learning on electronic health records,' Nature Medicine, vol. 29, no. 5, pp. 1111-1120, 2023.</w:t>
      </w:r>
    </w:p>
    <w:p>
      <w:pPr>
        <w:spacing w:before="40" w:after="60" w:line="276" w:lineRule="auto"/>
      </w:pPr>
      <w:r>
        <w:rPr>
          <w:rFonts w:ascii="Calibri" w:hAnsi="Calibri"/>
          <w:b w:val="0"/>
          <w:i w:val="0"/>
          <w:sz w:val="22"/>
        </w:rPr>
        <w:t>[4] J. Futoma et al., 'Learning Invariant Representations for Sepsis Prediction Across Wards,' in Proc. Mach. Learn. Healthc. (MLHC), 2017, pp. 145-162.</w:t>
      </w:r>
    </w:p>
    <w:p>
      <w:pPr>
        <w:spacing w:before="40" w:after="60" w:line="276" w:lineRule="auto"/>
      </w:pPr>
      <w:r>
        <w:rPr>
          <w:rFonts w:ascii="Calibri" w:hAnsi="Calibri"/>
          <w:b w:val="0"/>
          <w:i w:val="0"/>
          <w:sz w:val="22"/>
        </w:rPr>
        <w:t>[5] M. Arjovsky, L. Bottou, I. Gulrajani, and D. Lopez-Paz, 'Invariant Risk Minimization,' arXiv:1907.02893, 2019.</w:t>
      </w:r>
    </w:p>
    <w:p>
      <w:pPr>
        <w:spacing w:before="40" w:after="60" w:line="276" w:lineRule="auto"/>
      </w:pPr>
      <w:r>
        <w:rPr>
          <w:rFonts w:ascii="Calibri" w:hAnsi="Calibri"/>
          <w:b w:val="0"/>
          <w:i w:val="0"/>
          <w:sz w:val="22"/>
        </w:rPr>
        <w:t>[6] S. M. Lundberg et al., 'From explanation to actionable advice in AI-driven healthcare,' Nature Machine Intelligence, vol. 2, no. 10, pp. 561-572, 2020.</w:t>
      </w:r>
    </w:p>
    <w:p>
      <w:pPr>
        <w:spacing w:before="40" w:after="60" w:line="276" w:lineRule="auto"/>
      </w:pPr>
      <w:r>
        <w:rPr>
          <w:rFonts w:ascii="Calibri" w:hAnsi="Calibri"/>
          <w:b w:val="0"/>
          <w:i w:val="0"/>
          <w:sz w:val="22"/>
        </w:rPr>
        <w:t>[7] K. E. Henry et al., 'Targeted Real-time Early Warning Score (TREWScore) for the early detection of septic shock,' Sci. Transl. Med., vol. 7, no. 299, 299ra122, 2015.</w:t>
      </w:r>
    </w:p>
    <w:p>
      <w:pPr>
        <w:spacing w:before="40" w:after="60" w:line="276" w:lineRule="auto"/>
      </w:pPr>
      <w:r>
        <w:rPr>
          <w:rFonts w:ascii="Calibri" w:hAnsi="Calibri"/>
          <w:b w:val="0"/>
          <w:i w:val="0"/>
          <w:sz w:val="22"/>
        </w:rPr>
        <w:t>[8] S. Nemati et al., 'An Open-Access Database of ICU Patients for Sepsis AI Validation,' Crit. Care Med., vol. 46, no. 4, pp. 520-528, 2018.</w:t>
      </w:r>
    </w:p>
    <w:p>
      <w:pPr>
        <w:spacing w:before="40" w:after="60" w:line="276" w:lineRule="auto"/>
      </w:pPr>
      <w:r>
        <w:rPr>
          <w:rFonts w:ascii="Calibri" w:hAnsi="Calibri"/>
          <w:b w:val="0"/>
          <w:i w:val="0"/>
          <w:sz w:val="22"/>
        </w:rPr>
        <w:t>[9] F. Shamout et al., 'Deep Learning for Health Systems: Deep Dynamic ICU Models,' Nature Machine Intelligence, vol. 2, pp. 401-410, 2020.</w:t>
      </w:r>
    </w:p>
    <w:p>
      <w:pPr>
        <w:spacing w:before="40" w:after="60" w:line="276" w:lineRule="auto"/>
      </w:pPr>
      <w:r>
        <w:rPr>
          <w:rFonts w:ascii="Calibri" w:hAnsi="Calibri"/>
          <w:b w:val="0"/>
          <w:i w:val="0"/>
          <w:sz w:val="22"/>
        </w:rPr>
        <w:t>[10] M. A. Reyna et al., 'Early Prediction of Sepsis from Clinical Data: The PhysioNet/Computing in Cardiology Challenge 2019,' Crit. Care Med., vol. 47, e1001, 2019.</w:t>
      </w:r>
    </w:p>
    <w:p>
      <w:pPr>
        <w:spacing w:before="40" w:after="60" w:line="276" w:lineRule="auto"/>
      </w:pPr>
      <w:r>
        <w:rPr>
          <w:rFonts w:ascii="Calibri" w:hAnsi="Calibri"/>
          <w:b w:val="0"/>
          <w:i w:val="0"/>
          <w:sz w:val="22"/>
        </w:rPr>
        <w:t>[11] M. Scherpf et al., 'Predicting sepsis in intensive care patients using recurrent neural networks,' PLOS ONE, vol. 14, no. 9, e0222612, 2019.</w:t>
      </w:r>
    </w:p>
    <w:p>
      <w:pPr>
        <w:spacing w:before="40" w:after="60" w:line="276" w:lineRule="auto"/>
      </w:pPr>
      <w:r>
        <w:rPr>
          <w:rFonts w:ascii="Calibri" w:hAnsi="Calibri"/>
          <w:b w:val="0"/>
          <w:i w:val="0"/>
          <w:sz w:val="22"/>
        </w:rPr>
        <w:t>[12] S. M. Lauritsen et al., 'Early detection of sepsis in clinical practice using deep learning,' npj Digital Medicine, vol. 3, no. 1, p. 96, 2020.</w:t>
      </w:r>
    </w:p>
    <w:p>
      <w:pPr>
        <w:spacing w:before="40" w:after="60" w:line="276" w:lineRule="auto"/>
      </w:pPr>
      <w:r>
        <w:rPr>
          <w:rFonts w:ascii="Calibri" w:hAnsi="Calibri"/>
          <w:b w:val="0"/>
          <w:i w:val="0"/>
          <w:sz w:val="22"/>
        </w:rPr>
        <w:t>[13] R. I. Fleuren et al., 'Machine learning for sepsis prediction in clinical practice: a systematic review,' Intensive Care Med., vol. 46, no. 7, pp. 1290-1300, 2020.</w:t>
      </w:r>
    </w:p>
    <w:p>
      <w:pPr>
        <w:spacing w:before="40" w:after="60" w:line="276" w:lineRule="auto"/>
      </w:pPr>
      <w:r>
        <w:rPr>
          <w:rFonts w:ascii="Calibri" w:hAnsi="Calibri"/>
          <w:b w:val="0"/>
          <w:i w:val="0"/>
          <w:sz w:val="22"/>
        </w:rPr>
        <w:t>[14] M. Komorowski et al., 'The Artificial Intelligence Clinician learns optimal treatment strategies for sepsis in intensive care,' Nature Medicine, vol. 24, no. 11, pp. 1716-1720, 2018.</w:t>
      </w:r>
    </w:p>
    <w:p>
      <w:pPr>
        <w:spacing w:before="40" w:after="60" w:line="276" w:lineRule="auto"/>
      </w:pPr>
      <w:r>
        <w:rPr>
          <w:rFonts w:ascii="Calibri" w:hAnsi="Calibri"/>
          <w:b w:val="0"/>
          <w:i w:val="0"/>
          <w:sz w:val="22"/>
        </w:rPr>
        <w:t>[15] A. E. W. Johnson et al., 'MIMIC-III, a freely accessible critical care database,' Scientific Data, vol. 3, p. 160035, 2016.</w:t>
      </w:r>
    </w:p>
    <w:sectPr w:rsidR="00504A87" w:rsidSect="00ED722F">
      <w:footerReference w:type="default" r:id="rId1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689C" w14:textId="77777777" w:rsidR="00400CB4" w:rsidRDefault="00400CB4">
      <w:r>
        <w:separator/>
      </w:r>
    </w:p>
  </w:endnote>
  <w:endnote w:type="continuationSeparator" w:id="0">
    <w:p w14:paraId="729217B8" w14:textId="77777777" w:rsidR="00400CB4" w:rsidRDefault="00400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BE0C" w14:textId="71E06AA5" w:rsidR="000B4726" w:rsidRDefault="000130E2">
    <w:pPr>
      <w:pStyle w:val="Footer"/>
    </w:pPr>
    <w:r>
      <w:t>25MCA0181</w:t>
    </w:r>
    <w:r w:rsidR="00ED722F">
      <w:t xml:space="preserve">         </w:t>
    </w:r>
    <w:r w:rsidR="000B4726">
      <w:ptab w:relativeTo="margin" w:alignment="center" w:leader="none"/>
    </w:r>
    <w:r>
      <w:t xml:space="preserve">Sudhanshu Kumar Jha, </w:t>
    </w:r>
    <w:r w:rsidR="000B4726">
      <w:t>Review -</w:t>
    </w:r>
    <w:r w:rsidR="000C68AA">
      <w:t>2</w:t>
    </w:r>
    <w:r w:rsidR="000B4726">
      <w:t xml:space="preserve"> Dissertation-I </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0C68AA" w:rsidRPr="000C68AA">
      <w:rPr>
        <w:b/>
        <w:bCs/>
        <w:noProof/>
      </w:rPr>
      <w:t>8</w:t>
    </w:r>
    <w:r w:rsidR="00ED722F">
      <w:rPr>
        <w:b/>
        <w:bCs/>
        <w:noProof/>
      </w:rPr>
      <w:fldChar w:fldCharType="end"/>
    </w:r>
    <w:r w:rsidR="00336619">
      <w:rPr>
        <w:b/>
        <w:bCs/>
        <w:noProof/>
      </w:rPr>
      <w:t>/</w:t>
    </w:r>
    <w:r>
      <w:rPr>
        <w:b/>
      </w:rPr>
      <w:fldChar w:fldCharType="begin"/>
    </w:r>
    <w:r>
      <w:rPr>
        <w:b/>
      </w:rPr>
      <w:instrText xml:space="preserve"> NUMPAGES   \* MERGEFORMAT </w:instrText>
    </w:r>
    <w:r>
      <w:rPr>
        <w:b/>
      </w:rPr>
      <w:fldChar w:fldCharType="separate"/>
    </w:r>
    <w:r>
      <w:rPr>
        <w:b/>
      </w:rPr>
      <w:t>1</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FAB6A" w14:textId="77777777" w:rsidR="00400CB4" w:rsidRDefault="00400CB4">
      <w:r>
        <w:separator/>
      </w:r>
    </w:p>
  </w:footnote>
  <w:footnote w:type="continuationSeparator" w:id="0">
    <w:p w14:paraId="60FEA232" w14:textId="77777777" w:rsidR="00400CB4" w:rsidRDefault="00400C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 w15:restartNumberingAfterBreak="0">
    <w:nsid w:val="7B5B367B"/>
    <w:multiLevelType w:val="hybridMultilevel"/>
    <w:tmpl w:val="B394DD40"/>
    <w:lvl w:ilvl="0" w:tplc="6D7A62A2">
      <w:start w:val="1"/>
      <w:numFmt w:val="bullet"/>
      <w:lvlText w:val="•"/>
      <w:lvlJc w:val="left"/>
      <w:pPr>
        <w:ind w:left="720" w:hanging="360"/>
      </w:pPr>
      <w:rPr>
        <w:rFonts w:ascii="Times New Roman" w:hAnsi="Times New Roman" w:cs="Times New Roman" w:hint="default"/>
      </w:rPr>
    </w:lvl>
    <w:lvl w:ilvl="1" w:tplc="80281B60">
      <w:numFmt w:val="decimal"/>
      <w:lvlText w:val=""/>
      <w:lvlJc w:val="left"/>
    </w:lvl>
    <w:lvl w:ilvl="2" w:tplc="AED4A0B4">
      <w:numFmt w:val="decimal"/>
      <w:lvlText w:val=""/>
      <w:lvlJc w:val="left"/>
    </w:lvl>
    <w:lvl w:ilvl="3" w:tplc="835CD444">
      <w:numFmt w:val="decimal"/>
      <w:lvlText w:val=""/>
      <w:lvlJc w:val="left"/>
    </w:lvl>
    <w:lvl w:ilvl="4" w:tplc="EE70F058">
      <w:numFmt w:val="decimal"/>
      <w:lvlText w:val=""/>
      <w:lvlJc w:val="left"/>
    </w:lvl>
    <w:lvl w:ilvl="5" w:tplc="15ACBA7C">
      <w:numFmt w:val="decimal"/>
      <w:lvlText w:val=""/>
      <w:lvlJc w:val="left"/>
    </w:lvl>
    <w:lvl w:ilvl="6" w:tplc="AC46AC48">
      <w:numFmt w:val="decimal"/>
      <w:lvlText w:val=""/>
      <w:lvlJc w:val="left"/>
    </w:lvl>
    <w:lvl w:ilvl="7" w:tplc="B9B28DB6">
      <w:numFmt w:val="decimal"/>
      <w:lvlText w:val=""/>
      <w:lvlJc w:val="left"/>
    </w:lvl>
    <w:lvl w:ilvl="8" w:tplc="1D5A6F1E">
      <w:numFmt w:val="decimal"/>
      <w:lvlText w:val=""/>
      <w:lvlJc w:val="left"/>
    </w:lvl>
  </w:abstractNum>
  <w:abstractNum w:abstractNumId="5" w15:restartNumberingAfterBreak="0">
    <w:nsid w:val="7F3151C1"/>
    <w:multiLevelType w:val="hybridMultilevel"/>
    <w:tmpl w:val="5E74FCF6"/>
    <w:lvl w:ilvl="0" w:tplc="1E422DBE">
      <w:start w:val="1"/>
      <w:numFmt w:val="decimal"/>
      <w:lvlText w:val="%1."/>
      <w:lvlJc w:val="left"/>
      <w:pPr>
        <w:ind w:left="720" w:hanging="360"/>
      </w:pPr>
      <w:rPr>
        <w:rFonts w:ascii="Times New Roman" w:hAnsi="Times New Roman" w:cs="Times New Roman" w:hint="default"/>
      </w:rPr>
    </w:lvl>
    <w:lvl w:ilvl="1" w:tplc="3A984B88">
      <w:numFmt w:val="decimal"/>
      <w:lvlText w:val=""/>
      <w:lvlJc w:val="left"/>
    </w:lvl>
    <w:lvl w:ilvl="2" w:tplc="0C7C5938">
      <w:numFmt w:val="decimal"/>
      <w:lvlText w:val=""/>
      <w:lvlJc w:val="left"/>
    </w:lvl>
    <w:lvl w:ilvl="3" w:tplc="25E656F4">
      <w:numFmt w:val="decimal"/>
      <w:lvlText w:val=""/>
      <w:lvlJc w:val="left"/>
    </w:lvl>
    <w:lvl w:ilvl="4" w:tplc="5410841E">
      <w:numFmt w:val="decimal"/>
      <w:lvlText w:val=""/>
      <w:lvlJc w:val="left"/>
    </w:lvl>
    <w:lvl w:ilvl="5" w:tplc="F2204042">
      <w:numFmt w:val="decimal"/>
      <w:lvlText w:val=""/>
      <w:lvlJc w:val="left"/>
    </w:lvl>
    <w:lvl w:ilvl="6" w:tplc="95267D20">
      <w:numFmt w:val="decimal"/>
      <w:lvlText w:val=""/>
      <w:lvlJc w:val="left"/>
    </w:lvl>
    <w:lvl w:ilvl="7" w:tplc="A418B2AC">
      <w:numFmt w:val="decimal"/>
      <w:lvlText w:val=""/>
      <w:lvlJc w:val="left"/>
    </w:lvl>
    <w:lvl w:ilvl="8" w:tplc="2004B160">
      <w:numFmt w:val="decimal"/>
      <w:lvlText w:val=""/>
      <w:lvlJc w:val="left"/>
    </w:lvl>
  </w:abstractNum>
  <w:num w:numId="1" w16cid:durableId="1913738816">
    <w:abstractNumId w:val="3"/>
  </w:num>
  <w:num w:numId="2" w16cid:durableId="556473347">
    <w:abstractNumId w:val="0"/>
  </w:num>
  <w:num w:numId="3" w16cid:durableId="728849189">
    <w:abstractNumId w:val="1"/>
  </w:num>
  <w:num w:numId="4" w16cid:durableId="545990761">
    <w:abstractNumId w:val="2"/>
  </w:num>
  <w:num w:numId="5" w16cid:durableId="563838806">
    <w:abstractNumId w:val="4"/>
  </w:num>
  <w:num w:numId="6" w16cid:durableId="371930637">
    <w:abstractNumId w:val="5"/>
    <w:lvlOverride w:ilvl="0">
      <w:startOverride w:val="1"/>
    </w:lvlOverride>
  </w:num>
  <w:num w:numId="7" w16cid:durableId="12659308">
    <w:abstractNumId w:val="5"/>
    <w:lvlOverride w:ilvl="0">
      <w:startOverride w:val="1"/>
    </w:lvlOverride>
  </w:num>
  <w:num w:numId="8" w16cid:durableId="1332103786">
    <w:abstractNumId w:val="5"/>
    <w:lvlOverride w:ilvl="0">
      <w:startOverride w:val="1"/>
    </w:lvlOverride>
  </w:num>
  <w:num w:numId="9" w16cid:durableId="1871916371">
    <w:abstractNumId w:val="5"/>
    <w:lvlOverride w:ilvl="0">
      <w:startOverride w:val="1"/>
    </w:lvlOverride>
  </w:num>
  <w:num w:numId="10" w16cid:durableId="120352003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419DF"/>
    <w:rsid w:val="000130E2"/>
    <w:rsid w:val="000666E3"/>
    <w:rsid w:val="000B4726"/>
    <w:rsid w:val="000C68AA"/>
    <w:rsid w:val="000F4FB3"/>
    <w:rsid w:val="002D31A1"/>
    <w:rsid w:val="003324E3"/>
    <w:rsid w:val="00336619"/>
    <w:rsid w:val="00354673"/>
    <w:rsid w:val="00400CB4"/>
    <w:rsid w:val="00432716"/>
    <w:rsid w:val="00484A6B"/>
    <w:rsid w:val="00504A87"/>
    <w:rsid w:val="006118E0"/>
    <w:rsid w:val="00712F3D"/>
    <w:rsid w:val="00721722"/>
    <w:rsid w:val="007B449B"/>
    <w:rsid w:val="008005DC"/>
    <w:rsid w:val="008051FA"/>
    <w:rsid w:val="00830125"/>
    <w:rsid w:val="008E58D4"/>
    <w:rsid w:val="00925D75"/>
    <w:rsid w:val="009538EC"/>
    <w:rsid w:val="00985B52"/>
    <w:rsid w:val="009F533C"/>
    <w:rsid w:val="00A66D88"/>
    <w:rsid w:val="00AB30C8"/>
    <w:rsid w:val="00AD1E80"/>
    <w:rsid w:val="00B240A8"/>
    <w:rsid w:val="00BC452E"/>
    <w:rsid w:val="00BD73AF"/>
    <w:rsid w:val="00C02DF9"/>
    <w:rsid w:val="00DA0927"/>
    <w:rsid w:val="00ED722F"/>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2FE6C"/>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nhideWhenUsed/>
    <w:qFormat/>
    <w:rsid w:val="00925D7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 w:type="character" w:customStyle="1" w:styleId="Heading2Char">
    <w:name w:val="Heading 2 Char"/>
    <w:basedOn w:val="DefaultParagraphFont"/>
    <w:link w:val="Heading2"/>
    <w:rsid w:val="00925D75"/>
    <w:rPr>
      <w:rFonts w:asciiTheme="majorHAnsi" w:eastAsiaTheme="majorEastAsia" w:hAnsiTheme="majorHAnsi" w:cstheme="majorBidi"/>
      <w:color w:val="2E74B5"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22</Pages>
  <Words>6133</Words>
  <Characters>34960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Measurement-Process-Aware Causal Trajectory Modeling for Transportable Early Sepsis Prediction: A Multi-Center Retrospective Evaluation</vt:lpstr>
    </vt:vector>
  </TitlesOfParts>
  <Company/>
  <LinksUpToDate>false</LinksUpToDate>
  <CharactersWithSpaces>41011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Measurement-Process-Aware Causal Trajectory Modeling for Transportable Early Sepsis Prediction: A Multi-Center Retrospective Evaluation</dc:title>
  <dc:creator>Sudhanshu Kumar Jha</dc:creator>
  <cp:lastModifiedBy>sudhanshu Jha</cp:lastModifiedBy>
  <cp:revision>7</cp:revision>
  <dcterms:created xsi:type="dcterms:W3CDTF">2026-09-22T06:04:00Z</dcterms:created>
  <dcterms:modified xsi:type="dcterms:W3CDTF">2026-10-05T19:59:00Z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