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ile-or-sign"/>
    <w:p>
      <w:pPr>
        <w:pStyle w:val="Heading1"/>
      </w:pPr>
      <w:r>
        <w:t xml:space="preserve">Compile, or Sign</w:t>
      </w:r>
    </w:p>
    <w:p>
      <w:pPr>
        <w:pStyle w:val="FirstParagraph"/>
      </w:pPr>
      <w:r>
        <w:t xml:space="preserve">A thousand-times speedup on coding produced a 1.4× speedup on shipping software. METR ran the experiment in mid-2026 and the labs went quiet for about a week.</w:t>
      </w:r>
      <w:r>
        <w:rPr>
          <w:rStyle w:val="FootnoteReference"/>
        </w:rPr>
        <w:footnoteReference w:id="9"/>
      </w:r>
      <w:r>
        <w:t xml:space="preserve"> </w:t>
      </w:r>
      <w:r>
        <w:t xml:space="preserve">Models that out-type any senior engineer alive, code that reads cleaner than a partner-track draft, an API priced under the cost of a sandwich — and the productivity dial moved from 1.0 to somewhere between 1.4 and 2.0. The promise was three orders of magnitude. The measurement is one part in seven hundred of that.</w:t>
      </w:r>
    </w:p>
    <w:p>
      <w:pPr>
        <w:pStyle w:val="BodyText"/>
      </w:pPr>
      <w:r>
        <w:t xml:space="preserve">The reflexive read is that the models aren’t good enough yet. The right read is Amdahl.</w:t>
      </w:r>
    </w:p>
    <w:p>
      <w:pPr>
        <w:pStyle w:val="BodyText"/>
      </w:pPr>
      <w:r>
        <w:t xml:space="preserve">Gene Amdahl wrote it down in 1967.</w:t>
      </w:r>
      <w:r>
        <w:rPr>
          <w:rStyle w:val="FootnoteReference"/>
        </w:rPr>
        <w:footnoteReference w:id="12"/>
      </w:r>
      <w:r>
        <w:t xml:space="preserve"> </w:t>
      </w:r>
      <w:r>
        <w:t xml:space="preserve">If a fraction</w:t>
      </w:r>
      <w:r>
        <w:t xml:space="preserve"> </w:t>
      </w:r>
      <m:oMath>
        <m:r>
          <m:t>p</m:t>
        </m:r>
      </m:oMath>
      <w:r>
        <w:t xml:space="preserve"> </w:t>
      </w:r>
      <w:r>
        <w:t xml:space="preserve">of a workload speeds up by factor</w:t>
      </w:r>
      <w:r>
        <w:t xml:space="preserve"> </w:t>
      </w:r>
      <m:oMath>
        <m:r>
          <m:t>s</m:t>
        </m:r>
      </m:oMath>
      <w:r>
        <w:t xml:space="preserve">, total speedup is</w:t>
      </w:r>
    </w:p>
    <w:p>
      <w:pPr>
        <w:pStyle w:val="BodyText"/>
      </w:pPr>
      <m:oMathPara>
        <m:oMathParaPr>
          <m:jc m:val="center"/>
        </m:oMathParaPr>
        <m:oMath>
          <m:r>
            <m:rPr>
              <m:nor/>
              <m:sty m:val="p"/>
            </m:rPr>
            <m:t>Speedup</m:t>
          </m:r>
          <m:r>
            <m:rPr>
              <m:sty m:val="p"/>
            </m:rPr>
            <m:t>=</m:t>
          </m:r>
          <m:f>
            <m:fPr>
              <m:type m:val="bar"/>
            </m:fPr>
            <m:num>
              <m:r>
                <m:t>1</m:t>
              </m:r>
            </m:num>
            <m:den>
              <m:r>
                <m:rPr>
                  <m:sty m:val="p"/>
                </m:rPr>
                <m:t>(</m:t>
              </m:r>
              <m:r>
                <m:t>1</m:t>
              </m:r>
              <m:r>
                <m:rPr>
                  <m:sty m:val="p"/>
                </m:rPr>
                <m:t>−</m:t>
              </m:r>
              <m:r>
                <m:t>p</m:t>
              </m:r>
              <m:r>
                <m:rPr>
                  <m:sty m:val="p"/>
                </m:rPr>
                <m:t>)</m:t>
              </m:r>
              <m:r>
                <m:rPr>
                  <m:sty m:val="p"/>
                </m:rPr>
                <m:t>+</m:t>
              </m:r>
              <m:r>
                <m:t>p</m:t>
              </m:r>
              <m:r>
                <m:rPr>
                  <m:sty m:val="p"/>
                </m:rPr>
                <m:t>/</m:t>
              </m:r>
              <m:r>
                <m:t>s</m:t>
              </m:r>
            </m:den>
          </m:f>
        </m:oMath>
      </m:oMathPara>
    </w:p>
    <w:p>
      <w:pPr>
        <w:pStyle w:val="FirstParagraph"/>
      </w:pPr>
      <w:r>
        <w:t xml:space="preserve">The ceiling, as</w:t>
      </w:r>
      <w:r>
        <w:t xml:space="preserve"> </w:t>
      </w:r>
      <m:oMath>
        <m:r>
          <m:t>s</m:t>
        </m:r>
        <m:r>
          <m:rPr>
            <m:sty m:val="p"/>
          </m:rPr>
          <m:t>→</m:t>
        </m:r>
        <m:r>
          <m:rPr>
            <m:sty m:val="p"/>
          </m:rPr>
          <m:t>∞</m:t>
        </m:r>
      </m:oMath>
      <w:r>
        <w:t xml:space="preserve">, is</w:t>
      </w:r>
      <w:r>
        <w:t xml:space="preserve"> </w:t>
      </w:r>
      <m:oMath>
        <m:r>
          <m:t>1</m:t>
        </m:r>
        <m:r>
          <m:rPr>
            <m:sty m:val="p"/>
          </m:rPr>
          <m:t>/</m:t>
        </m:r>
        <m:r>
          <m:rPr>
            <m:sty m:val="p"/>
          </m:rPr>
          <m:t>(</m:t>
        </m:r>
        <m:r>
          <m:t>1</m:t>
        </m:r>
        <m:r>
          <m:rPr>
            <m:sty m:val="p"/>
          </m:rPr>
          <m:t>−</m:t>
        </m:r>
        <m:r>
          <m:t>p</m:t>
        </m:r>
        <m:r>
          <m:rPr>
            <m:sty m:val="p"/>
          </m:rPr>
          <m:t>)</m:t>
        </m:r>
      </m:oMath>
      <w:r>
        <w:t xml:space="preserve">. If coding was thirty percent of the developer’s day before agents arrived and you drove its cost to zero, the day still takes seventy percent of what it used to. That gives 1.43×. METR is reading the ceiling.</w:t>
      </w:r>
    </w:p>
    <w:p>
      <w:pPr>
        <w:pStyle w:val="BodyText"/>
      </w:pPr>
      <w:r>
        <w:t xml:space="preserve">This is the most expensive thing the cycle has gotten wrong. Capital was deployed against the assumption that compounding gains in coding speed would translate into compounding gains in software value, and the compounding was real on one axis and absent on the other. Coding was never the bottleneck. Something else was, and is, and the cycle has been slow to name it.</w:t>
      </w:r>
    </w:p>
    <w:p>
      <w:pPr>
        <w:pStyle w:val="BodyText"/>
      </w:pPr>
      <w:r>
        <w:t xml:space="preserve">The unobvious bottleneck at each layer of the AI stack is verification — knowing whether the thing that just got built is correct. Coding got cheaper. Verification did not. And the same dynamic repeats one floor up, and one floor up from that, and again. Each layer’s commoditization wave hits the same wall. The wall is whoever holds the function that decides whether the output cleared the bar. In most domains that is a person, in a small number of domains that is a Makefile, and the difference between those two outcomes explains roughly everything about where AI rents land in this cycle.</w:t>
      </w:r>
    </w:p>
    <w:p>
      <w:r>
        <w:pict>
          <v:rect style="width:0;height:1.5pt" o:hralign="center" o:hrstd="t" o:hr="t"/>
        </w:pict>
      </w:r>
    </w:p>
    <w:bookmarkStart w:id="15" w:name="i.-the-complement-game-runs-downhill"/>
    <w:p>
      <w:pPr>
        <w:pStyle w:val="Heading2"/>
      </w:pPr>
      <w:r>
        <w:t xml:space="preserve">I. The complement game runs downhill</w:t>
      </w:r>
    </w:p>
    <w:p>
      <w:pPr>
        <w:pStyle w:val="FirstParagraph"/>
      </w:pPr>
      <w:r>
        <w:t xml:space="preserve">Joel Spolsky wrote down the strategy a quarter-century ago.</w:t>
      </w:r>
      <w:r>
        <w:rPr>
          <w:rStyle w:val="FootnoteReference"/>
        </w:rPr>
        <w:footnoteReference w:id="13"/>
      </w:r>
      <w:r>
        <w:t xml:space="preserve"> </w:t>
      </w:r>
      <w:r>
        <w:t xml:space="preserve">Demand for a product rises when the price of its complement falls, so smart firms invest in cheapening their complements. Microsoft funded the PC clone industry because cheap hardware sold Windows. IBM supported Linux because cheap operating systems sold consulting. Sun could not decide which side of its own stack to commoditize and is, accordingly, no longer with us.</w:t>
      </w:r>
    </w:p>
    <w:p>
      <w:pPr>
        <w:pStyle w:val="BodyText"/>
      </w:pPr>
      <w:r>
        <w:t xml:space="preserve">The play is running everywhere in the AI stack right now. Hardware vendors push tooling that runs any model on any silicon, because cheap models sell more silicon. Foundation labs subsidize first-party agentic harnesses to capture token volume, because the harness is unprofitable and the tokens aren’t. Application companies pitch</w:t>
      </w:r>
      <w:r>
        <w:t xml:space="preserve"> </w:t>
      </w:r>
      <w:r>
        <w:t xml:space="preserve">“replace the associate,”</w:t>
      </w:r>
      <w:r>
        <w:t xml:space="preserve"> </w:t>
      </w:r>
      <w:r>
        <w:t xml:space="preserve">“replace the SDR,”</w:t>
      </w:r>
      <w:r>
        <w:t xml:space="preserve"> </w:t>
      </w:r>
      <w:r>
        <w:t xml:space="preserve">“replace tier-one.”</w:t>
      </w:r>
      <w:r>
        <w:t xml:space="preserve"> </w:t>
      </w:r>
      <w:r>
        <w:t xml:space="preserve">Every category-defining AI app deck has a version of this slide. The worker the app replaces is the app’s complement.</w:t>
      </w:r>
    </w:p>
    <w:p>
      <w:pPr>
        <w:pStyle w:val="BodyText"/>
      </w:pPr>
      <w:r>
        <w:t xml:space="preserve">What none of these companies has answered cleanly is where the wave stops at each layer. The naive picture — every floor gets cheaper until everything is free — is wrong. Each commoditization wave hits a bottleneck and dissipates. The interesting question is what the bottleneck is and who collects the rent when it binds.</w:t>
      </w:r>
    </w:p>
    <w:p>
      <w:r>
        <w:pict>
          <v:rect style="width:0;height:1.5pt" o:hralign="center" o:hrstd="t" o:hr="t"/>
        </w:pict>
      </w:r>
    </w:p>
    <w:bookmarkEnd w:id="15"/>
    <w:bookmarkStart w:id="18" w:name="Xfdbe9930a854206af9769387d22f1e8d415755c"/>
    <w:p>
      <w:pPr>
        <w:pStyle w:val="Heading2"/>
      </w:pPr>
      <w:r>
        <w:t xml:space="preserve">II. The lab margin is a selection artifact</w:t>
      </w:r>
    </w:p>
    <w:p>
      <w:pPr>
        <w:pStyle w:val="FirstParagraph"/>
      </w:pPr>
      <w:r>
        <w:t xml:space="preserve">Start at the model layer. The foundation labs are losing while reporting eighty-percent gross margins. Both facts are true at the same time, and the mechanism comes from a 1972 paper by Ronald Coase that nearly killed durable-goods monopoly theory, plus a 2014 paper by Simon Board and Marek Pycia that rescued it.</w:t>
      </w:r>
      <w:r>
        <w:rPr>
          <w:rStyle w:val="FootnoteReference"/>
        </w:rPr>
        <w:footnoteReference w:id="16"/>
      </w:r>
    </w:p>
    <w:p>
      <w:pPr>
        <w:pStyle w:val="BodyText"/>
      </w:pPr>
      <w:r>
        <w:t xml:space="preserve">Coase asked what a monopolist of a perfectly durable good can charge. The intuitive answer is the monopoly price. Coase showed that the intuitive answer is wrong. Once the first sale clears, the monopolist sits on inventory at zero marginal cost, the buyers know it, and the buyers wait. The wait becomes equilibrium. The price collapses to marginal cost the instant the first sale happens, which means the first sale never happens at monopoly price. This was upsetting to real monopolists, who continue to charge monopoly prices in plain view, so something has been rescuing the equilibrium. Board and Pycia found the rescue: outside options. When buyers can exit to a substitute instead of waiting, low-willingness-to-pay buyers defect, high-willingness-to-pay buyers stay, and the monopolist sustains monopoly pricing forever on a customer base that has selection-effected down to the inelastic right tail.</w:t>
      </w:r>
    </w:p>
    <w:p>
      <w:pPr>
        <w:pStyle w:val="BodyText"/>
      </w:pPr>
      <w:r>
        <w:t xml:space="preserve">Inference is approximately a durable good. The token itself is consumed, but the artifacts inference produces — fine-tuned models, software, RL environments, training data for distilled models — are durable, and that is enough for the Coase logic to bite. Customers buying inference today are buying it to build assets that lower their dependence on future inference. The labs are selling shovels to people whose business is to make shovel-buying unnecessary.</w:t>
      </w:r>
    </w:p>
    <w:p>
      <w:pPr>
        <w:pStyle w:val="BodyText"/>
      </w:pPr>
      <w:r>
        <w:t xml:space="preserve">What rescues the labs from Coasian unraveling is open-source weights. Llama, Qwen, DeepSeek, GLM. These are the outside option. Customers who could not stomach six dollars per million tokens left months ago. Customers paying six dollars are paying because the open-source gap, for their specific use case, hurts more than the price difference.</w:t>
      </w:r>
    </w:p>
    <w:p>
      <w:pPr>
        <w:pStyle w:val="BodyText"/>
      </w:pPr>
      <w:r>
        <w:t xml:space="preserve">The eighty-percent gross margin is real. It is also the signature of the selection equilibrium, not the absence of one. Take willingness-to-pay drawn from a power-law distribution with shape</w:t>
      </w:r>
      <w:r>
        <w:t xml:space="preserve"> </w:t>
      </w:r>
      <m:oMath>
        <m:r>
          <m:t>α</m:t>
        </m:r>
        <m:r>
          <m:rPr>
            <m:sty m:val="p"/>
          </m:rPr>
          <m:t>&gt;</m:t>
        </m:r>
        <m:r>
          <m:t>1</m:t>
        </m:r>
      </m:oMath>
      <w:r>
        <w:t xml:space="preserve">. Demand has constant elasticity equal to</w:t>
      </w:r>
      <w:r>
        <w:t xml:space="preserve"> </w:t>
      </w:r>
      <m:oMath>
        <m:r>
          <m:t>α</m:t>
        </m:r>
      </m:oMath>
      <w:r>
        <w:t xml:space="preserve">. The Lerner condition gives</w:t>
      </w:r>
    </w:p>
    <w:p>
      <w:pPr>
        <w:pStyle w:val="BodyText"/>
      </w:pPr>
      <m:oMathPara>
        <m:oMathParaPr>
          <m:jc m:val="center"/>
        </m:oMathParaPr>
        <m:oMath>
          <m:r>
            <m:t>p</m:t>
          </m:r>
          <m:r>
            <m:rPr>
              <m:sty m:val="p"/>
            </m:rPr>
            <m:t>=</m:t>
          </m:r>
          <m:r>
            <m:t>c</m:t>
          </m:r>
          <m:r>
            <m:rPr>
              <m:sty m:val="p"/>
            </m:rPr>
            <m:t>⋅</m:t>
          </m:r>
          <m:f>
            <m:fPr>
              <m:type m:val="bar"/>
            </m:fPr>
            <m:num>
              <m:r>
                <m:t>α</m:t>
              </m:r>
            </m:num>
            <m:den>
              <m:r>
                <m:t>α</m:t>
              </m:r>
              <m:r>
                <m:rPr>
                  <m:sty m:val="p"/>
                </m:rPr>
                <m:t>−</m:t>
              </m:r>
              <m:r>
                <m:t>1</m:t>
              </m:r>
            </m:den>
          </m:f>
          <m:r>
            <m:rPr>
              <m:sty m:val="p"/>
            </m:rPr>
            <m:t>.</m:t>
          </m:r>
        </m:oMath>
      </m:oMathPara>
    </w:p>
    <w:p>
      <w:pPr>
        <w:pStyle w:val="FirstParagraph"/>
      </w:pPr>
      <w:r>
        <w:t xml:space="preserve">Calibrate against observable pricing. Marginal cost of frontier inference around two dollars per million tokens, blended list price around six dollars per million. The price-to-cost ratio of three solves at</w:t>
      </w:r>
      <w:r>
        <w:t xml:space="preserve"> </w:t>
      </w:r>
      <m:oMath>
        <m:r>
          <m:t>α</m:t>
        </m:r>
        <m:r>
          <m:rPr>
            <m:sty m:val="p"/>
          </m:rPr>
          <m:t>=</m:t>
        </m:r>
        <m:r>
          <m:t>1.5</m:t>
        </m:r>
      </m:oMath>
      <w:r>
        <w:t xml:space="preserve">. Heavy-tailed, undefined variance, but still a finite shape parameter.</w:t>
      </w:r>
    </w:p>
    <w:p>
      <w:pPr>
        <w:pStyle w:val="BodyText"/>
      </w:pPr>
      <w:r>
        <w:t xml:space="preserve">The producer share of total surplus, after integrating the buyer’s surplus over the surviving demand, is</w:t>
      </w:r>
      <w:r>
        <w:t xml:space="preserve"> </w:t>
      </w:r>
      <m:oMath>
        <m:r>
          <m:rPr>
            <m:sty m:val="p"/>
          </m:rPr>
          <m:t>(</m:t>
        </m:r>
        <m:r>
          <m:t>α</m:t>
        </m:r>
        <m:r>
          <m:rPr>
            <m:sty m:val="p"/>
          </m:rPr>
          <m:t>−</m:t>
        </m:r>
        <m:r>
          <m:t>1</m:t>
        </m:r>
        <m:r>
          <m:rPr>
            <m:sty m:val="p"/>
          </m:rPr>
          <m:t>)</m:t>
        </m:r>
        <m:r>
          <m:rPr>
            <m:sty m:val="p"/>
          </m:rPr>
          <m:t>/</m:t>
        </m:r>
        <m:r>
          <m:rPr>
            <m:sty m:val="p"/>
          </m:rPr>
          <m:t>(</m:t>
        </m:r>
        <m:r>
          <m:t>2</m:t>
        </m:r>
        <m:r>
          <m:t>α</m:t>
        </m:r>
        <m:r>
          <m:rPr>
            <m:sty m:val="p"/>
          </m:rPr>
          <m:t>−</m:t>
        </m:r>
        <m:r>
          <m:t>1</m:t>
        </m:r>
        <m:r>
          <m:rPr>
            <m:sty m:val="p"/>
          </m:rPr>
          <m:t>)</m:t>
        </m:r>
      </m:oMath>
      <w:r>
        <w:t xml:space="preserve">. At</w:t>
      </w:r>
      <w:r>
        <w:t xml:space="preserve"> </w:t>
      </w:r>
      <m:oMath>
        <m:r>
          <m:t>α</m:t>
        </m:r>
        <m:r>
          <m:rPr>
            <m:sty m:val="p"/>
          </m:rPr>
          <m:t>=</m:t>
        </m:r>
        <m:r>
          <m:t>1.5</m:t>
        </m:r>
      </m:oMath>
      <w:r>
        <w:t xml:space="preserve"> </w:t>
      </w:r>
      <w:r>
        <w:t xml:space="preserve">that is twenty-five percent. The buyer keeps three-quarters of the surplus the lab’s tokens create. As the open-source gap closes — and it has been closing on a six-month cycle — the inelastic tail shrinks. Pricing power persists. Revenue does not.</w:t>
      </w:r>
    </w:p>
    <w:p>
      <w:pPr>
        <w:pStyle w:val="BodyText"/>
      </w:pPr>
      <w:r>
        <w:t xml:space="preserve">The labs are running selection-equilibrium economics on a depleting customer base. By the time the income statement reflects the depletion, the trade is over. The high gross margin is a leading indicator of a shrinking market, not of moat strength. The lab’s next paying move is not better tokens. It is vertically integrating into a domain where the lab can own the verifier instead of selling cognition.</w:t>
      </w:r>
    </w:p>
    <w:p>
      <w:pPr>
        <w:pStyle w:val="BodyText"/>
      </w:pPr>
      <w:r>
        <w:t xml:space="preserve">The cycle’s standard answer to where value goes after the labs commoditize is</w:t>
      </w:r>
      <w:r>
        <w:t xml:space="preserve"> </w:t>
      </w:r>
      <w:r>
        <w:t xml:space="preserve">“up the stack, to the orchestration layer.”</w:t>
      </w:r>
      <w:r>
        <w:t xml:space="preserve"> </w:t>
      </w:r>
      <w:r>
        <w:t xml:space="preserve">That answer is worth a separate look, because the data on it landed this year and it didn’t say what the strategy memos predicted.</w:t>
      </w:r>
    </w:p>
    <w:p>
      <w:r>
        <w:pict>
          <v:rect style="width:0;height:1.5pt" o:hralign="center" o:hrstd="t" o:hr="t"/>
        </w:pict>
      </w:r>
    </w:p>
    <w:bookmarkEnd w:id="18"/>
    <w:bookmarkStart w:id="20" w:name="iii.-the-orchestration-layer-is-a-tax"/>
    <w:p>
      <w:pPr>
        <w:pStyle w:val="Heading2"/>
      </w:pPr>
      <w:r>
        <w:t xml:space="preserve">III. The orchestration layer is a tax</w:t>
      </w:r>
    </w:p>
    <w:p>
      <w:pPr>
        <w:pStyle w:val="FirstParagraph"/>
      </w:pPr>
      <w:r>
        <w:t xml:space="preserve">Walk one floor up. The orchestration layer is what every AI application company is currently calling itself — agentic harnesses, planner-worker frameworks, eval schedulers. The intuition behind the category is the corporate org chart applied to a population of agents. A planner model decomposes a task, dispatches subtasks to worker models, red-teams the result, ships.</w:t>
      </w:r>
    </w:p>
    <w:p>
      <w:pPr>
        <w:pStyle w:val="BodyText"/>
      </w:pPr>
      <w:r>
        <w:t xml:space="preserve">The empirical data has this architecture losing by a factor of four to the alternative of just letting models compete on the same task.</w:t>
      </w:r>
      <w:r>
        <w:rPr>
          <w:rStyle w:val="FootnoteReference"/>
        </w:rPr>
        <w:footnoteReference w:id="19"/>
      </w:r>
      <w:r>
        <w:t xml:space="preserve"> </w:t>
      </w:r>
      <w:r>
        <w:t xml:space="preserve">Three topologies tested across coding, reasoning, and synthesis benchmarks: solo strong model, hub-spoke with planner, market of bidding models. Hub-spoke costs roughly four times the market and underperforms on quality. Solo ties the market on quality at marginally higher cost. The category most of the AI strategy memos are calling</w:t>
      </w:r>
      <w:r>
        <w:t xml:space="preserve"> </w:t>
      </w:r>
      <w:r>
        <w:t xml:space="preserve">“the moat”</w:t>
      </w:r>
      <w:r>
        <w:t xml:space="preserve"> </w:t>
      </w:r>
      <w:r>
        <w:t xml:space="preserve">is the topology that pays four times more compute to deliver lower-quality output.</w:t>
      </w:r>
    </w:p>
    <w:p>
      <w:pPr>
        <w:pStyle w:val="BodyText"/>
      </w:pPr>
      <w:r>
        <w:t xml:space="preserve">Attention compute is at least quadratic in context length. The cost of one model running over context of length</w:t>
      </w:r>
      <w:r>
        <w:t xml:space="preserve"> </w:t>
      </w:r>
      <m:oMath>
        <m:r>
          <m:t>L</m:t>
        </m:r>
      </m:oMath>
      <w:r>
        <w:t xml:space="preserve"> </w:t>
      </w:r>
      <w:r>
        <w:t xml:space="preserve">is approximately</w:t>
      </w:r>
      <w:r>
        <w:t xml:space="preserve"> </w:t>
      </w:r>
      <m:oMath>
        <m:r>
          <m:t>β</m:t>
        </m:r>
        <m:sSup>
          <m:e>
            <m:r>
              <m:t>L</m:t>
            </m:r>
          </m:e>
          <m:sup>
            <m:r>
              <m:t>2</m:t>
            </m:r>
          </m:sup>
        </m:sSup>
      </m:oMath>
      <w:r>
        <w:t xml:space="preserve">. A hub-spoke architecture splits the task into</w:t>
      </w:r>
      <w:r>
        <w:t xml:space="preserve"> </w:t>
      </w:r>
      <m:oMath>
        <m:r>
          <m:t>m</m:t>
        </m:r>
      </m:oMath>
      <w:r>
        <w:t xml:space="preserve"> </w:t>
      </w:r>
      <w:r>
        <w:t xml:space="preserve">subtasks of size</w:t>
      </w:r>
      <w:r>
        <w:t xml:space="preserve"> </w:t>
      </w:r>
      <m:oMath>
        <m:r>
          <m:t>L</m:t>
        </m:r>
        <m:r>
          <m:rPr>
            <m:sty m:val="p"/>
          </m:rPr>
          <m:t>/</m:t>
        </m:r>
        <m:r>
          <m:t>m</m:t>
        </m:r>
      </m:oMath>
      <w:r>
        <w:t xml:space="preserve"> </w:t>
      </w:r>
      <w:r>
        <w:t xml:space="preserve">each, paying orchestration overhead</w:t>
      </w:r>
      <w:r>
        <w:t xml:space="preserve"> </w:t>
      </w:r>
      <m:oMath>
        <m:r>
          <m:t>τ</m:t>
        </m:r>
      </m:oMath>
      <w:r>
        <w:t xml:space="preserve"> </w:t>
      </w:r>
      <w:r>
        <w:t xml:space="preserve">per subtask. Total cost is</w:t>
      </w:r>
    </w:p>
    <w:p>
      <w:pPr>
        <w:pStyle w:val="BodyText"/>
      </w:pPr>
      <m:oMathPara>
        <m:oMathParaPr>
          <m:jc m:val="center"/>
        </m:oMathParaPr>
        <m:oMath>
          <m:sSub>
            <m:e>
              <m:r>
                <m:t>C</m:t>
              </m:r>
            </m:e>
            <m:sub>
              <m:r>
                <m:rPr>
                  <m:nor/>
                  <m:sty m:val="p"/>
                </m:rPr>
                <m:t>hub</m:t>
              </m:r>
            </m:sub>
          </m:sSub>
          <m:r>
            <m:rPr>
              <m:sty m:val="p"/>
            </m:rPr>
            <m:t>(</m:t>
          </m:r>
          <m:r>
            <m:t>L</m:t>
          </m:r>
          <m:r>
            <m:rPr>
              <m:sty m:val="p"/>
            </m:rPr>
            <m:t>,</m:t>
          </m:r>
          <m:r>
            <m:t>m</m:t>
          </m:r>
          <m:r>
            <m:rPr>
              <m:sty m:val="p"/>
            </m:rPr>
            <m:t>)</m:t>
          </m:r>
          <m:r>
            <m:rPr>
              <m:sty m:val="p"/>
            </m:rPr>
            <m:t>=</m:t>
          </m:r>
          <m:f>
            <m:fPr>
              <m:type m:val="bar"/>
            </m:fPr>
            <m:num>
              <m:r>
                <m:t>β</m:t>
              </m:r>
              <m:sSup>
                <m:e>
                  <m:r>
                    <m:t>L</m:t>
                  </m:r>
                </m:e>
                <m:sup>
                  <m:r>
                    <m:t>2</m:t>
                  </m:r>
                </m:sup>
              </m:sSup>
            </m:num>
            <m:den>
              <m:r>
                <m:t>m</m:t>
              </m:r>
            </m:den>
          </m:f>
          <m:r>
            <m:rPr>
              <m:sty m:val="p"/>
            </m:rPr>
            <m:t>+</m:t>
          </m:r>
          <m:r>
            <m:t>τ</m:t>
          </m:r>
          <m:r>
            <m:t>m</m:t>
          </m:r>
          <m:r>
            <m:rPr>
              <m:sty m:val="p"/>
            </m:rPr>
            <m:t>.</m:t>
          </m:r>
        </m:oMath>
      </m:oMathPara>
    </w:p>
    <w:p>
      <w:pPr>
        <w:pStyle w:val="FirstParagraph"/>
      </w:pPr>
      <w:r>
        <w:t xml:space="preserve">Optimize over</w:t>
      </w:r>
      <w:r>
        <w:t xml:space="preserve"> </w:t>
      </w:r>
      <m:oMath>
        <m:r>
          <m:t>m</m:t>
        </m:r>
      </m:oMath>
      <w:r>
        <w:t xml:space="preserve">. The minimum is</w:t>
      </w:r>
      <w:r>
        <w:t xml:space="preserve"> </w:t>
      </w:r>
      <m:oMath>
        <m:sSubSup>
          <m:e>
            <m:r>
              <m:t>C</m:t>
            </m:r>
          </m:e>
          <m:sub>
            <m:r>
              <m:rPr>
                <m:nor/>
                <m:sty m:val="p"/>
              </m:rPr>
              <m:t>hub</m:t>
            </m:r>
          </m:sub>
          <m:sup>
            <m:r>
              <m:rPr>
                <m:sty m:val="p"/>
              </m:rPr>
              <m:t>*</m:t>
            </m:r>
          </m:sup>
        </m:sSubSup>
        <m:r>
          <m:rPr>
            <m:sty m:val="p"/>
          </m:rPr>
          <m:t>=</m:t>
        </m:r>
        <m:r>
          <m:t>2</m:t>
        </m:r>
        <m:r>
          <m:t>L</m:t>
        </m:r>
        <m:rad>
          <m:radPr>
            <m:degHide m:val="on"/>
          </m:radPr>
          <m:deg/>
          <m:e>
            <m:r>
              <m:t>β</m:t>
            </m:r>
            <m:r>
              <m:t>τ</m:t>
            </m:r>
          </m:e>
        </m:rad>
      </m:oMath>
      <w:r>
        <w:t xml:space="preserve">, linear in</w:t>
      </w:r>
      <w:r>
        <w:t xml:space="preserve"> </w:t>
      </w:r>
      <m:oMath>
        <m:r>
          <m:t>L</m:t>
        </m:r>
      </m:oMath>
      <w:r>
        <w:t xml:space="preserve"> </w:t>
      </w:r>
      <w:r>
        <w:t xml:space="preserve">where solo is quadratic. Above the crossover</w:t>
      </w:r>
      <w:r>
        <w:t xml:space="preserve"> </w:t>
      </w:r>
      <m:oMath>
        <m:sSup>
          <m:e>
            <m:r>
              <m:t>L</m:t>
            </m:r>
          </m:e>
          <m:sup>
            <m:r>
              <m:rPr>
                <m:sty m:val="p"/>
              </m:rPr>
              <m:t>*</m:t>
            </m:r>
          </m:sup>
        </m:sSup>
        <m:r>
          <m:rPr>
            <m:sty m:val="p"/>
          </m:rPr>
          <m:t>=</m:t>
        </m:r>
        <m:r>
          <m:t>2</m:t>
        </m:r>
        <m:rad>
          <m:radPr>
            <m:degHide m:val="on"/>
          </m:radPr>
          <m:deg/>
          <m:e>
            <m:r>
              <m:t>τ</m:t>
            </m:r>
            <m:r>
              <m:rPr>
                <m:sty m:val="p"/>
              </m:rPr>
              <m:t>/</m:t>
            </m:r>
            <m:r>
              <m:t>β</m:t>
            </m:r>
          </m:e>
        </m:rad>
      </m:oMath>
      <w:r>
        <w:t xml:space="preserve">, decomposition should win on compute.</w:t>
      </w:r>
    </w:p>
    <w:p>
      <w:pPr>
        <w:pStyle w:val="BodyText"/>
      </w:pPr>
      <w:r>
        <w:t xml:space="preserve">The data has hub-spoke losing at context sizes well above any sane calibration of</w:t>
      </w:r>
      <w:r>
        <w:t xml:space="preserve"> </w:t>
      </w:r>
      <m:oMath>
        <m:sSup>
          <m:e>
            <m:r>
              <m:t>L</m:t>
            </m:r>
          </m:e>
          <m:sup>
            <m:r>
              <m:rPr>
                <m:sty m:val="p"/>
              </m:rPr>
              <m:t>*</m:t>
            </m:r>
          </m:sup>
        </m:sSup>
      </m:oMath>
      <w:r>
        <w:t xml:space="preserve">. Two reasons the math doesn’t help in practice. The first is that the orchestration overhead</w:t>
      </w:r>
      <w:r>
        <w:t xml:space="preserve"> </w:t>
      </w:r>
      <m:oMath>
        <m:r>
          <m:t>τ</m:t>
        </m:r>
      </m:oMath>
      <w:r>
        <w:t xml:space="preserve"> </w:t>
      </w:r>
      <w:r>
        <w:t xml:space="preserve">is not message-passing cost. It is a full planner-model run for decomposition, another for recombination, another for red-teaming. Each one a multi-thousand-token operation. Properly accounted, the planner overhead dominates the quadratic compute savings at any realistic task size.</w:t>
      </w:r>
    </w:p>
    <w:p>
      <w:pPr>
        <w:pStyle w:val="BodyText"/>
      </w:pPr>
      <w:r>
        <w:t xml:space="preserve">The second is the recomposition penalty. Each split introduces probability</w:t>
      </w:r>
      <w:r>
        <w:t xml:space="preserve"> </w:t>
      </w:r>
      <m:oMath>
        <m:r>
          <m:t>q</m:t>
        </m:r>
        <m:r>
          <m:rPr>
            <m:sty m:val="p"/>
          </m:rPr>
          <m:t>&lt;</m:t>
        </m:r>
        <m:r>
          <m:t>1</m:t>
        </m:r>
      </m:oMath>
      <w:r>
        <w:t xml:space="preserve"> </w:t>
      </w:r>
      <w:r>
        <w:t xml:space="preserve">that the planner correctly recombines a subtask result. Joint probability across</w:t>
      </w:r>
      <w:r>
        <w:t xml:space="preserve"> </w:t>
      </w:r>
      <m:oMath>
        <m:r>
          <m:t>m</m:t>
        </m:r>
      </m:oMath>
      <w:r>
        <w:t xml:space="preserve"> </w:t>
      </w:r>
      <w:r>
        <w:t xml:space="preserve">subtasks is approximately</w:t>
      </w:r>
      <w:r>
        <w:t xml:space="preserve"> </w:t>
      </w:r>
      <m:oMath>
        <m:sSup>
          <m:e>
            <m:r>
              <m:t>q</m:t>
            </m:r>
          </m:e>
          <m:sup>
            <m:r>
              <m:t>m</m:t>
            </m:r>
          </m:sup>
        </m:sSup>
      </m:oMath>
      <w:r>
        <w:t xml:space="preserve">. At</w:t>
      </w:r>
      <w:r>
        <w:t xml:space="preserve"> </w:t>
      </w:r>
      <m:oMath>
        <m:r>
          <m:t>q</m:t>
        </m:r>
        <m:r>
          <m:rPr>
            <m:sty m:val="p"/>
          </m:rPr>
          <m:t>=</m:t>
        </m:r>
        <m:r>
          <m:t>0.9</m:t>
        </m:r>
      </m:oMath>
      <w:r>
        <w:t xml:space="preserve"> </w:t>
      </w:r>
      <w:r>
        <w:t xml:space="preserve">and</w:t>
      </w:r>
      <w:r>
        <w:t xml:space="preserve"> </w:t>
      </w:r>
      <m:oMath>
        <m:r>
          <m:t>m</m:t>
        </m:r>
        <m:r>
          <m:rPr>
            <m:sty m:val="p"/>
          </m:rPr>
          <m:t>=</m:t>
        </m:r>
        <m:r>
          <m:t>5</m:t>
        </m:r>
      </m:oMath>
      <w:r>
        <w:t xml:space="preserve">, that’s 0.59 — almost half the runs fail to recompose. Hub-spoke needs the workers to deliver roughly 1.7× per-task quality to break even on this penalty. In the current model regime, the workers are clones of the planner. They don’t.</w:t>
      </w:r>
    </w:p>
    <w:p>
      <w:pPr>
        <w:pStyle w:val="BodyText"/>
      </w:pPr>
      <w:r>
        <w:t xml:space="preserve">The market topology that wins is the dumbest possible architecture. Spawn</w:t>
      </w:r>
      <w:r>
        <w:t xml:space="preserve"> </w:t>
      </w:r>
      <m:oMath>
        <m:r>
          <m:t>k</m:t>
        </m:r>
      </m:oMath>
      <w:r>
        <w:t xml:space="preserve"> </w:t>
      </w:r>
      <w:r>
        <w:t xml:space="preserve">independent attempts. A judge picks the best. Probability of success across</w:t>
      </w:r>
      <w:r>
        <w:t xml:space="preserve"> </w:t>
      </w:r>
      <m:oMath>
        <m:r>
          <m:t>k</m:t>
        </m:r>
      </m:oMath>
      <w:r>
        <w:t xml:space="preserve"> </w:t>
      </w:r>
      <w:r>
        <w:t xml:space="preserve">retries is</w:t>
      </w:r>
      <w:r>
        <w:t xml:space="preserve"> </w:t>
      </w:r>
      <m:oMath>
        <m:r>
          <m:t>1</m:t>
        </m:r>
        <m:r>
          <m:rPr>
            <m:sty m:val="p"/>
          </m:rPr>
          <m:t>−</m:t>
        </m:r>
        <m:r>
          <m:rPr>
            <m:sty m:val="p"/>
          </m:rPr>
          <m:t>(</m:t>
        </m:r>
        <m:r>
          <m:t>1</m:t>
        </m:r>
        <m:r>
          <m:rPr>
            <m:sty m:val="p"/>
          </m:rPr>
          <m:t>−</m:t>
        </m:r>
        <m:r>
          <m:t>p</m:t>
        </m:r>
        <m:sSup>
          <m:e>
            <m:r>
              <m:rPr>
                <m:sty m:val="p"/>
              </m:rPr>
              <m:t>)</m:t>
            </m:r>
          </m:e>
          <m:sup>
            <m:r>
              <m:t>k</m:t>
            </m:r>
          </m:sup>
        </m:sSup>
      </m:oMath>
      <w:r>
        <w:t xml:space="preserve">. At</w:t>
      </w:r>
      <w:r>
        <w:t xml:space="preserve"> </w:t>
      </w:r>
      <m:oMath>
        <m:r>
          <m:t>p</m:t>
        </m:r>
        <m:r>
          <m:rPr>
            <m:sty m:val="p"/>
          </m:rPr>
          <m:t>=</m:t>
        </m:r>
        <m:r>
          <m:t>0.5</m:t>
        </m:r>
      </m:oMath>
      <w:r>
        <w:t xml:space="preserve"> </w:t>
      </w:r>
      <w:r>
        <w:t xml:space="preserve">and</w:t>
      </w:r>
      <w:r>
        <w:t xml:space="preserve"> </w:t>
      </w:r>
      <m:oMath>
        <m:r>
          <m:t>k</m:t>
        </m:r>
        <m:r>
          <m:rPr>
            <m:sty m:val="p"/>
          </m:rPr>
          <m:t>=</m:t>
        </m:r>
        <m:r>
          <m:t>3</m:t>
        </m:r>
      </m:oMath>
      <w:r>
        <w:t xml:space="preserve">, that’s 0.875. Market doesn’t require workers that can accurately self-assess. It only needs variance between worker outputs, which the current generation of models has in surplus.</w:t>
      </w:r>
    </w:p>
    <w:p>
      <w:pPr>
        <w:pStyle w:val="BodyText"/>
      </w:pPr>
      <w:r>
        <w:t xml:space="preserve">Orchestration earns positive marginal product only when three conditions hold simultaneously. Context is long enough that quadratic compute savings exceed orchestration overhead. Workers are heterogeneous enough that decomposition recovers signal a single worker cannot produce. Recomposition fidelity is high enough that</w:t>
      </w:r>
      <w:r>
        <w:t xml:space="preserve"> </w:t>
      </w:r>
      <m:oMath>
        <m:sSup>
          <m:e>
            <m:r>
              <m:t>q</m:t>
            </m:r>
          </m:e>
          <m:sup>
            <m:r>
              <m:t>m</m:t>
            </m:r>
          </m:sup>
        </m:sSup>
      </m:oMath>
      <w:r>
        <w:t xml:space="preserve"> </w:t>
      </w:r>
      <w:r>
        <w:t xml:space="preserve">doesn’t dominate the quality math. None of these hold robustly in 2026. The orchestration layer is a tax that buys no service.</w:t>
      </w:r>
    </w:p>
    <w:p>
      <w:pPr>
        <w:pStyle w:val="BodyText"/>
      </w:pPr>
      <w:r>
        <w:t xml:space="preserve">The implication for the AI app cohort is uncomfortable. The horizontal agent platform — the SaaS that ships orchestration as a feature — is a graveyard. The orchestrators that survive are vertical applications that bundle a verifier into the product. The orchestration is the wrapper. The verifier is the business.</w:t>
      </w:r>
    </w:p>
    <w:p>
      <w:pPr>
        <w:pStyle w:val="BodyText"/>
      </w:pPr>
      <w:r>
        <w:t xml:space="preserve">But then, why do some application-layer companies — Halter, Waymo, Abridge — look like real businesses, while horizontal agent platforms look like features the labs will absorb in a release note? And why, if low-K-complexity work is so trivial, does the human in the workflow keep getting paid for it?</w:t>
      </w:r>
    </w:p>
    <w:p>
      <w:r>
        <w:pict>
          <v:rect style="width:0;height:1.5pt" o:hralign="center" o:hrstd="t" o:hr="t"/>
        </w:pict>
      </w:r>
    </w:p>
    <w:bookmarkEnd w:id="20"/>
    <w:bookmarkStart w:id="24" w:name="iv.-why-the-wave-stops-at-the-verifier"/>
    <w:p>
      <w:pPr>
        <w:pStyle w:val="Heading2"/>
      </w:pPr>
      <w:r>
        <w:t xml:space="preserve">IV. Why the wave stops at the verifier</w:t>
      </w:r>
    </w:p>
    <w:p>
      <w:pPr>
        <w:pStyle w:val="FirstParagraph"/>
      </w:pPr>
      <w:r>
        <w:t xml:space="preserve">A task is a string</w:t>
      </w:r>
      <w:r>
        <w:t xml:space="preserve"> </w:t>
      </w:r>
      <m:oMath>
        <m:r>
          <m:t>t</m:t>
        </m:r>
      </m:oMath>
      <w:r>
        <w:t xml:space="preserve">. Its Kolmogorov complexity</w:t>
      </w:r>
      <w:r>
        <w:t xml:space="preserve"> </w:t>
      </w:r>
      <m:oMath>
        <m:r>
          <m:t>K</m:t>
        </m:r>
        <m:r>
          <m:rPr>
            <m:sty m:val="p"/>
          </m:rPr>
          <m:t>(</m:t>
        </m:r>
        <m:r>
          <m:t>t</m:t>
        </m:r>
        <m:r>
          <m:rPr>
            <m:sty m:val="p"/>
          </m:rPr>
          <m:t>)</m:t>
        </m:r>
      </m:oMath>
      <w:r>
        <w:t xml:space="preserve"> </w:t>
      </w:r>
      <w:r>
        <w:t xml:space="preserve">is the length of the shortest program that produces it on a fixed universal Turing machine. The strategy memos that say</w:t>
      </w:r>
      <w:r>
        <w:t xml:space="preserve"> </w:t>
      </w:r>
      <w:r>
        <w:t xml:space="preserve">“AI replaces low-K-complexity work”</w:t>
      </w:r>
      <w:r>
        <w:t xml:space="preserve"> </w:t>
      </w:r>
      <w:r>
        <w:t xml:space="preserve">mean this: the spec is short, the data references are bounded, a small program covers the work. Pediatric intake. Tier-one customer support. Routine sales reply.</w:t>
      </w:r>
    </w:p>
    <w:p>
      <w:pPr>
        <w:pStyle w:val="BodyText"/>
      </w:pPr>
      <w:r>
        <w:t xml:space="preserve">What that number is</w:t>
      </w:r>
      <w:r>
        <w:t xml:space="preserve"> </w:t>
      </w:r>
      <w:r>
        <w:rPr>
          <w:i/>
          <w:iCs/>
        </w:rPr>
        <w:t xml:space="preserve">not</w:t>
      </w:r>
      <w:r>
        <w:t xml:space="preserve"> </w:t>
      </w:r>
      <w:r>
        <w:t xml:space="preserve">is the floor on the worker’s wage. The floor is set by what it costs to verify the work, and verification doesn’t run on the spec. It runs on the spec plus an information set the spec leaves out. Formally,</w:t>
      </w:r>
    </w:p>
    <w:p>
      <w:pPr>
        <w:pStyle w:val="BodyText"/>
      </w:pPr>
      <m:oMathPara>
        <m:oMathParaPr>
          <m:jc m:val="center"/>
        </m:oMathParaPr>
        <m:oMath>
          <m:r>
            <m:t>K</m:t>
          </m:r>
          <m:d>
            <m:dPr>
              <m:begChr m:val="("/>
              <m:sepChr m:val=""/>
              <m:endChr m:val=")"/>
              <m:grow/>
            </m:dPr>
            <m:e>
              <m:r>
                <m:rPr>
                  <m:nor/>
                  <m:sty m:val="p"/>
                </m:rPr>
                <m:t>verify</m:t>
              </m:r>
              <m:r>
                <m:rPr>
                  <m:sty m:val="p"/>
                </m:rPr>
                <m:t>(</m:t>
              </m:r>
              <m:r>
                <m:t>y</m:t>
              </m:r>
              <m:r>
                <m:rPr>
                  <m:sty m:val="p"/>
                </m:rPr>
                <m:t>)</m:t>
              </m:r>
              <m:r>
                <m:rPr>
                  <m:sty m:val="p"/>
                </m:rPr>
                <m:t>∣</m:t>
              </m:r>
              <m:r>
                <m:t>t</m:t>
              </m:r>
              <m:r>
                <m:rPr>
                  <m:sty m:val="p"/>
                </m:rPr>
                <m:t>,</m:t>
              </m:r>
              <m:r>
                <m:t> </m:t>
              </m:r>
              <m:sSub>
                <m:e>
                  <m:r>
                    <m:t>I</m:t>
                  </m:r>
                </m:e>
                <m:sub>
                  <m:r>
                    <m:t>v</m:t>
                  </m:r>
                </m:sub>
              </m:sSub>
            </m:e>
          </m:d>
          <m:r>
            <m:rPr>
              <m:sty m:val="p"/>
            </m:rPr>
            <m:t>=</m:t>
          </m:r>
          <m:limLow>
            <m:e>
              <m:r>
                <m:rPr>
                  <m:sty m:val="p"/>
                </m:rPr>
                <m:t>min</m:t>
              </m:r>
            </m:e>
            <m:lim>
              <m:r>
                <m:t>p</m:t>
              </m:r>
            </m:lim>
          </m:limLow>
          <m:r>
            <m:t> </m:t>
          </m:r>
          <m:r>
            <m:rPr>
              <m:sty m:val="p"/>
            </m:rPr>
            <m:t>|</m:t>
          </m:r>
          <m:r>
            <m:t>p</m:t>
          </m:r>
          <m:r>
            <m:rPr>
              <m:sty m:val="p"/>
            </m:rPr>
            <m:t>|</m:t>
          </m:r>
          <m:r>
            <m:t> </m:t>
          </m:r>
          <m:r>
            <m:rPr>
              <m:nor/>
              <m:sty m:val="p"/>
            </m:rPr>
            <m:t>s.t.</m:t>
          </m:r>
          <m:r>
            <m:t> </m:t>
          </m:r>
          <m:r>
            <m:t>U</m:t>
          </m:r>
          <m:r>
            <m:rPr>
              <m:sty m:val="p"/>
            </m:rPr>
            <m:t>(</m:t>
          </m:r>
          <m:r>
            <m:t>p</m:t>
          </m:r>
          <m:r>
            <m:rPr>
              <m:sty m:val="p"/>
            </m:rPr>
            <m:t>)</m:t>
          </m:r>
          <m:r>
            <m:rPr>
              <m:sty m:val="p"/>
            </m:rPr>
            <m:t>=</m:t>
          </m:r>
          <m:r>
            <m:rPr>
              <m:scr m:val="double-struck"/>
              <m:sty m:val="p"/>
            </m:rPr>
            <m:t>1</m:t>
          </m:r>
          <m:r>
            <m:rPr>
              <m:sty m:val="p"/>
            </m:rPr>
            <m:t>[</m:t>
          </m:r>
          <m:r>
            <m:t>y</m:t>
          </m:r>
          <m:r>
            <m:rPr>
              <m:nor/>
              <m:sty m:val="p"/>
            </m:rPr>
            <m:t> satisfies </m:t>
          </m:r>
          <m:r>
            <m:t>t</m:t>
          </m:r>
          <m:r>
            <m:rPr>
              <m:sty m:val="p"/>
            </m:rPr>
            <m:t>]</m:t>
          </m:r>
        </m:oMath>
      </m:oMathPara>
    </w:p>
    <w:p>
      <w:pPr>
        <w:pStyle w:val="FirstParagraph"/>
      </w:pPr>
      <w:r>
        <w:t xml:space="preserve">where</w:t>
      </w:r>
      <w:r>
        <w:t xml:space="preserve"> </w:t>
      </w:r>
      <m:oMath>
        <m:sSub>
          <m:e>
            <m:r>
              <m:t>I</m:t>
            </m:r>
          </m:e>
          <m:sub>
            <m:r>
              <m:t>v</m:t>
            </m:r>
          </m:sub>
        </m:sSub>
      </m:oMath>
      <w:r>
        <w:t xml:space="preserve"> </w:t>
      </w:r>
      <w:r>
        <w:t xml:space="preserve">is the verifier’s information set. The verifier maps an output to yes-or-no, and the description length of that map, given the verifier’s information, is the verifier’s K-complexity.</w:t>
      </w:r>
      <w:r>
        <w:rPr>
          <w:rStyle w:val="FootnoteReference"/>
        </w:rPr>
        <w:footnoteReference w:id="21"/>
      </w:r>
    </w:p>
    <w:p>
      <w:pPr>
        <w:pStyle w:val="BodyText"/>
      </w:pPr>
      <w:r>
        <w:t xml:space="preserve">A compiler is a verifier whose information set contains language semantics and a test harness.</w:t>
      </w:r>
      <w:r>
        <w:t xml:space="preserve"> </w:t>
      </w:r>
      <m:oMath>
        <m:r>
          <m:t>K</m:t>
        </m:r>
        <m:r>
          <m:rPr>
            <m:sty m:val="p"/>
          </m:rPr>
          <m:t>(</m:t>
        </m:r>
        <m:r>
          <m:rPr>
            <m:nor/>
            <m:sty m:val="p"/>
          </m:rPr>
          <m:t>verify</m:t>
        </m:r>
        <m:r>
          <m:rPr>
            <m:sty m:val="p"/>
          </m:rPr>
          <m:t>∣</m:t>
        </m:r>
        <m:r>
          <m:rPr>
            <m:nor/>
            <m:sty m:val="p"/>
          </m:rPr>
          <m:t>compiler</m:t>
        </m:r>
        <m:r>
          <m:rPr>
            <m:sty m:val="p"/>
          </m:rPr>
          <m:t>)</m:t>
        </m:r>
      </m:oMath>
      <w:r>
        <w:t xml:space="preserve"> </w:t>
      </w:r>
      <w:r>
        <w:t xml:space="preserve">is small and stable. A senior partner reviewing an associate’s brief is a verifier whose information set contains the assigned judge’s record, opposing counsel’s playbook, the client’s risk appetite, the firm’s history with this kind of matter. Most of that information is tacit.</w:t>
      </w:r>
      <w:r>
        <w:t xml:space="preserve"> </w:t>
      </w:r>
      <m:oMath>
        <m:r>
          <m:t>K</m:t>
        </m:r>
        <m:r>
          <m:rPr>
            <m:sty m:val="p"/>
          </m:rPr>
          <m:t>(</m:t>
        </m:r>
        <m:r>
          <m:rPr>
            <m:nor/>
            <m:sty m:val="p"/>
          </m:rPr>
          <m:t>verify</m:t>
        </m:r>
        <m:r>
          <m:rPr>
            <m:sty m:val="p"/>
          </m:rPr>
          <m:t>∣</m:t>
        </m:r>
        <m:r>
          <m:rPr>
            <m:nor/>
            <m:sty m:val="p"/>
          </m:rPr>
          <m:t>partner</m:t>
        </m:r>
        <m:r>
          <m:rPr>
            <m:sty m:val="p"/>
          </m:rPr>
          <m:t>)</m:t>
        </m:r>
      </m:oMath>
      <w:r>
        <w:t xml:space="preserve"> </w:t>
      </w:r>
      <w:r>
        <w:t xml:space="preserve">is enormous. The task spec —</w:t>
      </w:r>
      <w:r>
        <w:t xml:space="preserve"> </w:t>
      </w:r>
      <w:r>
        <w:t xml:space="preserve">“draft a brief on these facts”</w:t>
      </w:r>
      <w:r>
        <w:t xml:space="preserve"> </w:t>
      </w:r>
      <w:r>
        <w:t xml:space="preserve">— is short. The verifier function is not.</w:t>
      </w:r>
    </w:p>
    <w:p>
      <w:pPr>
        <w:pStyle w:val="BodyText"/>
      </w:pPr>
      <w:r>
        <w:t xml:space="preserve">The worker’s wage tracks the verifier, not the task. Outside coding, narrow regions of mathematics, and a handful of compliance domains with deterministic schemas,</w:t>
      </w:r>
      <w:r>
        <w:t xml:space="preserve"> </w:t>
      </w:r>
      <m:oMath>
        <m:r>
          <m:t>K</m:t>
        </m:r>
        <m:r>
          <m:rPr>
            <m:sty m:val="p"/>
          </m:rPr>
          <m:t>(</m:t>
        </m:r>
        <m:r>
          <m:rPr>
            <m:nor/>
            <m:sty m:val="p"/>
          </m:rPr>
          <m:t>verify</m:t>
        </m:r>
        <m:r>
          <m:rPr>
            <m:sty m:val="p"/>
          </m:rPr>
          <m:t>)</m:t>
        </m:r>
        <m:r>
          <m:rPr>
            <m:sty m:val="p"/>
          </m:rPr>
          <m:t>≫</m:t>
        </m:r>
        <m:r>
          <m:t>K</m:t>
        </m:r>
        <m:r>
          <m:rPr>
            <m:sty m:val="p"/>
          </m:rPr>
          <m:t>(</m:t>
        </m:r>
        <m:r>
          <m:rPr>
            <m:nor/>
            <m:sty m:val="p"/>
          </m:rPr>
          <m:t>task</m:t>
        </m:r>
        <m:r>
          <m:rPr>
            <m:sty m:val="p"/>
          </m:rPr>
          <m:t>)</m:t>
        </m:r>
      </m:oMath>
      <w:r>
        <w:t xml:space="preserve">, and the wage follows the bigger number.</w:t>
      </w:r>
    </w:p>
    <w:p>
      <w:pPr>
        <w:pStyle w:val="BodyText"/>
      </w:pPr>
      <w:r>
        <w:t xml:space="preserve">The formal version of why this matters comes from a one-period principal-agent model.</w:t>
      </w:r>
      <w:r>
        <w:rPr>
          <w:rStyle w:val="FootnoteReference"/>
        </w:rPr>
        <w:footnoteReference w:id="22"/>
      </w:r>
      <w:r>
        <w:t xml:space="preserve"> </w:t>
      </w:r>
      <w:r>
        <w:t xml:space="preserve">A worker exerts effort</w:t>
      </w:r>
      <w:r>
        <w:t xml:space="preserve"> </w:t>
      </w:r>
      <m:oMath>
        <m:r>
          <m:t>e</m:t>
        </m:r>
      </m:oMath>
      <w:r>
        <w:t xml:space="preserve"> </w:t>
      </w:r>
      <w:r>
        <w:t xml:space="preserve">at quadratic cost</w:t>
      </w:r>
      <w:r>
        <w:t xml:space="preserve"> </w:t>
      </w:r>
      <m:oMath>
        <m:r>
          <m:t>c</m:t>
        </m:r>
        <m:r>
          <m:rPr>
            <m:sty m:val="p"/>
          </m:rPr>
          <m:t>(</m:t>
        </m:r>
        <m:r>
          <m:t>e</m:t>
        </m:r>
        <m:r>
          <m:rPr>
            <m:sty m:val="p"/>
          </m:rPr>
          <m:t>)</m:t>
        </m:r>
        <m:r>
          <m:rPr>
            <m:sty m:val="p"/>
          </m:rPr>
          <m:t>=</m:t>
        </m:r>
        <m:r>
          <m:t>α</m:t>
        </m:r>
        <m:sSup>
          <m:e>
            <m:r>
              <m:t>e</m:t>
            </m:r>
          </m:e>
          <m:sup>
            <m:r>
              <m:t>2</m:t>
            </m:r>
          </m:sup>
        </m:sSup>
        <m:r>
          <m:rPr>
            <m:sty m:val="p"/>
          </m:rPr>
          <m:t>/</m:t>
        </m:r>
        <m:r>
          <m:t>2</m:t>
        </m:r>
      </m:oMath>
      <w:r>
        <w:t xml:space="preserve">, producing true quality</w:t>
      </w:r>
      <w:r>
        <w:t xml:space="preserve"> </w:t>
      </w:r>
      <m:oMath>
        <m:r>
          <m:t>q</m:t>
        </m:r>
        <m:r>
          <m:rPr>
            <m:sty m:val="p"/>
          </m:rPr>
          <m:t>=</m:t>
        </m:r>
        <m:r>
          <m:t>e</m:t>
        </m:r>
      </m:oMath>
      <w:r>
        <w:t xml:space="preserve">. The buyer cannot observe</w:t>
      </w:r>
      <w:r>
        <w:t xml:space="preserve"> </w:t>
      </w:r>
      <m:oMath>
        <m:r>
          <m:t>q</m:t>
        </m:r>
      </m:oMath>
      <w:r>
        <w:t xml:space="preserve">. The verifier observes a noisy signal</w:t>
      </w:r>
      <w:r>
        <w:t xml:space="preserve"> </w:t>
      </w:r>
      <m:oMath>
        <m:acc>
          <m:accPr>
            <m:chr m:val="̂"/>
          </m:accPr>
          <m:e>
            <m:r>
              <m:t>q</m:t>
            </m:r>
          </m:e>
        </m:acc>
        <m:r>
          <m:rPr>
            <m:sty m:val="p"/>
          </m:rPr>
          <m:t>=</m:t>
        </m:r>
        <m:r>
          <m:t>q</m:t>
        </m:r>
        <m:r>
          <m:rPr>
            <m:sty m:val="p"/>
          </m:rPr>
          <m:t>+</m:t>
        </m:r>
        <m:r>
          <m:t>ν</m:t>
        </m:r>
      </m:oMath>
      <w:r>
        <w:t xml:space="preserve"> </w:t>
      </w:r>
      <w:r>
        <w:t xml:space="preserve">with</w:t>
      </w:r>
      <w:r>
        <w:t xml:space="preserve"> </w:t>
      </w:r>
      <m:oMath>
        <m:r>
          <m:t>ν</m:t>
        </m:r>
        <m:r>
          <m:rPr>
            <m:sty m:val="p"/>
          </m:rPr>
          <m:t>∼</m:t>
        </m:r>
        <m:r>
          <m:rPr>
            <m:scr m:val="script"/>
            <m:sty m:val="p"/>
          </m:rPr>
          <m:t>N</m:t>
        </m:r>
        <m:r>
          <m:rPr>
            <m:sty m:val="p"/>
          </m:rPr>
          <m:t>(</m:t>
        </m:r>
        <m:r>
          <m:t>0</m:t>
        </m:r>
        <m:r>
          <m:rPr>
            <m:sty m:val="p"/>
          </m:rPr>
          <m:t>,</m:t>
        </m:r>
        <m:sSubSup>
          <m:e>
            <m:r>
              <m:t>σ</m:t>
            </m:r>
          </m:e>
          <m:sub>
            <m:r>
              <m:t>v</m:t>
            </m:r>
          </m:sub>
          <m:sup>
            <m:r>
              <m:t>2</m:t>
            </m:r>
          </m:sup>
        </m:sSubSup>
        <m:r>
          <m:rPr>
            <m:sty m:val="p"/>
          </m:rPr>
          <m:t>)</m:t>
        </m:r>
      </m:oMath>
      <w:r>
        <w:t xml:space="preserve">. The buyer offers a linear contract</w:t>
      </w:r>
      <w:r>
        <w:t xml:space="preserve"> </w:t>
      </w:r>
      <m:oMath>
        <m:r>
          <m:t>w</m:t>
        </m:r>
        <m:r>
          <m:rPr>
            <m:sty m:val="p"/>
          </m:rPr>
          <m:t>=</m:t>
        </m:r>
        <m:r>
          <m:t>a</m:t>
        </m:r>
        <m:r>
          <m:rPr>
            <m:sty m:val="p"/>
          </m:rPr>
          <m:t>+</m:t>
        </m:r>
        <m:r>
          <m:t>b</m:t>
        </m:r>
        <m:acc>
          <m:accPr>
            <m:chr m:val="̂"/>
          </m:accPr>
          <m:e>
            <m:r>
              <m:t>q</m:t>
            </m:r>
          </m:e>
        </m:acc>
      </m:oMath>
      <w:r>
        <w:t xml:space="preserve">. The worker is risk averse with coefficient</w:t>
      </w:r>
      <w:r>
        <w:t xml:space="preserve"> </w:t>
      </w:r>
      <m:oMath>
        <m:r>
          <m:t>r</m:t>
        </m:r>
      </m:oMath>
      <w:r>
        <w:t xml:space="preserve"> </w:t>
      </w:r>
      <w:r>
        <w:t xml:space="preserve">and has mean-variance preferences. Substituting and solving gives optimal incentive intensity</w:t>
      </w:r>
    </w:p>
    <w:p>
      <w:pPr>
        <w:pStyle w:val="BodyText"/>
      </w:pPr>
      <m:oMathPara>
        <m:oMathParaPr>
          <m:jc m:val="center"/>
        </m:oMathParaPr>
        <m:oMath>
          <m:sSup>
            <m:e>
              <m:r>
                <m:t>b</m:t>
              </m:r>
            </m:e>
            <m:sup>
              <m:r>
                <m:rPr>
                  <m:sty m:val="p"/>
                </m:rPr>
                <m:t>*</m:t>
              </m:r>
            </m:sup>
          </m:sSup>
          <m:r>
            <m:rPr>
              <m:sty m:val="p"/>
            </m:rPr>
            <m:t>=</m:t>
          </m:r>
          <m:f>
            <m:fPr>
              <m:type m:val="bar"/>
            </m:fPr>
            <m:num>
              <m:r>
                <m:t>v</m:t>
              </m:r>
            </m:num>
            <m:den>
              <m:r>
                <m:t>1</m:t>
              </m:r>
              <m:r>
                <m:rPr>
                  <m:sty m:val="p"/>
                </m:rPr>
                <m:t>+</m:t>
              </m:r>
              <m:r>
                <m:t>α</m:t>
              </m:r>
              <m:r>
                <m:t>r</m:t>
              </m:r>
              <m:sSubSup>
                <m:e>
                  <m:r>
                    <m:t>σ</m:t>
                  </m:r>
                </m:e>
                <m:sub>
                  <m:r>
                    <m:t>v</m:t>
                  </m:r>
                </m:sub>
                <m:sup>
                  <m:r>
                    <m:t>2</m:t>
                  </m:r>
                </m:sup>
              </m:sSubSup>
            </m:den>
          </m:f>
        </m:oMath>
      </m:oMathPara>
    </w:p>
    <w:p>
      <w:pPr>
        <w:pStyle w:val="FirstParagraph"/>
      </w:pPr>
      <w:r>
        <w:t xml:space="preserve">where</w:t>
      </w:r>
      <w:r>
        <w:t xml:space="preserve"> </w:t>
      </w:r>
      <m:oMath>
        <m:r>
          <m:t>v</m:t>
        </m:r>
      </m:oMath>
      <w:r>
        <w:t xml:space="preserve"> </w:t>
      </w:r>
      <w:r>
        <w:t xml:space="preserve">is the buyer’s value per unit quality. As verifier noise rises,</w:t>
      </w:r>
      <w:r>
        <w:t xml:space="preserve"> </w:t>
      </w:r>
      <m:oMath>
        <m:sSup>
          <m:e>
            <m:r>
              <m:t>b</m:t>
            </m:r>
          </m:e>
          <m:sup>
            <m:r>
              <m:rPr>
                <m:sty m:val="p"/>
              </m:rPr>
              <m:t>*</m:t>
            </m:r>
          </m:sup>
        </m:sSup>
      </m:oMath>
      <w:r>
        <w:t xml:space="preserve"> </w:t>
      </w:r>
      <w:r>
        <w:t xml:space="preserve">collapses to zero. The buyer cannot pay for quality because she cannot tie compensation to it. Effort follows incentive intensity, surplus follows effort, and the market for the work disappears. What replaces it in practice is a fixed retainer — a seat — which decouples price from quality entirely. Subscription pricing for AI work is the lemons equilibrium dressed in subscription clothing. Microsoft cancelling its internal Claude Code seats this autumn was the buyer side noticing this math and exiting the equilibrium.</w:t>
      </w:r>
      <w:r>
        <w:rPr>
          <w:rStyle w:val="FootnoteReference"/>
        </w:rPr>
        <w:footnoteReference w:id="23"/>
      </w:r>
      <w:r>
        <w:t xml:space="preserve"> </w:t>
      </w:r>
      <w:r>
        <w:t xml:space="preserve">Microsoft is not balking at the cost of intelligence. Microsoft is refusing to let a competitor own the meter on a workflow Microsoft intends to own itself.</w:t>
      </w:r>
    </w:p>
    <w:p>
      <w:pPr>
        <w:pStyle w:val="BodyText"/>
      </w:pPr>
      <w:r>
        <w:t xml:space="preserve">Total surplus, after substituting the worker’s incentive response, is</w:t>
      </w:r>
    </w:p>
    <w:p>
      <w:pPr>
        <w:pStyle w:val="BodyText"/>
      </w:pPr>
      <m:oMathPara>
        <m:oMathParaPr>
          <m:jc m:val="center"/>
        </m:oMathParaPr>
        <m:oMath>
          <m:r>
            <m:t>S</m:t>
          </m:r>
          <m:r>
            <m:rPr>
              <m:sty m:val="p"/>
            </m:rPr>
            <m:t>(</m:t>
          </m:r>
          <m:sSub>
            <m:e>
              <m:r>
                <m:t>σ</m:t>
              </m:r>
            </m:e>
            <m:sub>
              <m:r>
                <m:t>v</m:t>
              </m:r>
            </m:sub>
          </m:sSub>
          <m:r>
            <m:rPr>
              <m:sty m:val="p"/>
            </m:rPr>
            <m:t>)</m:t>
          </m:r>
          <m:r>
            <m:rPr>
              <m:sty m:val="p"/>
            </m:rPr>
            <m:t>=</m:t>
          </m:r>
          <m:f>
            <m:fPr>
              <m:type m:val="bar"/>
            </m:fPr>
            <m:num>
              <m:sSup>
                <m:e>
                  <m:r>
                    <m:t>v</m:t>
                  </m:r>
                </m:e>
                <m:sup>
                  <m:r>
                    <m:t>2</m:t>
                  </m:r>
                </m:sup>
              </m:sSup>
            </m:num>
            <m:den>
              <m:r>
                <m:t>2</m:t>
              </m:r>
              <m:r>
                <m:t>α</m:t>
              </m:r>
            </m:den>
          </m:f>
          <m:r>
            <m:rPr>
              <m:sty m:val="p"/>
            </m:rPr>
            <m:t>⋅</m:t>
          </m:r>
          <m:f>
            <m:fPr>
              <m:type m:val="bar"/>
            </m:fPr>
            <m:num>
              <m:r>
                <m:t>1</m:t>
              </m:r>
              <m:r>
                <m:rPr>
                  <m:sty m:val="p"/>
                </m:rPr>
                <m:t>+</m:t>
              </m:r>
              <m:r>
                <m:t>2</m:t>
              </m:r>
              <m:r>
                <m:t>α</m:t>
              </m:r>
              <m:r>
                <m:t>r</m:t>
              </m:r>
              <m:sSubSup>
                <m:e>
                  <m:r>
                    <m:t>σ</m:t>
                  </m:r>
                </m:e>
                <m:sub>
                  <m:r>
                    <m:t>v</m:t>
                  </m:r>
                </m:sub>
                <m:sup>
                  <m:r>
                    <m:t>2</m:t>
                  </m:r>
                </m:sup>
              </m:sSubSup>
            </m:num>
            <m:den>
              <m:r>
                <m:rPr>
                  <m:sty m:val="p"/>
                </m:rPr>
                <m:t>(</m:t>
              </m:r>
              <m:r>
                <m:t>1</m:t>
              </m:r>
              <m:r>
                <m:rPr>
                  <m:sty m:val="p"/>
                </m:rPr>
                <m:t>+</m:t>
              </m:r>
              <m:r>
                <m:t>α</m:t>
              </m:r>
              <m:r>
                <m:t>r</m:t>
              </m:r>
              <m:sSubSup>
                <m:e>
                  <m:r>
                    <m:t>σ</m:t>
                  </m:r>
                </m:e>
                <m:sub>
                  <m:r>
                    <m:t>v</m:t>
                  </m:r>
                </m:sub>
                <m:sup>
                  <m:r>
                    <m:t>2</m:t>
                  </m:r>
                </m:sup>
              </m:sSubSup>
              <m:sSup>
                <m:e>
                  <m:r>
                    <m:rPr>
                      <m:sty m:val="p"/>
                    </m:rPr>
                    <m:t>)</m:t>
                  </m:r>
                </m:e>
                <m:sup>
                  <m:r>
                    <m:t>2</m:t>
                  </m:r>
                </m:sup>
              </m:sSup>
            </m:den>
          </m:f>
        </m:oMath>
      </m:oMathPara>
    </w:p>
    <w:p>
      <w:pPr>
        <w:pStyle w:val="FirstParagraph"/>
      </w:pPr>
      <w:r>
        <w:t xml:space="preserve">which decreases monotonically in</w:t>
      </w:r>
      <w:r>
        <w:t xml:space="preserve"> </w:t>
      </w:r>
      <m:oMath>
        <m:sSub>
          <m:e>
            <m:r>
              <m:t>σ</m:t>
            </m:r>
          </m:e>
          <m:sub>
            <m:r>
              <m:t>v</m:t>
            </m:r>
          </m:sub>
        </m:sSub>
      </m:oMath>
      <w:r>
        <w:t xml:space="preserve">. At zero verifier noise, surplus hits the unconstrained first-best. As</w:t>
      </w:r>
      <w:r>
        <w:t xml:space="preserve"> </w:t>
      </w:r>
      <m:oMath>
        <m:sSub>
          <m:e>
            <m:r>
              <m:t>σ</m:t>
            </m:r>
          </m:e>
          <m:sub>
            <m:r>
              <m:t>v</m:t>
            </m:r>
          </m:sub>
        </m:sSub>
      </m:oMath>
      <w:r>
        <w:t xml:space="preserve"> </w:t>
      </w:r>
      <w:r>
        <w:t xml:space="preserve">grows, surplus and effort both go to zero.</w:t>
      </w:r>
    </w:p>
    <w:p>
      <w:pPr>
        <w:pStyle w:val="BodyText"/>
      </w:pPr>
      <w:r>
        <w:t xml:space="preserve">Map every kind of work onto two axes — the K-complexity of the task and the K-complexity of its verifier — and the labor-market geometry of the whole AI cycle resolves into one diagram.</w:t>
      </w:r>
    </w:p>
    <w:p>
      <w:pPr>
        <w:pStyle w:val="SourceCode"/>
      </w:pPr>
      <w:r>
        <w:rPr>
          <w:rStyle w:val="VerbatimChar"/>
        </w:rPr>
        <w:t xml:space="preserve">quadrantChart</w:t>
      </w:r>
      <w:r>
        <w:br/>
      </w:r>
      <w:r>
        <w:rPr>
          <w:rStyle w:val="VerbatimChar"/>
        </w:rPr>
        <w:t xml:space="preserve">    title Task K vs Verifier K</w:t>
      </w:r>
      <w:r>
        <w:br/>
      </w:r>
      <w:r>
        <w:rPr>
          <w:rStyle w:val="VerbatimChar"/>
        </w:rPr>
        <w:t xml:space="preserve">    x-axis "Low task K" --&gt; "High task K"</w:t>
      </w:r>
      <w:r>
        <w:br/>
      </w:r>
      <w:r>
        <w:rPr>
          <w:rStyle w:val="VerbatimChar"/>
        </w:rPr>
        <w:t xml:space="preserve">    y-axis "Low verifier K" --&gt; "High verifier K"</w:t>
      </w:r>
      <w:r>
        <w:br/>
      </w:r>
      <w:r>
        <w:rPr>
          <w:rStyle w:val="VerbatimChar"/>
        </w:rPr>
        <w:t xml:space="preserve">    quadrant-1 "Senior craft (both expensive)"</w:t>
      </w:r>
      <w:r>
        <w:br/>
      </w:r>
      <w:r>
        <w:rPr>
          <w:rStyle w:val="VerbatimChar"/>
        </w:rPr>
        <w:t xml:space="preserve">    quadrant-2 "Human verifier dominates"</w:t>
      </w:r>
      <w:r>
        <w:br/>
      </w:r>
      <w:r>
        <w:rPr>
          <w:rStyle w:val="VerbatimChar"/>
        </w:rPr>
        <w:t xml:space="preserve">    quadrant-3 "Fully commoditised"</w:t>
      </w:r>
      <w:r>
        <w:br/>
      </w:r>
      <w:r>
        <w:rPr>
          <w:rStyle w:val="VerbatimChar"/>
        </w:rPr>
        <w:t xml:space="preserve">    quadrant-4 "Hard work, software-checkable"</w:t>
      </w:r>
      <w:r>
        <w:br/>
      </w:r>
      <w:r>
        <w:rPr>
          <w:rStyle w:val="VerbatimChar"/>
        </w:rPr>
        <w:t xml:space="preserve">    "Syntax check": [0.10, 0.05]</w:t>
      </w:r>
      <w:r>
        <w:br/>
      </w:r>
      <w:r>
        <w:rPr>
          <w:rStyle w:val="VerbatimChar"/>
        </w:rPr>
        <w:t xml:space="preserve">    "Unit-test pass": [0.22, 0.07]</w:t>
      </w:r>
      <w:r>
        <w:br/>
      </w:r>
      <w:r>
        <w:rPr>
          <w:rStyle w:val="VerbatimChar"/>
        </w:rPr>
        <w:t xml:space="preserve">    "Tax line-item": [0.20, 0.16]</w:t>
      </w:r>
      <w:r>
        <w:br/>
      </w:r>
      <w:r>
        <w:rPr>
          <w:rStyle w:val="VerbatimChar"/>
        </w:rPr>
        <w:t xml:space="preserve">    "Compiler-checked refactor": [0.60, 0.12]</w:t>
      </w:r>
      <w:r>
        <w:br/>
      </w:r>
      <w:r>
        <w:rPr>
          <w:rStyle w:val="VerbatimChar"/>
        </w:rPr>
        <w:t xml:space="preserve">    "Theorem proof": [0.85, 0.10]</w:t>
      </w:r>
      <w:r>
        <w:br/>
      </w:r>
      <w:r>
        <w:rPr>
          <w:rStyle w:val="VerbatimChar"/>
        </w:rPr>
        <w:t xml:space="preserve">    "Pediatric intake": [0.18, 0.78]</w:t>
      </w:r>
      <w:r>
        <w:br/>
      </w:r>
      <w:r>
        <w:rPr>
          <w:rStyle w:val="VerbatimChar"/>
        </w:rPr>
        <w:t xml:space="preserve">    "Tier-1 sales reply": [0.28, 0.62]</w:t>
      </w:r>
      <w:r>
        <w:br/>
      </w:r>
      <w:r>
        <w:rPr>
          <w:rStyle w:val="VerbatimChar"/>
        </w:rPr>
        <w:t xml:space="preserve">    "Customer support ticket": [0.22, 0.55]</w:t>
      </w:r>
      <w:r>
        <w:br/>
      </w:r>
      <w:r>
        <w:rPr>
          <w:rStyle w:val="VerbatimChar"/>
        </w:rPr>
        <w:t xml:space="preserve">    "Insurance claim adjudication": [0.45, 0.70]</w:t>
      </w:r>
      <w:r>
        <w:br/>
      </w:r>
      <w:r>
        <w:rPr>
          <w:rStyle w:val="VerbatimChar"/>
        </w:rPr>
        <w:t xml:space="preserve">    "Legal brief": [0.70, 0.88]</w:t>
      </w:r>
      <w:r>
        <w:br/>
      </w:r>
      <w:r>
        <w:rPr>
          <w:rStyle w:val="VerbatimChar"/>
        </w:rPr>
        <w:t xml:space="preserve">    "Investment memo": [0.78, 0.92]</w:t>
      </w:r>
      <w:r>
        <w:br/>
      </w:r>
      <w:r>
        <w:rPr>
          <w:rStyle w:val="VerbatimChar"/>
        </w:rPr>
        <w:t xml:space="preserve">    "Surgery": [0.85, 0.78]</w:t>
      </w:r>
      <w:r>
        <w:br/>
      </w:r>
      <w:r>
        <w:rPr>
          <w:rStyle w:val="VerbatimChar"/>
        </w:rPr>
        <w:t xml:space="preserve">    "M&amp;A advisory": [0.92, 0.96]</w:t>
      </w:r>
    </w:p>
    <w:p>
      <w:pPr>
        <w:pStyle w:val="FirstParagraph"/>
      </w:pPr>
      <w:r>
        <w:t xml:space="preserve">The lower-left quadrant is already commoditized. Both work and check are short programs, and there is no rent here because the same compressibility that lets one model do it lets the next do it cheaper.</w:t>
      </w:r>
    </w:p>
    <w:p>
      <w:pPr>
        <w:pStyle w:val="BodyText"/>
      </w:pPr>
      <w:r>
        <w:t xml:space="preserve">The lower-right is the compiler regime. The work is hard, the check is cheap. AI agents eat hardest and fastest here. Code. Formal mathematics. Schema-deterministic compliance. Pieces of tax preparation. The rent flips to whoever owns the compute and the indemnity, and the credentialed human in the domain has years, not decades. The</w:t>
      </w:r>
      <w:r>
        <w:t xml:space="preserve"> </w:t>
      </w:r>
      <w:r>
        <w:t xml:space="preserve">“AI replaces humans”</w:t>
      </w:r>
      <w:r>
        <w:t xml:space="preserve"> </w:t>
      </w:r>
      <w:r>
        <w:t xml:space="preserve">headline is empirically clean in exactly this quadrant. Everyone uses code as the proof that AI replaces humans. What code actually proves is that AI replaces humans wherever a productizable verifier exists. Those two claims keep getting confused for each other, and the confusion is where most of the bad capital allocation of the past three years has happened.</w:t>
      </w:r>
    </w:p>
    <w:p>
      <w:pPr>
        <w:pStyle w:val="BodyText"/>
      </w:pPr>
      <w:r>
        <w:t xml:space="preserve">The upper-left is where most of the political weight lives. The work is small — a model does it in fifty milliseconds — but no third party can run the verifier at competitive noise. Only the credentialed human can. Pediatric intake. Tier-one sales reply that decides whether to escalate. The bulk of mid-tier customer service. The human survives in this quadrant not because she is smarter than the model but because she is the cheapest source of verification signal on her domain.</w:t>
      </w:r>
    </w:p>
    <w:p>
      <w:pPr>
        <w:pStyle w:val="BodyText"/>
      </w:pPr>
      <w:r>
        <w:t xml:space="preserve">The upper-right is senior craft. Surgery, M&amp;A advisory, regulatory strategy, architecture for buildings that have to stand a century. Both work and check are hard. The rent here is large and stable, and AI helps with the lower-K components of the workday without displacing the role.</w:t>
      </w:r>
    </w:p>
    <w:p>
      <w:pPr>
        <w:pStyle w:val="BodyText"/>
      </w:pPr>
      <w:r>
        <w:t xml:space="preserve">The labor-market implication is in the geometry. AI is not erasing a column or row of the workforce. It is stripping the lower-K components of every workday and concentrating the remaining day on the higher-K parts. The role whose function was to assemble inputs for someone else’s signature — the analyst, the coordinator, the entry-level associate — disappears from every quadrant simultaneously. The role that bears the signature does not. The political analysis of AI and jobs has been sighting the wrong tier of the workforce.</w:t>
      </w:r>
    </w:p>
    <w:p>
      <w:pPr>
        <w:pStyle w:val="BodyText"/>
      </w:pPr>
      <w:r>
        <w:t xml:space="preserve">The application companies that win this picture own enough of the verifier substrate to capture the workflow. Halter’s collar on the cow. Waymo’s sensors on the road. Abridge in the medical encounter. The substrate produces the verification signal natively, the model processes it, the human inside the customer’s firm signs. These companies are not selling AI; they are selling a verifier with AI inside it.</w:t>
      </w:r>
    </w:p>
    <w:p>
      <w:r>
        <w:pict>
          <v:rect style="width:0;height:1.5pt" o:hralign="center" o:hrstd="t" o:hr="t"/>
        </w:pict>
      </w:r>
    </w:p>
    <w:bookmarkEnd w:id="24"/>
    <w:bookmarkStart w:id="29" w:name="v.-the-counter-move"/>
    <w:p>
      <w:pPr>
        <w:pStyle w:val="Heading2"/>
      </w:pPr>
      <w:r>
        <w:t xml:space="preserve">V. The counter-move</w:t>
      </w:r>
    </w:p>
    <w:p>
      <w:pPr>
        <w:pStyle w:val="FirstParagraph"/>
      </w:pPr>
      <w:r>
        <w:t xml:space="preserve">A clean counter-move has appeared this year, and it is worth taking seriously because the diagnosis underneath it is correct. It runs roughly as follows.</w:t>
      </w:r>
      <w:r>
        <w:rPr>
          <w:rStyle w:val="FootnoteReference"/>
        </w:rPr>
        <w:footnoteReference w:id="25"/>
      </w:r>
    </w:p>
    <w:p>
      <w:pPr>
        <w:pStyle w:val="BodyText"/>
      </w:pPr>
      <w:r>
        <w:t xml:space="preserve">Coding is so cheap that we no longer have to plan correctly. Generate a population of variations for every logical change. Ship them all to production concurrently. Define fitness functions that measure what good looks like. Let the fitness functions select the survivors. Merge winners back to a now-symbolic main branch. The branching scheme is ten times denser, production looks like a multiverse, and humans shift from pushing software at users to pulling it toward business outcomes by authoring the fitness functions.</w:t>
      </w:r>
    </w:p>
    <w:p>
      <w:pPr>
        <w:pStyle w:val="BodyText"/>
      </w:pPr>
      <w:r>
        <w:t xml:space="preserve">The diagnosis — that the bottleneck has moved up the stack and is no longer coding — is right. AlphaEvolve, the DeepMind project, broke a record for 4×4 complex matrix multiplication that had stood since 1969 by running exactly this evolutionary loop on a frontier model.</w:t>
      </w:r>
      <w:r>
        <w:rPr>
          <w:rStyle w:val="FootnoteReference"/>
        </w:rPr>
        <w:footnoteReference w:id="26"/>
      </w:r>
      <w:r>
        <w:t xml:space="preserve"> </w:t>
      </w:r>
      <w:r>
        <w:t xml:space="preserve">Forty-eight scalar multiplications instead of Strassen’s forty-nine. Fifteen other matrix-multiplication algorithms improved by the same scaffold. The mechanism works.</w:t>
      </w:r>
    </w:p>
    <w:p>
      <w:pPr>
        <w:pStyle w:val="BodyText"/>
      </w:pPr>
      <w:r>
        <w:t xml:space="preserve">The question is where it works, and the answer is the same answer as the previous section. AlphaEvolve runs because matrix multiplication has a deterministic fitness function. A few lines of code suffice to check whether a candidate algorithm computes the product correctly in</w:t>
      </w:r>
      <w:r>
        <w:t xml:space="preserve"> </w:t>
      </w:r>
      <m:oMath>
        <m:r>
          <m:t>N</m:t>
        </m:r>
      </m:oMath>
      <w:r>
        <w:t xml:space="preserve"> </w:t>
      </w:r>
      <w:r>
        <w:t xml:space="preserve">multiplications. The fitness function is the verifier, and the verifier is cheap because the domain is the kind of domain where verifiers are cheap.</w:t>
      </w:r>
    </w:p>
    <w:p>
      <w:pPr>
        <w:pStyle w:val="BodyText"/>
      </w:pPr>
      <w:r>
        <w:t xml:space="preserve">Outside the compiler regime, fitness functions are not cheap to author. They are the substance of the judgment, not a check on it. A fitness function for</w:t>
      </w:r>
      <w:r>
        <w:t xml:space="preserve"> </w:t>
      </w:r>
      <w:r>
        <w:t xml:space="preserve">“is this contract well-drafted?”</w:t>
      </w:r>
      <w:r>
        <w:t xml:space="preserve"> </w:t>
      </w:r>
      <w:r>
        <w:t xml:space="preserve">requires the same information set as the partner’s review — same tacit knowledge, same</w:t>
      </w:r>
      <w:r>
        <w:t xml:space="preserve"> </w:t>
      </w:r>
      <m:oMath>
        <m:r>
          <m:t>K</m:t>
        </m:r>
        <m:r>
          <m:rPr>
            <m:sty m:val="p"/>
          </m:rPr>
          <m:t>(</m:t>
        </m:r>
        <m:r>
          <m:rPr>
            <m:nor/>
            <m:sty m:val="p"/>
          </m:rPr>
          <m:t>verify</m:t>
        </m:r>
        <m:r>
          <m:rPr>
            <m:sty m:val="p"/>
          </m:rPr>
          <m:t>)</m:t>
        </m:r>
      </m:oMath>
      <w:r>
        <w:t xml:space="preserve">, same wage. A fitness function for</w:t>
      </w:r>
      <w:r>
        <w:t xml:space="preserve"> </w:t>
      </w:r>
      <w:r>
        <w:t xml:space="preserve">“is this customer-support reply correct?”</w:t>
      </w:r>
      <w:r>
        <w:t xml:space="preserve"> </w:t>
      </w:r>
      <w:r>
        <w:t xml:space="preserve">needs the same situational read as the senior CSM who would otherwise approve it. The evolutionary paradigm does not eliminate the verifier problem. It relocates the binding constraint from coding-speed to fitness-function-authorship. The fitness function and the verifier are the same object wearing different clothes.</w:t>
      </w:r>
    </w:p>
    <w:p>
      <w:pPr>
        <w:pStyle w:val="BodyText"/>
      </w:pPr>
      <w:r>
        <w:t xml:space="preserve">The math gives the same result the moral-hazard model gave one section ago. Variation generation produces</w:t>
      </w:r>
      <w:r>
        <w:t xml:space="preserve"> </w:t>
      </w:r>
      <m:oMath>
        <m:r>
          <m:t>N</m:t>
        </m:r>
      </m:oMath>
      <w:r>
        <w:t xml:space="preserve"> </w:t>
      </w:r>
      <w:r>
        <w:t xml:space="preserve">independent attempts with true quality</w:t>
      </w:r>
      <w:r>
        <w:t xml:space="preserve"> </w:t>
      </w:r>
      <m:oMath>
        <m:sSub>
          <m:e>
            <m:r>
              <m:t>q</m:t>
            </m:r>
          </m:e>
          <m:sub>
            <m:r>
              <m:t>i</m:t>
            </m:r>
          </m:sub>
        </m:sSub>
        <m:r>
          <m:rPr>
            <m:sty m:val="p"/>
          </m:rPr>
          <m:t>∼</m:t>
        </m:r>
        <m:r>
          <m:rPr>
            <m:scr m:val="script"/>
            <m:sty m:val="p"/>
          </m:rPr>
          <m:t>N</m:t>
        </m:r>
        <m:r>
          <m:rPr>
            <m:sty m:val="p"/>
          </m:rPr>
          <m:t>(</m:t>
        </m:r>
        <m:r>
          <m:t>0</m:t>
        </m:r>
        <m:r>
          <m:rPr>
            <m:sty m:val="p"/>
          </m:rPr>
          <m:t>,</m:t>
        </m:r>
        <m:sSubSup>
          <m:e>
            <m:r>
              <m:t>σ</m:t>
            </m:r>
          </m:e>
          <m:sub>
            <m:r>
              <m:t>q</m:t>
            </m:r>
          </m:sub>
          <m:sup>
            <m:r>
              <m:t>2</m:t>
            </m:r>
          </m:sup>
        </m:sSubSup>
        <m:r>
          <m:rPr>
            <m:sty m:val="p"/>
          </m:rPr>
          <m:t>)</m:t>
        </m:r>
      </m:oMath>
      <w:r>
        <w:t xml:space="preserve">. The fitness function returns a noisy signal</w:t>
      </w:r>
      <w:r>
        <w:t xml:space="preserve"> </w:t>
      </w:r>
      <m:oMath>
        <m:sSub>
          <m:e>
            <m:r>
              <m:t>f</m:t>
            </m:r>
          </m:e>
          <m:sub>
            <m:r>
              <m:t>i</m:t>
            </m:r>
          </m:sub>
        </m:sSub>
        <m:r>
          <m:rPr>
            <m:sty m:val="p"/>
          </m:rPr>
          <m:t>=</m:t>
        </m:r>
        <m:sSub>
          <m:e>
            <m:r>
              <m:t>q</m:t>
            </m:r>
          </m:e>
          <m:sub>
            <m:r>
              <m:t>i</m:t>
            </m:r>
          </m:sub>
        </m:sSub>
        <m:r>
          <m:rPr>
            <m:sty m:val="p"/>
          </m:rPr>
          <m:t>+</m:t>
        </m:r>
        <m:sSub>
          <m:e>
            <m:r>
              <m:t>ϵ</m:t>
            </m:r>
          </m:e>
          <m:sub>
            <m:r>
              <m:t>i</m:t>
            </m:r>
          </m:sub>
        </m:sSub>
      </m:oMath>
      <w:r>
        <w:t xml:space="preserve"> </w:t>
      </w:r>
      <w:r>
        <w:t xml:space="preserve">with</w:t>
      </w:r>
      <w:r>
        <w:t xml:space="preserve"> </w:t>
      </w:r>
      <m:oMath>
        <m:sSub>
          <m:e>
            <m:r>
              <m:t>ϵ</m:t>
            </m:r>
          </m:e>
          <m:sub>
            <m:r>
              <m:t>i</m:t>
            </m:r>
          </m:sub>
        </m:sSub>
        <m:r>
          <m:rPr>
            <m:sty m:val="p"/>
          </m:rPr>
          <m:t>∼</m:t>
        </m:r>
        <m:r>
          <m:rPr>
            <m:scr m:val="script"/>
            <m:sty m:val="p"/>
          </m:rPr>
          <m:t>N</m:t>
        </m:r>
        <m:r>
          <m:rPr>
            <m:sty m:val="p"/>
          </m:rPr>
          <m:t>(</m:t>
        </m:r>
        <m:r>
          <m:t>0</m:t>
        </m:r>
        <m:r>
          <m:rPr>
            <m:sty m:val="p"/>
          </m:rPr>
          <m:t>,</m:t>
        </m:r>
        <m:sSubSup>
          <m:e>
            <m:r>
              <m:t>σ</m:t>
            </m:r>
          </m:e>
          <m:sub>
            <m:r>
              <m:t>f</m:t>
            </m:r>
          </m:sub>
          <m:sup>
            <m:r>
              <m:t>2</m:t>
            </m:r>
          </m:sup>
        </m:sSubSup>
        <m:r>
          <m:rPr>
            <m:sty m:val="p"/>
          </m:rPr>
          <m:t>)</m:t>
        </m:r>
      </m:oMath>
      <w:r>
        <w:t xml:space="preserve">. The orchestrator selects the variation with the highest</w:t>
      </w:r>
      <w:r>
        <w:t xml:space="preserve"> </w:t>
      </w:r>
      <m:oMath>
        <m:sSub>
          <m:e>
            <m:r>
              <m:t>f</m:t>
            </m:r>
          </m:e>
          <m:sub>
            <m:r>
              <m:t>i</m:t>
            </m:r>
          </m:sub>
        </m:sSub>
      </m:oMath>
      <w:r>
        <w:t xml:space="preserve">. After the order-statistics calculation,</w:t>
      </w:r>
    </w:p>
    <w:p>
      <w:pPr>
        <w:pStyle w:val="BodyText"/>
      </w:pPr>
      <m:oMathPara>
        <m:oMathParaPr>
          <m:jc m:val="center"/>
        </m:oMathParaPr>
        <m:oMath>
          <m:r>
            <m:rPr>
              <m:scr m:val="double-struck"/>
              <m:sty m:val="p"/>
            </m:rPr>
            <m:t>E</m:t>
          </m:r>
          <m:r>
            <m:rPr>
              <m:sty m:val="p"/>
            </m:rPr>
            <m:t>[</m:t>
          </m:r>
          <m:sSub>
            <m:e>
              <m:r>
                <m:t>q</m:t>
              </m:r>
            </m:e>
            <m:sub>
              <m:sSup>
                <m:e>
                  <m:r>
                    <m:t>i</m:t>
                  </m:r>
                </m:e>
                <m:sup>
                  <m:r>
                    <m:rPr>
                      <m:sty m:val="p"/>
                    </m:rPr>
                    <m:t>*</m:t>
                  </m:r>
                </m:sup>
              </m:sSup>
            </m:sub>
          </m:sSub>
          <m:r>
            <m:rPr>
              <m:sty m:val="p"/>
            </m:rPr>
            <m:t>]</m:t>
          </m:r>
          <m:r>
            <m:rPr>
              <m:sty m:val="p"/>
            </m:rPr>
            <m:t>=</m:t>
          </m:r>
          <m:f>
            <m:fPr>
              <m:type m:val="bar"/>
            </m:fPr>
            <m:num>
              <m:sSubSup>
                <m:e>
                  <m:r>
                    <m:t>σ</m:t>
                  </m:r>
                </m:e>
                <m:sub>
                  <m:r>
                    <m:t>q</m:t>
                  </m:r>
                </m:sub>
                <m:sup>
                  <m:r>
                    <m:t>2</m:t>
                  </m:r>
                </m:sup>
              </m:sSubSup>
            </m:num>
            <m:den>
              <m:rad>
                <m:radPr>
                  <m:degHide m:val="on"/>
                </m:radPr>
                <m:deg/>
                <m:e>
                  <m:sSubSup>
                    <m:e>
                      <m:r>
                        <m:t>σ</m:t>
                      </m:r>
                    </m:e>
                    <m:sub>
                      <m:r>
                        <m:t>q</m:t>
                      </m:r>
                    </m:sub>
                    <m:sup>
                      <m:r>
                        <m:t>2</m:t>
                      </m:r>
                    </m:sup>
                  </m:sSubSup>
                  <m:r>
                    <m:rPr>
                      <m:sty m:val="p"/>
                    </m:rPr>
                    <m:t>+</m:t>
                  </m:r>
                  <m:sSubSup>
                    <m:e>
                      <m:r>
                        <m:t>σ</m:t>
                      </m:r>
                    </m:e>
                    <m:sub>
                      <m:r>
                        <m:t>f</m:t>
                      </m:r>
                    </m:sub>
                    <m:sup>
                      <m:r>
                        <m:t>2</m:t>
                      </m:r>
                    </m:sup>
                  </m:sSubSup>
                </m:e>
              </m:rad>
            </m:den>
          </m:f>
          <m:r>
            <m:rPr>
              <m:sty m:val="p"/>
            </m:rPr>
            <m:t>⋅</m:t>
          </m:r>
          <m:sSub>
            <m:e>
              <m:r>
                <m:t>a</m:t>
              </m:r>
            </m:e>
            <m:sub>
              <m:r>
                <m:t>N</m:t>
              </m:r>
            </m:sub>
          </m:sSub>
        </m:oMath>
      </m:oMathPara>
    </w:p>
    <w:p>
      <w:pPr>
        <w:pStyle w:val="FirstParagraph"/>
      </w:pPr>
      <w:r>
        <w:t xml:space="preserve">where</w:t>
      </w:r>
      <w:r>
        <w:t xml:space="preserve"> </w:t>
      </w:r>
      <m:oMath>
        <m:sSub>
          <m:e>
            <m:r>
              <m:t>a</m:t>
            </m:r>
          </m:e>
          <m:sub>
            <m:r>
              <m:t>N</m:t>
            </m:r>
          </m:sub>
        </m:sSub>
      </m:oMath>
      <w:r>
        <w:t xml:space="preserve"> </w:t>
      </w:r>
      <w:r>
        <w:t xml:space="preserve">is the expected maximum of</w:t>
      </w:r>
      <w:r>
        <w:t xml:space="preserve"> </w:t>
      </w:r>
      <m:oMath>
        <m:r>
          <m:t>N</m:t>
        </m:r>
      </m:oMath>
      <w:r>
        <w:t xml:space="preserve"> </w:t>
      </w:r>
      <w:r>
        <w:t xml:space="preserve">standard normals, growing like</w:t>
      </w:r>
      <w:r>
        <w:t xml:space="preserve"> </w:t>
      </w:r>
      <m:oMath>
        <m:rad>
          <m:radPr>
            <m:degHide m:val="on"/>
          </m:radPr>
          <m:deg/>
          <m:e>
            <m:r>
              <m:t>2</m:t>
            </m:r>
            <m:r>
              <m:rPr>
                <m:sty m:val="p"/>
              </m:rPr>
              <m:t>ln</m:t>
            </m:r>
            <m:r>
              <m:t>N</m:t>
            </m:r>
          </m:e>
        </m:rad>
      </m:oMath>
      <w:r>
        <w:t xml:space="preserve"> </w:t>
      </w:r>
      <w:r>
        <w:t xml:space="preserve">for large</w:t>
      </w:r>
      <w:r>
        <w:t xml:space="preserve"> </w:t>
      </w:r>
      <m:oMath>
        <m:r>
          <m:t>N</m:t>
        </m:r>
      </m:oMath>
      <w:r>
        <w:t xml:space="preserve">.</w:t>
      </w:r>
      <w:r>
        <w:rPr>
          <w:rStyle w:val="FootnoteReference"/>
        </w:rPr>
        <w:footnoteReference w:id="28"/>
      </w:r>
    </w:p>
    <w:p>
      <w:pPr>
        <w:pStyle w:val="BodyText"/>
      </w:pPr>
      <w:r>
        <w:t xml:space="preserve">The expression carries the argument. When the fitness function is cheap and accurate (</w:t>
      </w:r>
      <m:oMath>
        <m:sSub>
          <m:e>
            <m:r>
              <m:t>σ</m:t>
            </m:r>
          </m:e>
          <m:sub>
            <m:r>
              <m:t>f</m:t>
            </m:r>
          </m:sub>
        </m:sSub>
        <m:r>
          <m:rPr>
            <m:sty m:val="p"/>
          </m:rPr>
          <m:t>→</m:t>
        </m:r>
        <m:r>
          <m:t>0</m:t>
        </m:r>
      </m:oMath>
      <w:r>
        <w:t xml:space="preserve">), it collapses to</w:t>
      </w:r>
      <w:r>
        <w:t xml:space="preserve"> </w:t>
      </w:r>
      <m:oMath>
        <m:sSub>
          <m:e>
            <m:r>
              <m:t>σ</m:t>
            </m:r>
          </m:e>
          <m:sub>
            <m:r>
              <m:t>q</m:t>
            </m:r>
          </m:sub>
        </m:sSub>
        <m:r>
          <m:rPr>
            <m:sty m:val="p"/>
          </m:rPr>
          <m:t>⋅</m:t>
        </m:r>
        <m:sSub>
          <m:e>
            <m:r>
              <m:t>a</m:t>
            </m:r>
          </m:e>
          <m:sub>
            <m:r>
              <m:t>N</m:t>
            </m:r>
          </m:sub>
        </m:sSub>
      </m:oMath>
      <w:r>
        <w:t xml:space="preserve">. Selection recovers the full extreme-value lift and spending compute on more variations pays. This is the AlphaEvolve regime. When the fitness function is noisy (</w:t>
      </w:r>
      <m:oMath>
        <m:sSub>
          <m:e>
            <m:r>
              <m:t>σ</m:t>
            </m:r>
          </m:e>
          <m:sub>
            <m:r>
              <m:t>f</m:t>
            </m:r>
          </m:sub>
        </m:sSub>
        <m:r>
          <m:rPr>
            <m:sty m:val="p"/>
          </m:rPr>
          <m:t>≈</m:t>
        </m:r>
        <m:sSub>
          <m:e>
            <m:r>
              <m:t>σ</m:t>
            </m:r>
          </m:e>
          <m:sub>
            <m:r>
              <m:t>q</m:t>
            </m:r>
          </m:sub>
        </m:sSub>
      </m:oMath>
      <w:r>
        <w:t xml:space="preserve">), the multiplier becomes</w:t>
      </w:r>
      <w:r>
        <w:t xml:space="preserve"> </w:t>
      </w:r>
      <m:oMath>
        <m:sSub>
          <m:e>
            <m:r>
              <m:t>a</m:t>
            </m:r>
          </m:e>
          <m:sub>
            <m:r>
              <m:t>N</m:t>
            </m:r>
          </m:sub>
        </m:sSub>
        <m:r>
          <m:rPr>
            <m:sty m:val="p"/>
          </m:rPr>
          <m:t>/</m:t>
        </m:r>
        <m:rad>
          <m:radPr>
            <m:degHide m:val="on"/>
          </m:radPr>
          <m:deg/>
          <m:e>
            <m:r>
              <m:t>2</m:t>
            </m:r>
          </m:e>
        </m:rad>
      </m:oMath>
      <w:r>
        <w:t xml:space="preserve">. There is still real lift, but the compute bill has doubled for the same recovered quality. When the fitness function is dominated by noise (</w:t>
      </w:r>
      <m:oMath>
        <m:sSub>
          <m:e>
            <m:r>
              <m:t>σ</m:t>
            </m:r>
          </m:e>
          <m:sub>
            <m:r>
              <m:t>f</m:t>
            </m:r>
          </m:sub>
        </m:sSub>
        <m:r>
          <m:rPr>
            <m:sty m:val="p"/>
          </m:rPr>
          <m:t>≫</m:t>
        </m:r>
        <m:sSub>
          <m:e>
            <m:r>
              <m:t>σ</m:t>
            </m:r>
          </m:e>
          <m:sub>
            <m:r>
              <m:t>q</m:t>
            </m:r>
          </m:sub>
        </m:sSub>
      </m:oMath>
      <w:r>
        <w:t xml:space="preserve">), the expression collapses to</w:t>
      </w:r>
      <w:r>
        <w:t xml:space="preserve"> </w:t>
      </w:r>
      <m:oMath>
        <m:r>
          <m:rPr>
            <m:sty m:val="p"/>
          </m:rPr>
          <m:t>(</m:t>
        </m:r>
        <m:sSubSup>
          <m:e>
            <m:r>
              <m:t>σ</m:t>
            </m:r>
          </m:e>
          <m:sub>
            <m:r>
              <m:t>q</m:t>
            </m:r>
          </m:sub>
          <m:sup>
            <m:r>
              <m:t>2</m:t>
            </m:r>
          </m:sup>
        </m:sSubSup>
        <m:r>
          <m:rPr>
            <m:sty m:val="p"/>
          </m:rPr>
          <m:t>/</m:t>
        </m:r>
        <m:sSub>
          <m:e>
            <m:r>
              <m:t>σ</m:t>
            </m:r>
          </m:e>
          <m:sub>
            <m:r>
              <m:t>f</m:t>
            </m:r>
          </m:sub>
        </m:sSub>
        <m:r>
          <m:rPr>
            <m:sty m:val="p"/>
          </m:rPr>
          <m:t>)</m:t>
        </m:r>
        <m:r>
          <m:rPr>
            <m:sty m:val="p"/>
          </m:rPr>
          <m:t>⋅</m:t>
        </m:r>
        <m:sSub>
          <m:e>
            <m:r>
              <m:t>a</m:t>
            </m:r>
          </m:e>
          <m:sub>
            <m:r>
              <m:t>N</m:t>
            </m:r>
          </m:sub>
        </m:sSub>
      </m:oMath>
      <w:r>
        <w:t xml:space="preserve">, which goes to zero in</w:t>
      </w:r>
      <w:r>
        <w:t xml:space="preserve"> </w:t>
      </w:r>
      <m:oMath>
        <m:sSub>
          <m:e>
            <m:r>
              <m:t>σ</m:t>
            </m:r>
          </m:e>
          <m:sub>
            <m:r>
              <m:t>f</m:t>
            </m:r>
          </m:sub>
        </m:sSub>
      </m:oMath>
      <w:r>
        <w:t xml:space="preserve"> </w:t>
      </w:r>
      <w:r>
        <w:t xml:space="preserve">no matter how large</w:t>
      </w:r>
      <w:r>
        <w:t xml:space="preserve"> </w:t>
      </w:r>
      <m:oMath>
        <m:r>
          <m:t>N</m:t>
        </m:r>
      </m:oMath>
      <w:r>
        <w:t xml:space="preserve"> </w:t>
      </w:r>
      <w:r>
        <w:t xml:space="preserve">gets. A thousand variations recover nothing.</w:t>
      </w:r>
    </w:p>
    <w:p>
      <w:pPr>
        <w:pStyle w:val="BodyText"/>
      </w:pPr>
      <w:r>
        <w:t xml:space="preserve">The</w:t>
      </w:r>
      <w:r>
        <w:t xml:space="preserve"> </w:t>
      </w:r>
      <m:oMath>
        <m:sSub>
          <m:e>
            <m:r>
              <m:t>σ</m:t>
            </m:r>
          </m:e>
          <m:sub>
            <m:r>
              <m:t>f</m:t>
            </m:r>
          </m:sub>
        </m:sSub>
      </m:oMath>
      <w:r>
        <w:t xml:space="preserve"> </w:t>
      </w:r>
      <w:r>
        <w:t xml:space="preserve">in this model and the</w:t>
      </w:r>
      <w:r>
        <w:t xml:space="preserve"> </w:t>
      </w:r>
      <m:oMath>
        <m:sSub>
          <m:e>
            <m:r>
              <m:t>σ</m:t>
            </m:r>
          </m:e>
          <m:sub>
            <m:r>
              <m:t>v</m:t>
            </m:r>
          </m:sub>
        </m:sSub>
      </m:oMath>
      <w:r>
        <w:t xml:space="preserve"> </w:t>
      </w:r>
      <w:r>
        <w:t xml:space="preserve">in the moral-hazard model one section back are the same parameter under two names. The variation generator plays the role of the worker. The orchestrator plays the role of the buyer. The fitness function plays the role of the verifier. Surplus collapses in the verifier’s noise term by the same mechanism in both models, and the algebra is line-for-line equivalent under the substitution.</w:t>
      </w:r>
    </w:p>
    <w:p>
      <w:pPr>
        <w:pStyle w:val="BodyText"/>
      </w:pPr>
      <w:r>
        <w:t xml:space="preserve">The implication for the orchestration-layer business case is sharper than before. Variation generation itself commoditizes. Anthropic and OpenAI will ship native variation-spawn + fitness-eval inside their base coding harness within twelve months of the paradigm getting any market traction. The horizontal evolutionary-orchestrator startup category becomes a feature in a lab release note. What survives is not the variation generator. What survives is the fitness-function library — the company that owns the verifier for a specific vertical and rents its evaluation engine to the firms that need to run their own bake-offs.</w:t>
      </w:r>
    </w:p>
    <w:p>
      <w:pPr>
        <w:pStyle w:val="BodyText"/>
      </w:pPr>
      <w:r>
        <w:t xml:space="preserve">The shape of these businesses is closer to Underwriters Laboratories, the AICPA, or Moody’s than to Snowflake or Datadog. None of those looks like a Silicon Valley exit, and all of them compound for a century. Owning the verifier for a regulated domain is a bureau-of-standards business with software margins layered on top.</w:t>
      </w:r>
    </w:p>
    <w:p>
      <w:r>
        <w:pict>
          <v:rect style="width:0;height:1.5pt" o:hralign="center" o:hrstd="t" o:hr="t"/>
        </w:pict>
      </w:r>
    </w:p>
    <w:bookmarkEnd w:id="29"/>
    <w:bookmarkStart w:id="30" w:name="vi.-where-the-rent-lands"/>
    <w:p>
      <w:pPr>
        <w:pStyle w:val="Heading2"/>
      </w:pPr>
      <w:r>
        <w:t xml:space="preserve">VI. Where the rent lands</w:t>
      </w:r>
    </w:p>
    <w:p>
      <w:pPr>
        <w:pStyle w:val="FirstParagraph"/>
      </w:pPr>
      <w:r>
        <w:t xml:space="preserve">A diagram of the equilibrium implied by the four sections above:</w:t>
      </w:r>
    </w:p>
    <w:p>
      <w:pPr>
        <w:pStyle w:val="SourceCode"/>
      </w:pPr>
      <w:r>
        <w:rPr>
          <w:rStyle w:val="VerbatimChar"/>
        </w:rPr>
        <w:t xml:space="preserve">flowchart TD</w:t>
      </w:r>
      <w:r>
        <w:br/>
      </w:r>
      <w:r>
        <w:rPr>
          <w:rStyle w:val="VerbatimChar"/>
        </w:rPr>
        <w:t xml:space="preserve">    HW["&lt;b&gt;Hardware&lt;/b&gt;&lt;br/&gt;$ / joule&lt;br/&gt;&lt;i&gt;cost pass-through tax&lt;/i&gt;"]</w:t>
      </w:r>
      <w:r>
        <w:br/>
      </w:r>
      <w:r>
        <w:rPr>
          <w:rStyle w:val="VerbatimChar"/>
        </w:rPr>
        <w:t xml:space="preserve">    ML["&lt;b&gt;Foundation labs&lt;/b&gt;&lt;br/&gt;$ / token&lt;br/&gt;&lt;i&gt;Board-Pycia residual&lt;/i&gt;"]</w:t>
      </w:r>
      <w:r>
        <w:br/>
      </w:r>
      <w:r>
        <w:rPr>
          <w:rStyle w:val="VerbatimChar"/>
        </w:rPr>
        <w:t xml:space="preserve">    OR["&lt;b&gt;Orchestration&lt;/b&gt;&lt;br/&gt;$ / agent-run&lt;br/&gt;&lt;i&gt;evaporates, absorbed by labs&lt;/i&gt;"]</w:t>
      </w:r>
      <w:r>
        <w:br/>
      </w:r>
      <w:r>
        <w:rPr>
          <w:rStyle w:val="VerbatimChar"/>
        </w:rPr>
        <w:t xml:space="preserve">    FF["&lt;b&gt;Fitness-function libraries&lt;/b&gt;&lt;br/&gt;$ / verification&lt;br/&gt;&lt;i&gt;new vertical category&lt;/i&gt;"]</w:t>
      </w:r>
      <w:r>
        <w:br/>
      </w:r>
      <w:r>
        <w:rPr>
          <w:rStyle w:val="VerbatimChar"/>
        </w:rPr>
        <w:t xml:space="preserve">    AP["&lt;b&gt;App / cybernetic rollup&lt;/b&gt;&lt;br/&gt;$ / outcome&lt;br/&gt;&lt;i&gt;captures productisable verifiers&lt;/i&gt;"]</w:t>
      </w:r>
      <w:r>
        <w:br/>
      </w:r>
      <w:r>
        <w:rPr>
          <w:rStyle w:val="VerbatimChar"/>
        </w:rPr>
        <w:t xml:space="preserve">    HU["&lt;b&gt;Human at the edge&lt;/b&gt;&lt;br/&gt;$ / signature&lt;br/&gt;&lt;i&gt;captures un-productisable verifiers&lt;/i&gt;"]</w:t>
      </w:r>
      <w:r>
        <w:br/>
      </w:r>
      <w:r>
        <w:rPr>
          <w:rStyle w:val="VerbatimChar"/>
        </w:rPr>
        <w:t xml:space="preserve">    OUT["&lt;b&gt;Output&lt;/b&gt;&lt;br/&gt;&lt;i&gt;signed, indemnified, accepted&lt;/i&gt;"]</w:t>
      </w:r>
      <w:r>
        <w:br/>
      </w:r>
      <w:r>
        <w:br/>
      </w:r>
      <w:r>
        <w:rPr>
          <w:rStyle w:val="VerbatimChar"/>
        </w:rPr>
        <w:t xml:space="preserve">    HW --&gt;|commoditises| ML</w:t>
      </w:r>
      <w:r>
        <w:br/>
      </w:r>
      <w:r>
        <w:rPr>
          <w:rStyle w:val="VerbatimChar"/>
        </w:rPr>
        <w:t xml:space="preserve">    ML --&gt;|commoditises| OR</w:t>
      </w:r>
      <w:r>
        <w:br/>
      </w:r>
      <w:r>
        <w:rPr>
          <w:rStyle w:val="VerbatimChar"/>
        </w:rPr>
        <w:t xml:space="preserve">    OR -.-&gt;|absorbed| ML</w:t>
      </w:r>
      <w:r>
        <w:br/>
      </w:r>
      <w:r>
        <w:rPr>
          <w:rStyle w:val="VerbatimChar"/>
        </w:rPr>
        <w:t xml:space="preserve">    ML --&gt;|commoditises variation generation| FF</w:t>
      </w:r>
      <w:r>
        <w:br/>
      </w:r>
      <w:r>
        <w:rPr>
          <w:rStyle w:val="VerbatimChar"/>
        </w:rPr>
        <w:t xml:space="preserve">    FF --&gt;|verifies| AP</w:t>
      </w:r>
      <w:r>
        <w:br/>
      </w:r>
      <w:r>
        <w:rPr>
          <w:rStyle w:val="VerbatimChar"/>
        </w:rPr>
        <w:t xml:space="preserve">    AP -.-&gt;|tries to commoditise verifier where K-verifier high; fails| HU</w:t>
      </w:r>
      <w:r>
        <w:br/>
      </w:r>
      <w:r>
        <w:rPr>
          <w:rStyle w:val="VerbatimChar"/>
        </w:rPr>
        <w:t xml:space="preserve">    HU --&gt;|signs| OUT</w:t>
      </w:r>
      <w:r>
        <w:br/>
      </w:r>
      <w:r>
        <w:br/>
      </w:r>
      <w:r>
        <w:rPr>
          <w:rStyle w:val="VerbatimChar"/>
        </w:rPr>
        <w:t xml:space="preserve">    style HW fill:#fce4d6,stroke:#aa6622</w:t>
      </w:r>
      <w:r>
        <w:br/>
      </w:r>
      <w:r>
        <w:rPr>
          <w:rStyle w:val="VerbatimChar"/>
        </w:rPr>
        <w:t xml:space="preserve">    style ML fill:#fff2cc,stroke:#aa8822</w:t>
      </w:r>
      <w:r>
        <w:br/>
      </w:r>
      <w:r>
        <w:rPr>
          <w:rStyle w:val="VerbatimChar"/>
        </w:rPr>
        <w:t xml:space="preserve">    style OR fill:#f0f0f0,stroke:#999999</w:t>
      </w:r>
      <w:r>
        <w:br/>
      </w:r>
      <w:r>
        <w:rPr>
          <w:rStyle w:val="VerbatimChar"/>
        </w:rPr>
        <w:t xml:space="preserve">    style FF fill:#e2efda,stroke:#226622</w:t>
      </w:r>
      <w:r>
        <w:br/>
      </w:r>
      <w:r>
        <w:rPr>
          <w:rStyle w:val="VerbatimChar"/>
        </w:rPr>
        <w:t xml:space="preserve">    style AP fill:#e2efda,stroke:#226622</w:t>
      </w:r>
      <w:r>
        <w:br/>
      </w:r>
      <w:r>
        <w:rPr>
          <w:rStyle w:val="VerbatimChar"/>
        </w:rPr>
        <w:t xml:space="preserve">    style HU fill:#cfe2f3,stroke:#1f4e79</w:t>
      </w:r>
      <w:r>
        <w:br/>
      </w:r>
      <w:r>
        <w:rPr>
          <w:rStyle w:val="VerbatimChar"/>
        </w:rPr>
        <w:t xml:space="preserve">    style OUT fill:#dee6f7,stroke:#22336b</w:t>
      </w:r>
    </w:p>
    <w:p>
      <w:pPr>
        <w:pStyle w:val="FirstParagraph"/>
      </w:pPr>
      <w:r>
        <w:t xml:space="preserve">Hardware (TSMC, NVIDIA, the utilities backing hyperscaler power agreements) takes a cost-pass-through tax scaled to total inference. The tax compounds in absolute dollars and caps in margin. Infrastructure economics. The most under-priced stable trade of the cycle.</w:t>
      </w:r>
    </w:p>
    <w:p>
      <w:pPr>
        <w:pStyle w:val="BodyText"/>
      </w:pPr>
      <w:r>
        <w:t xml:space="preserve">Foundation labs serve the inelastic right tail of demand at Board-Pycia margins on a customer base that selection-effects down to the inelastic. Three serious players survive in something like their current form. OpenAI is the only credible consumer-class franchise because consumers verify themselves — a chatbot user evaluates the reply directly, no third party needed. Anthropic and Google end up as enterprise inference wholesalers with vertical-integration adventures in two or three domains each where the loop can be owned end-to-end. Anthropic’s strongest candidate is code, because the compiler exists. None of the three becomes a Microsoft-class business at maturity. The valuations that assume otherwise are pricing the gross margin without pricing the shrinking revenue base.</w:t>
      </w:r>
    </w:p>
    <w:p>
      <w:pPr>
        <w:pStyle w:val="BodyText"/>
      </w:pPr>
      <w:r>
        <w:t xml:space="preserve">The orchestration layer absorbs upward into the labs as a feature. The horizontal agent-platform category dies. Schema-without-signature SaaS gets rejected by the corporate buyer who refuses to populate the schema with anything she would actually be sued over. The orchestrators that survive are eval-as-compliance vendors, audit-trail platforms for regulated industries, closed-loop telemetry products for verticals where the verifier signal is the moat. Useful single-digit-billion businesses, not generation-defining.</w:t>
      </w:r>
    </w:p>
    <w:p>
      <w:pPr>
        <w:pStyle w:val="BodyText"/>
      </w:pPr>
      <w:r>
        <w:t xml:space="preserve">The fitness-function library is the new category the evolutionary paradigm creates. The bureau-of-standards businesses. Claims adjudication. Billing audit. Regulatory affairs. Structured finance underwriting. Clinical guideline adherence. The company that wins each of these owns the fitness function and runs the evolutionary loop inside the customer’s tenancy. The product is not the model. The product is the verifier. The signature on every accepted variation comes from a credentialed human inside the customer’s firm; the orchestrator absorbs the indemnity risk on the long tail of false positives; the moat is the data and case law that calibrate the function over time.</w:t>
      </w:r>
    </w:p>
    <w:p>
      <w:pPr>
        <w:pStyle w:val="BodyText"/>
      </w:pPr>
      <w:r>
        <w:t xml:space="preserve">The application layer wins where the substrate produces the verification signal natively. Halter on cattle. Waymo on roads. Abridge in encounters. These already run evolutionary loops inside their own walls — Waymo ships variations to a simulator, then to a fleet shadow, then to a fraction of paid riders. The substrate is the fitness function. The substrate is also the moat. Outside competitors cannot run the same fitness function because they don’t own the cows or the roads. These businesses look like Visa, not Snowflake. They earn the cash flow that Snowflake’s investors thought they were buying.</w:t>
      </w:r>
    </w:p>
    <w:p>
      <w:pPr>
        <w:pStyle w:val="BodyText"/>
      </w:pPr>
      <w:r>
        <w:t xml:space="preserve">The credentialed human at the edge — physician, attorney, surveyor, structural engineer, underwriter, pilot, surgeon — collects the same rent as before for the same reason as before. She is the cheapest source of verification signal on her domain. Her fitness function is whatever she remembers from a thirty-year career. Productizing it would require productizing the career, which is what licensing is structured to prevent. The wage holds.</w:t>
      </w:r>
    </w:p>
    <w:p>
      <w:pPr>
        <w:pStyle w:val="BodyText"/>
      </w:pPr>
      <w:r>
        <w:t xml:space="preserve">The middle of the labor market loses faster than the headlines say. The role whose function was to assemble inputs for someone else’s signature — junior associate, analyst, coordinator, entry-level operator — was doing pre-verification scut work that a model now does. The evolutionary frame does not change this conclusion. It only renames the role from</w:t>
      </w:r>
      <w:r>
        <w:t xml:space="preserve"> </w:t>
      </w:r>
      <w:r>
        <w:t xml:space="preserve">“junior associate”</w:t>
      </w:r>
      <w:r>
        <w:t xml:space="preserve"> </w:t>
      </w:r>
      <w:r>
        <w:t xml:space="preserve">to</w:t>
      </w:r>
      <w:r>
        <w:t xml:space="preserve"> </w:t>
      </w:r>
      <w:r>
        <w:t xml:space="preserve">“variation generator.”</w:t>
      </w:r>
    </w:p>
    <w:p>
      <w:r>
        <w:pict>
          <v:rect style="width:0;height:1.5pt" o:hralign="center" o:hrstd="t" o:hr="t"/>
        </w:pict>
      </w:r>
    </w:p>
    <w:bookmarkEnd w:id="30"/>
    <w:bookmarkStart w:id="31" w:name="vii.-the-hardest-objection"/>
    <w:p>
      <w:pPr>
        <w:pStyle w:val="Heading2"/>
      </w:pPr>
      <w:r>
        <w:t xml:space="preserve">VII. The hardest objection</w:t>
      </w:r>
    </w:p>
    <w:p>
      <w:pPr>
        <w:pStyle w:val="FirstParagraph"/>
      </w:pPr>
      <w:r>
        <w:t xml:space="preserve">The cleanest counter to all of this is that the fitness function gets productized in some new domain on a shorter timeline than I expect, and the rent in that domain flips to compute in months.</w:t>
      </w:r>
    </w:p>
    <w:p>
      <w:pPr>
        <w:pStyle w:val="BodyText"/>
      </w:pPr>
      <w:r>
        <w:t xml:space="preserve">This will happen. AlphaEvolve already showed an evolutionary loop wrapped around a deterministic oracle can break records that stood for half a century. The pattern transfers anywhere a sufficiently crisp oracle can be written down. My read is that there are two to three dozen mid-sized professional categories in the developed world where the verifier is currently a credentialed human but the underlying standard or guideline could be machine-encoded within five years. Tier-one tax preparation. Commodity-line insurance underwriting. Mortgage origination at the documentary tier. Some narrow clinical workflows where the guideline is unambiguous and the inputs are structured. These categories will see human verifier wages compress sharply once a credible automated fitness function exists, and the companies that build the fitness functions will collect the rent for the decade it takes the productized verifier to itself commoditize into compute.</w:t>
      </w:r>
    </w:p>
    <w:p>
      <w:pPr>
        <w:pStyle w:val="BodyText"/>
      </w:pPr>
      <w:r>
        <w:t xml:space="preserve">The categories that will not see this happen are the ones where the fitness function is the substance of the judgment, not a check on it. Senior litigation strategy. M&amp;A advisory. Surgical decision-making. Investment committee work at any institution that lasts longer than its CEO. In all of these, the function changes every time the question is asked, because the function is the question.</w:t>
      </w:r>
    </w:p>
    <w:p>
      <w:pPr>
        <w:pStyle w:val="BodyText"/>
      </w:pPr>
      <w:r>
        <w:t xml:space="preserve">The second objection is that clone agents will stop being clones. Continual learning, real specialization, distinct posteriors over the world. The orchestration math changes. The verifier-rent math does not, because the signature still binds in domains where no productizable fitness function exists. But the orchestration layer becomes a real business again. That is a post-2028 question. Through the next two years, the picture above holds.</w:t>
      </w:r>
    </w:p>
    <w:p>
      <w:pPr>
        <w:pStyle w:val="BodyText"/>
      </w:pPr>
      <w:r>
        <w:t xml:space="preserve">The third objection is the maximalist one: a discontinuous capability jump re-establishes lab pricing power. Take exposure to that scenario through the equity of the three labs at sober position sizes. Do not take it through downstream equity that assumes the jump arrives.</w:t>
      </w:r>
    </w:p>
    <w:p>
      <w:r>
        <w:pict>
          <v:rect style="width:0;height:1.5pt" o:hralign="center" o:hrstd="t" o:hr="t"/>
        </w:pict>
      </w:r>
    </w:p>
    <w:p>
      <w:pPr>
        <w:pStyle w:val="FirstParagraph"/>
      </w:pPr>
      <w:r>
        <w:t xml:space="preserve">Pull the six sections together and the picture is one observation seen from six angles. The labs run selection-equilibrium economics on a shrinking customer base. The orchestration layer is a tax the system routes around. The application layer wins exactly where the substrate produces the verification signal. The credentialed human collects the rent in every other domain. The evolutionary paradigm does not change any of this; it relocates the bottleneck from coding to fitness-function authorship, which is the verifier wearing a different name. Whichever direction you read the stack from, the same layer keeps the rent: the one whose complement is the substance of the judgment rather than a check on it.</w:t>
      </w:r>
    </w:p>
    <w:p>
      <w:pPr>
        <w:pStyle w:val="BodyText"/>
      </w:pPr>
      <w:r>
        <w:t xml:space="preserve">The empirical anchors fit on one line. Microsoft cancelling Claude Code. METR’s 1.4× number. Hub-spoke losing 4× to the market. The eighty-percent lab margin on a vanishing customer base. AlphaEvolve breaking a fifty-six-year matmul record on a deterministic oracle. Bureau-of-standards businesses outlasting the orchestrators by a century. The data points are the same observation read in different units.</w:t>
      </w:r>
    </w:p>
    <w:p>
      <w:pPr>
        <w:pStyle w:val="BodyText"/>
      </w:pPr>
      <w:r>
        <w:t xml:space="preserve">A meter built on tokens cannot survive a cost surface built on context. A meter built on a flat-rate contract cannot survive a cost surface that is itself judgment. The meter that does survive, where verification is something other than running a script, is the one priced on a signature.</w:t>
      </w:r>
    </w:p>
    <w:p>
      <w:pPr>
        <w:pStyle w:val="BodyText"/>
      </w:pPr>
      <w:r>
        <w:t xml:space="preserve">The cycle has been pricing the wrong substrate for three years.</w:t>
      </w:r>
    </w:p>
    <w:p>
      <w:r>
        <w:pict>
          <v:rect style="width:0;height:1.5pt" o:hralign="center" o:hrstd="t" o:hr="t"/>
        </w:pict>
      </w:r>
    </w:p>
    <w:bookmarkEnd w:id="31"/>
    <w:bookmarkStart w:id="32" w:name="notes"/>
    <w:p>
      <w:pPr>
        <w:pStyle w:val="Heading2"/>
      </w:pPr>
      <w:r>
        <w:t xml:space="preserve">Notes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METR’s developer-productivity studies. The early-2025 result that AI assistants slowed experienced open-source developers by 19% even as the developers self-reported a 20% speedup is at</w:t>
      </w:r>
      <w:r>
        <w:t xml:space="preserve"> </w:t>
      </w:r>
      <w:hyperlink r:id="rId10">
        <w:r>
          <w:rPr>
            <w:rStyle w:val="Hyperlink"/>
          </w:rPr>
          <w:t xml:space="preserve">metr.org/blog/2025-07-10-early-2025-ai-experienced-os-dev-study/</w:t>
        </w:r>
      </w:hyperlink>
      <w:r>
        <w:t xml:space="preserve">, with the 2026 methodology update at</w:t>
      </w:r>
      <w:r>
        <w:t xml:space="preserve"> </w:t>
      </w:r>
      <w:hyperlink r:id="rId11">
        <w:r>
          <w:rPr>
            <w:rStyle w:val="Hyperlink"/>
          </w:rPr>
          <w:t xml:space="preserve">metr.org/blog/2026-02-24-uplift-update/</w:t>
        </w:r>
      </w:hyperlink>
      <w:r>
        <w:t xml:space="preserve">. The May 2026 result reports time savings of roughly 2× to over 10× depending on individual and task, with a population median of 1.4–2×.</w:t>
      </w:r>
    </w:p>
  </w:footnote>
  <w:footnote w:id="12">
    <w:p>
      <w:pPr>
        <w:pStyle w:val="FootnoteText"/>
      </w:pPr>
      <w:r>
        <w:rPr>
          <w:rStyle w:val="FootnoteReference"/>
        </w:rPr>
        <w:footnoteRef/>
      </w:r>
      <w:r>
        <w:t xml:space="preserve"> </w:t>
      </w:r>
      <w:r>
        <w:t xml:space="preserve">Gene M. Amdahl,</w:t>
      </w:r>
      <w:r>
        <w:t xml:space="preserve"> </w:t>
      </w:r>
      <w:r>
        <w:t xml:space="preserve">“Validity of the single processor approach to achieving large scale computing capabilities,”</w:t>
      </w:r>
      <w:r>
        <w:t xml:space="preserve"> </w:t>
      </w:r>
      <w:r>
        <w:rPr>
          <w:i/>
          <w:iCs/>
        </w:rPr>
        <w:t xml:space="preserve">AFIPS Conference Proceedings</w:t>
      </w:r>
      <w:r>
        <w:t xml:space="preserve"> </w:t>
      </w:r>
      <w:r>
        <w:t xml:space="preserve">30 (1967), pp. 483–485. A workload’s speedup is bounded by the share of the workload that didn’t speed up. The result is one of the cleaner pieces of applied microeconomics that ever got published in a computing journal. Applied to the SDLC, escape from the cap on coding speedup requires attacking planning or verification, since those are the parts of the workload that didn’t accelerate.</w:t>
      </w:r>
    </w:p>
  </w:footnote>
  <w:footnote w:id="13">
    <w:p>
      <w:pPr>
        <w:pStyle w:val="FootnoteText"/>
      </w:pPr>
      <w:r>
        <w:rPr>
          <w:rStyle w:val="FootnoteReference"/>
        </w:rPr>
        <w:footnoteRef/>
      </w:r>
      <w:r>
        <w:t xml:space="preserve"> </w:t>
      </w:r>
      <w:r>
        <w:t xml:space="preserve">Joel Spolsky,</w:t>
      </w:r>
      <w:r>
        <w:t xml:space="preserve"> </w:t>
      </w:r>
      <w:hyperlink r:id="rId14">
        <w:r>
          <w:rPr>
            <w:rStyle w:val="Hyperlink"/>
          </w:rPr>
          <w:t xml:space="preserve">“Strategy Letter V”</w:t>
        </w:r>
      </w:hyperlink>
      <w:r>
        <w:t xml:space="preserve">, joelonsoftware.com, 12 June 2002.</w:t>
      </w:r>
      <w:r>
        <w:t xml:space="preserve"> </w:t>
      </w:r>
      <w:r>
        <w:t xml:space="preserve">“Smart companies try to commoditize their products’ complements.”</w:t>
      </w:r>
      <w:r>
        <w:t xml:space="preserve"> </w:t>
      </w:r>
      <w:r>
        <w:t xml:space="preserve">The framing is borrowed from microeconomics 101 and has not aged.</w:t>
      </w:r>
    </w:p>
  </w:footnote>
  <w:footnote w:id="16">
    <w:p>
      <w:pPr>
        <w:pStyle w:val="FootnoteText"/>
      </w:pPr>
      <w:r>
        <w:rPr>
          <w:rStyle w:val="FootnoteReference"/>
        </w:rPr>
        <w:footnoteRef/>
      </w:r>
      <w:r>
        <w:t xml:space="preserve"> </w:t>
      </w:r>
      <w:r>
        <w:t xml:space="preserve">Simon Board and Marek Pycia,</w:t>
      </w:r>
      <w:r>
        <w:t xml:space="preserve"> </w:t>
      </w:r>
      <w:hyperlink r:id="rId17">
        <w:r>
          <w:rPr>
            <w:rStyle w:val="Hyperlink"/>
          </w:rPr>
          <w:t xml:space="preserve">“Outside Options and the Failure of the Coase Conjecture”</w:t>
        </w:r>
      </w:hyperlink>
      <w:r>
        <w:t xml:space="preserve">,</w:t>
      </w:r>
      <w:r>
        <w:t xml:space="preserve"> </w:t>
      </w:r>
      <w:r>
        <w:rPr>
          <w:i/>
          <w:iCs/>
        </w:rPr>
        <w:t xml:space="preserve">American Economic Review</w:t>
      </w:r>
      <w:r>
        <w:t xml:space="preserve"> </w:t>
      </w:r>
      <w:r>
        <w:t xml:space="preserve">104:2 (February 2014), pp. 656–671. Builds on Ronald H. Coase,</w:t>
      </w:r>
      <w:r>
        <w:t xml:space="preserve"> </w:t>
      </w:r>
      <w:r>
        <w:t xml:space="preserve">“Durability and Monopoly,”</w:t>
      </w:r>
      <w:r>
        <w:t xml:space="preserve"> </w:t>
      </w:r>
      <w:r>
        <w:rPr>
          <w:i/>
          <w:iCs/>
        </w:rPr>
        <w:t xml:space="preserve">Journal of Law and Economics</w:t>
      </w:r>
      <w:r>
        <w:t xml:space="preserve"> </w:t>
      </w:r>
      <w:r>
        <w:t xml:space="preserve">15:1 (1972), pp. 143–149. The 2014 result: with an outside option available in every period, the monopolist sustains a constant monopoly price forever on a customer base reduced to the inelastic residual. The eighty-percent gross margins observable on frontier inference today are the predicted selection signature, not a moat.</w:t>
      </w:r>
    </w:p>
  </w:footnote>
  <w:footnote w:id="19">
    <w:p>
      <w:pPr>
        <w:pStyle w:val="FootnoteText"/>
      </w:pPr>
      <w:r>
        <w:rPr>
          <w:rStyle w:val="FootnoteReference"/>
        </w:rPr>
        <w:footnoteRef/>
      </w:r>
      <w:r>
        <w:t xml:space="preserve"> </w:t>
      </w:r>
      <w:r>
        <w:t xml:space="preserve">Topology comparison across three architectures (solo strong model, hub-spoke with planner, market of bidding models) over 15 hand-written tasks (five coding, five reasoning, five synthesis). Market averaged 7.2/10 quality at $1.34 total cost. Solo averaged 7.2 at $1.69. Hub-spoke averaged 6.7 at $5.33. Companion experimental work documents agent autarky and weak self-knowledge directly, which is what the bidding-noise term is approximating. Both reported in 2026 on the Strange Loop Canon blog.</w:t>
      </w:r>
    </w:p>
  </w:footnote>
  <w:footnote w:id="21">
    <w:p>
      <w:pPr>
        <w:pStyle w:val="FootnoteText"/>
      </w:pPr>
      <w:r>
        <w:rPr>
          <w:rStyle w:val="FootnoteReference"/>
        </w:rPr>
        <w:footnoteRef/>
      </w:r>
      <w:r>
        <w:t xml:space="preserve"> </w:t>
      </w:r>
      <w:r>
        <w:t xml:space="preserve">The conditional-information construction for</w:t>
      </w:r>
      <w:r>
        <w:t xml:space="preserve"> </w:t>
      </w:r>
      <m:oMath>
        <m:r>
          <m:t>K</m:t>
        </m:r>
        <m:r>
          <m:rPr>
            <m:sty m:val="p"/>
          </m:rPr>
          <m:t>(</m:t>
        </m:r>
        <m:r>
          <m:rPr>
            <m:nor/>
            <m:sty m:val="p"/>
          </m:rPr>
          <m:t>verify</m:t>
        </m:r>
        <m:r>
          <m:rPr>
            <m:sty m:val="p"/>
          </m:rPr>
          <m:t>)</m:t>
        </m:r>
      </m:oMath>
      <w:r>
        <w:t xml:space="preserve"> </w:t>
      </w:r>
      <w:r>
        <w:t xml:space="preserve">is conditional Kolmogorov complexity in the sense of Li &amp; Vitányi,</w:t>
      </w:r>
      <w:r>
        <w:t xml:space="preserve"> </w:t>
      </w:r>
      <w:r>
        <w:rPr>
          <w:i/>
          <w:iCs/>
        </w:rPr>
        <w:t xml:space="preserve">An Introduction to Kolmogorov Complexity and Its Applications</w:t>
      </w:r>
      <w:r>
        <w:t xml:space="preserve">, Springer, 4th ed. 2019. The economically interesting claim is the ordinal one rather than the absolute one — across professional domains, the ratio</w:t>
      </w:r>
      <w:r>
        <w:t xml:space="preserve"> </w:t>
      </w:r>
      <m:oMath>
        <m:r>
          <m:t>K</m:t>
        </m:r>
        <m:r>
          <m:rPr>
            <m:sty m:val="p"/>
          </m:rPr>
          <m:t>(</m:t>
        </m:r>
        <m:r>
          <m:rPr>
            <m:nor/>
            <m:sty m:val="p"/>
          </m:rPr>
          <m:t>verify</m:t>
        </m:r>
        <m:r>
          <m:rPr>
            <m:sty m:val="p"/>
          </m:rPr>
          <m:t>)</m:t>
        </m:r>
        <m:r>
          <m:rPr>
            <m:sty m:val="p"/>
          </m:rPr>
          <m:t>/</m:t>
        </m:r>
        <m:r>
          <m:t>K</m:t>
        </m:r>
        <m:r>
          <m:rPr>
            <m:sty m:val="p"/>
          </m:rPr>
          <m:t>(</m:t>
        </m:r>
        <m:r>
          <m:rPr>
            <m:nor/>
            <m:sty m:val="p"/>
          </m:rPr>
          <m:t>task</m:t>
        </m:r>
        <m:r>
          <m:rPr>
            <m:sty m:val="p"/>
          </m:rPr>
          <m:t>)</m:t>
        </m:r>
      </m:oMath>
      <w:r>
        <w:t xml:space="preserve"> </w:t>
      </w:r>
      <w:r>
        <w:t xml:space="preserve">is what determines whether evolutionary search recovers usable lift. The compiler regime has it below one. Most knowledge work has it well above.</w:t>
      </w:r>
    </w:p>
  </w:footnote>
  <w:footnote w:id="22">
    <w:p>
      <w:pPr>
        <w:pStyle w:val="FootnoteText"/>
      </w:pPr>
      <w:r>
        <w:rPr>
          <w:rStyle w:val="FootnoteReference"/>
        </w:rPr>
        <w:footnoteRef/>
      </w:r>
      <w:r>
        <w:t xml:space="preserve"> </w:t>
      </w:r>
      <w:r>
        <w:t xml:space="preserve">Standard linear-contract / quadratic-cost / mean-variance principal-agent setup from Bengt Holmström,</w:t>
      </w:r>
      <w:r>
        <w:t xml:space="preserve"> </w:t>
      </w:r>
      <w:r>
        <w:t xml:space="preserve">“Moral Hazard and Observability,”</w:t>
      </w:r>
      <w:r>
        <w:t xml:space="preserve"> </w:t>
      </w:r>
      <w:r>
        <w:rPr>
          <w:i/>
          <w:iCs/>
        </w:rPr>
        <w:t xml:space="preserve">Bell Journal of Economics</w:t>
      </w:r>
      <w:r>
        <w:t xml:space="preserve"> </w:t>
      </w:r>
      <w:r>
        <w:t xml:space="preserve">10:1 (1979), pp. 74–91, with the verifier-noise term entering the worker’s risk premium. The substantive move is letting</w:t>
      </w:r>
      <w:r>
        <w:t xml:space="preserve"> </w:t>
      </w:r>
      <m:oMath>
        <m:sSubSup>
          <m:e>
            <m:r>
              <m:t>σ</m:t>
            </m:r>
          </m:e>
          <m:sub>
            <m:r>
              <m:t>v</m:t>
            </m:r>
          </m:sub>
          <m:sup>
            <m:r>
              <m:t>2</m:t>
            </m:r>
          </m:sup>
        </m:sSubSup>
      </m:oMath>
      <w:r>
        <w:t xml:space="preserve"> </w:t>
      </w:r>
      <w:r>
        <w:t xml:space="preserve">parameterize the difference between the compiler regime and the human-verifier regime; the result that surplus is monotonically decreasing in verifier noise is textbook moral-hazard, applied to a setting nobody had applied it to yet.</w:t>
      </w:r>
    </w:p>
  </w:footnote>
  <w:footnote w:id="23">
    <w:p>
      <w:pPr>
        <w:pStyle w:val="FootnoteText"/>
      </w:pPr>
      <w:r>
        <w:rPr>
          <w:rStyle w:val="FootnoteReference"/>
        </w:rPr>
        <w:footnoteRef/>
      </w:r>
      <w:r>
        <w:t xml:space="preserve"> </w:t>
      </w:r>
      <w:r>
        <w:t xml:space="preserve">An anonymous market-commentary post in late 2026 reported Microsoft’s cancellation of internal Claude Code licenses, Uber’s CTO memo about exhausting the 2026 AI budget in four months, and GitHub’s flat-rate deprecation across the Copilot product line. The composite reading is independent of any single source’s reliability — Anthropic’s gross margin disclosures and Microsoft’s Azure consumption metrics will eventually let analysts back out the numbers — but the directional signal is what matters here.</w:t>
      </w:r>
    </w:p>
  </w:footnote>
  <w:footnote w:id="25">
    <w:p>
      <w:pPr>
        <w:pStyle w:val="FootnoteText"/>
      </w:pPr>
      <w:r>
        <w:rPr>
          <w:rStyle w:val="FootnoteReference"/>
        </w:rPr>
        <w:footnoteRef/>
      </w:r>
      <w:r>
        <w:t xml:space="preserve"> </w:t>
      </w:r>
      <w:r>
        <w:t xml:space="preserve">Ben Sigelman,</w:t>
      </w:r>
      <w:r>
        <w:t xml:space="preserve"> </w:t>
      </w:r>
      <w:r>
        <w:t xml:space="preserve">“Evolutionary Software”</w:t>
      </w:r>
      <w:r>
        <w:t xml:space="preserve"> </w:t>
      </w:r>
      <w:r>
        <w:t xml:space="preserve">(2026). The piece argues that software delivery should reframe itself as a population-genetics process: many variations shipped concurrently, fitness functions selecting survivors, winners merged back to a now-symbolic main branch. The framing is structurally correct as a diagnosis of where Amdahl bites the SDLC. The cost analysis is loosely treated, and the central claim that fitness functions are cheap to author is where the argument silently relocates the bottleneck rather than dissolving it.</w:t>
      </w:r>
    </w:p>
  </w:footnote>
  <w:footnote w:id="26">
    <w:p>
      <w:pPr>
        <w:pStyle w:val="FootnoteText"/>
      </w:pPr>
      <w:r>
        <w:rPr>
          <w:rStyle w:val="FootnoteReference"/>
        </w:rPr>
        <w:footnoteRef/>
      </w:r>
      <w:r>
        <w:t xml:space="preserve"> </w:t>
      </w:r>
      <w:r>
        <w:t xml:space="preserve">Alexander Novikov et al.,</w:t>
      </w:r>
      <w:r>
        <w:t xml:space="preserve"> </w:t>
      </w:r>
      <w:r>
        <w:t xml:space="preserve">“AlphaEvolve: A coding agent for scientific and algorithmic discovery,”</w:t>
      </w:r>
      <w:r>
        <w:t xml:space="preserve"> </w:t>
      </w:r>
      <w:r>
        <w:t xml:space="preserve">Google DeepMind technical report, May 2025;</w:t>
      </w:r>
      <w:r>
        <w:t xml:space="preserve"> </w:t>
      </w:r>
      <w:hyperlink r:id="rId27">
        <w:r>
          <w:rPr>
            <w:rStyle w:val="Hyperlink"/>
          </w:rPr>
          <w:t xml:space="preserve">deepmind.google/blog/alphaevolve-a-gemini-powered-coding-agent-for-designing-advanced-algorithms/</w:t>
        </w:r>
      </w:hyperlink>
      <w:r>
        <w:t xml:space="preserve">. The 48-multiplication algorithm for 4×4 complex matrices improves on Strassen 1969 (49 multiplications) and is verified independently. AlphaEvolve also improved 14 other matrix-multiplication algorithms and rediscovered state-of-the-art on roughly 75% of the open problems it touched. The strongest available demonstration of evolutionary search working under a deterministic verifier.</w:t>
      </w:r>
    </w:p>
  </w:footnote>
  <w:footnote w:id="28">
    <w:p>
      <w:pPr>
        <w:pStyle w:val="FootnoteText"/>
      </w:pPr>
      <w:r>
        <w:rPr>
          <w:rStyle w:val="FootnoteReference"/>
        </w:rPr>
        <w:footnoteRef/>
      </w:r>
      <w:r>
        <w:t xml:space="preserve"> </w:t>
      </w:r>
      <w:r>
        <w:t xml:space="preserve">The order-statistics derivation in section V is a standard normal-extreme-value calculation. For latent</w:t>
      </w:r>
      <w:r>
        <w:t xml:space="preserve"> </w:t>
      </w:r>
      <m:oMath>
        <m:r>
          <m:t>q</m:t>
        </m:r>
        <m:r>
          <m:rPr>
            <m:sty m:val="p"/>
          </m:rPr>
          <m:t>∼</m:t>
        </m:r>
        <m:r>
          <m:rPr>
            <m:scr m:val="script"/>
            <m:sty m:val="p"/>
          </m:rPr>
          <m:t>N</m:t>
        </m:r>
        <m:r>
          <m:rPr>
            <m:sty m:val="p"/>
          </m:rPr>
          <m:t>(</m:t>
        </m:r>
        <m:r>
          <m:t>0</m:t>
        </m:r>
        <m:r>
          <m:rPr>
            <m:sty m:val="p"/>
          </m:rPr>
          <m:t>,</m:t>
        </m:r>
        <m:sSubSup>
          <m:e>
            <m:r>
              <m:t>σ</m:t>
            </m:r>
          </m:e>
          <m:sub>
            <m:r>
              <m:t>q</m:t>
            </m:r>
          </m:sub>
          <m:sup>
            <m:r>
              <m:t>2</m:t>
            </m:r>
          </m:sup>
        </m:sSubSup>
        <m:r>
          <m:rPr>
            <m:sty m:val="p"/>
          </m:rPr>
          <m:t>)</m:t>
        </m:r>
      </m:oMath>
      <w:r>
        <w:t xml:space="preserve"> </w:t>
      </w:r>
      <w:r>
        <w:t xml:space="preserve">with additive normal observation noise</w:t>
      </w:r>
      <w:r>
        <w:t xml:space="preserve"> </w:t>
      </w:r>
      <m:oMath>
        <m:r>
          <m:t>ϵ</m:t>
        </m:r>
        <m:r>
          <m:rPr>
            <m:sty m:val="p"/>
          </m:rPr>
          <m:t>∼</m:t>
        </m:r>
        <m:r>
          <m:rPr>
            <m:scr m:val="script"/>
            <m:sty m:val="p"/>
          </m:rPr>
          <m:t>N</m:t>
        </m:r>
        <m:r>
          <m:rPr>
            <m:sty m:val="p"/>
          </m:rPr>
          <m:t>(</m:t>
        </m:r>
        <m:r>
          <m:t>0</m:t>
        </m:r>
        <m:r>
          <m:rPr>
            <m:sty m:val="p"/>
          </m:rPr>
          <m:t>,</m:t>
        </m:r>
        <m:sSubSup>
          <m:e>
            <m:r>
              <m:t>σ</m:t>
            </m:r>
          </m:e>
          <m:sub>
            <m:r>
              <m:t>f</m:t>
            </m:r>
          </m:sub>
          <m:sup>
            <m:r>
              <m:t>2</m:t>
            </m:r>
          </m:sup>
        </m:sSubSup>
        <m:r>
          <m:rPr>
            <m:sty m:val="p"/>
          </m:rPr>
          <m:t>)</m:t>
        </m:r>
      </m:oMath>
      <w:r>
        <w:t xml:space="preserve">, the conditional expectation of latent given observation has slope</w:t>
      </w:r>
      <w:r>
        <w:t xml:space="preserve"> </w:t>
      </w:r>
      <m:oMath>
        <m:sSup>
          <m:e>
            <m:r>
              <m:t>ρ</m:t>
            </m:r>
          </m:e>
          <m:sup>
            <m:r>
              <m:t>2</m:t>
            </m:r>
          </m:sup>
        </m:sSup>
        <m:r>
          <m:rPr>
            <m:sty m:val="p"/>
          </m:rPr>
          <m:t>=</m:t>
        </m:r>
        <m:sSubSup>
          <m:e>
            <m:r>
              <m:t>σ</m:t>
            </m:r>
          </m:e>
          <m:sub>
            <m:r>
              <m:t>q</m:t>
            </m:r>
          </m:sub>
          <m:sup>
            <m:r>
              <m:t>2</m:t>
            </m:r>
          </m:sup>
        </m:sSubSup>
        <m:r>
          <m:rPr>
            <m:sty m:val="p"/>
          </m:rPr>
          <m:t>/</m:t>
        </m:r>
        <m:r>
          <m:rPr>
            <m:sty m:val="p"/>
          </m:rPr>
          <m:t>(</m:t>
        </m:r>
        <m:sSubSup>
          <m:e>
            <m:r>
              <m:t>σ</m:t>
            </m:r>
          </m:e>
          <m:sub>
            <m:r>
              <m:t>q</m:t>
            </m:r>
          </m:sub>
          <m:sup>
            <m:r>
              <m:t>2</m:t>
            </m:r>
          </m:sup>
        </m:sSubSup>
        <m:r>
          <m:rPr>
            <m:sty m:val="p"/>
          </m:rPr>
          <m:t>+</m:t>
        </m:r>
        <m:sSubSup>
          <m:e>
            <m:r>
              <m:t>σ</m:t>
            </m:r>
          </m:e>
          <m:sub>
            <m:r>
              <m:t>f</m:t>
            </m:r>
          </m:sub>
          <m:sup>
            <m:r>
              <m:t>2</m:t>
            </m:r>
          </m:sup>
        </m:sSubSup>
        <m:r>
          <m:rPr>
            <m:sty m:val="p"/>
          </m:rPr>
          <m:t>)</m:t>
        </m:r>
      </m:oMath>
      <w:r>
        <w:t xml:space="preserve">, and the expected maximum of</w:t>
      </w:r>
      <w:r>
        <w:t xml:space="preserve"> </w:t>
      </w:r>
      <m:oMath>
        <m:r>
          <m:t>N</m:t>
        </m:r>
      </m:oMath>
      <w:r>
        <w:t xml:space="preserve"> </w:t>
      </w:r>
      <w:r>
        <w:t xml:space="preserve">i.i.d. standard normals scales as</w:t>
      </w:r>
      <w:r>
        <w:t xml:space="preserve"> </w:t>
      </w:r>
      <m:oMath>
        <m:sSub>
          <m:e>
            <m:r>
              <m:t>a</m:t>
            </m:r>
          </m:e>
          <m:sub>
            <m:r>
              <m:t>N</m:t>
            </m:r>
          </m:sub>
        </m:sSub>
        <m:r>
          <m:rPr>
            <m:sty m:val="p"/>
          </m:rPr>
          <m:t>≈</m:t>
        </m:r>
        <m:rad>
          <m:radPr>
            <m:degHide m:val="on"/>
          </m:radPr>
          <m:deg/>
          <m:e>
            <m:r>
              <m:t>2</m:t>
            </m:r>
            <m:r>
              <m:rPr>
                <m:sty m:val="p"/>
              </m:rPr>
              <m:t>ln</m:t>
            </m:r>
            <m:r>
              <m:t>N</m:t>
            </m:r>
          </m:e>
        </m:rad>
        <m:r>
          <m:rPr>
            <m:sty m:val="p"/>
          </m:rPr>
          <m:t>−</m:t>
        </m:r>
        <m:r>
          <m:rPr>
            <m:sty m:val="p"/>
          </m:rPr>
          <m:t>(</m:t>
        </m:r>
        <m:r>
          <m:rPr>
            <m:sty m:val="p"/>
          </m:rPr>
          <m:t>ln</m:t>
        </m:r>
        <m:r>
          <m:rPr>
            <m:sty m:val="p"/>
          </m:rPr>
          <m:t>ln</m:t>
        </m:r>
        <m:r>
          <m:t>N</m:t>
        </m:r>
        <m:r>
          <m:rPr>
            <m:sty m:val="p"/>
          </m:rPr>
          <m:t>+</m:t>
        </m:r>
        <m:r>
          <m:rPr>
            <m:sty m:val="p"/>
          </m:rPr>
          <m:t>ln</m:t>
        </m:r>
        <m:r>
          <m:t>4</m:t>
        </m:r>
        <m:r>
          <m:t>π</m:t>
        </m:r>
        <m:r>
          <m:rPr>
            <m:sty m:val="p"/>
          </m:rPr>
          <m:t>)</m:t>
        </m:r>
        <m:r>
          <m:rPr>
            <m:sty m:val="p"/>
          </m:rPr>
          <m:t>/</m:t>
        </m:r>
        <m:r>
          <m:rPr>
            <m:sty m:val="p"/>
          </m:rPr>
          <m:t>(</m:t>
        </m:r>
        <m:r>
          <m:t>2</m:t>
        </m:r>
        <m:rad>
          <m:radPr>
            <m:degHide m:val="on"/>
          </m:radPr>
          <m:deg/>
          <m:e>
            <m:r>
              <m:t>2</m:t>
            </m:r>
            <m:r>
              <m:rPr>
                <m:sty m:val="p"/>
              </m:rPr>
              <m:t>ln</m:t>
            </m:r>
            <m:r>
              <m:t>N</m:t>
            </m:r>
          </m:e>
        </m:rad>
        <m:r>
          <m:rPr>
            <m:sty m:val="p"/>
          </m:rPr>
          <m:t>)</m:t>
        </m:r>
      </m:oMath>
      <w:r>
        <w:t xml:space="preserve"> </w:t>
      </w:r>
      <w:r>
        <w:t xml:space="preserve">for large</w:t>
      </w:r>
      <w:r>
        <w:t xml:space="preserve"> </w:t>
      </w:r>
      <m:oMath>
        <m:r>
          <m:t>N</m:t>
        </m:r>
      </m:oMath>
      <w:r>
        <w:t xml:space="preserve">. The selection-with-noisy-observation framing is structurally identical to the moral-hazard model in section IV, with</w:t>
      </w:r>
      <w:r>
        <w:t xml:space="preserve"> </w:t>
      </w:r>
      <m:oMath>
        <m:sSub>
          <m:e>
            <m:r>
              <m:t>σ</m:t>
            </m:r>
          </m:e>
          <m:sub>
            <m:r>
              <m:t>f</m:t>
            </m:r>
          </m:sub>
        </m:sSub>
      </m:oMath>
      <w:r>
        <w:t xml:space="preserve"> </w:t>
      </w:r>
      <w:r>
        <w:t xml:space="preserve">playing the verifier-noise role</w:t>
      </w:r>
      <w:r>
        <w:t xml:space="preserve"> </w:t>
      </w:r>
      <m:oMath>
        <m:sSub>
          <m:e>
            <m:r>
              <m:t>σ</m:t>
            </m:r>
          </m:e>
          <m:sub>
            <m:r>
              <m:t>v</m:t>
            </m:r>
          </m:sub>
        </m:sSub>
      </m:oMath>
      <w:r>
        <w:t xml:space="preserve"> </w:t>
      </w:r>
      <w:r>
        <w:t xml:space="preserve">played there. The substitution is exact.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eepmind.google/blog/alphaevolve-a-gemini-powered-coding-agent-for-designing-advanced-algorithms/" TargetMode="External" /><Relationship Type="http://schemas.openxmlformats.org/officeDocument/2006/relationships/hyperlink" Id="rId10" Target="https://metr.org/blog/2025-07-10-early-2025-ai-experienced-os-dev-study/" TargetMode="External" /><Relationship Type="http://schemas.openxmlformats.org/officeDocument/2006/relationships/hyperlink" Id="rId11" Target="https://metr.org/blog/2026-02-24-uplift-update/" TargetMode="External" /><Relationship Type="http://schemas.openxmlformats.org/officeDocument/2006/relationships/hyperlink" Id="rId17" Target="https://www.aeaweb.org/articles?id=10.1257/aer.104.2.656" TargetMode="External" /><Relationship Type="http://schemas.openxmlformats.org/officeDocument/2006/relationships/hyperlink" Id="rId14" Target="https://www.joelonsoftware.com/2002/06/12/strategy-letter-v/" TargetMode="External" /></Relationships>
</file>

<file path=word/_rels/footnotes.xml.rels><?xml version="1.0" encoding="UTF-8"?><Relationships xmlns="http://schemas.openxmlformats.org/package/2006/relationships"><Relationship Type="http://schemas.openxmlformats.org/officeDocument/2006/relationships/hyperlink" Id="rId27" Target="https://deepmind.google/blog/alphaevolve-a-gemini-powered-coding-agent-for-designing-advanced-algorithms/" TargetMode="External" /><Relationship Type="http://schemas.openxmlformats.org/officeDocument/2006/relationships/hyperlink" Id="rId10" Target="https://metr.org/blog/2025-07-10-early-2025-ai-experienced-os-dev-study/" TargetMode="External" /><Relationship Type="http://schemas.openxmlformats.org/officeDocument/2006/relationships/hyperlink" Id="rId11" Target="https://metr.org/blog/2026-02-24-uplift-update/" TargetMode="External" /><Relationship Type="http://schemas.openxmlformats.org/officeDocument/2006/relationships/hyperlink" Id="rId17" Target="https://www.aeaweb.org/articles?id=10.1257/aer.104.2.656" TargetMode="External" /><Relationship Type="http://schemas.openxmlformats.org/officeDocument/2006/relationships/hyperlink" Id="rId14" Target="https://www.joelonsoftware.com/2002/06/12/strategy-letter-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2026-05-24T16:29:53Z</dcterms:created>
  <dcterms:modified xsi:type="dcterms:W3CDTF">2026-05-24T16:29:53Z</dcterms:modified>
</cp:coreProperties>
</file>

<file path=docProps/custom.xml><?xml version="1.0" encoding="utf-8"?>
<Properties xmlns="http://schemas.openxmlformats.org/officeDocument/2006/custom-properties" xmlns:vt="http://schemas.openxmlformats.org/officeDocument/2006/docPropsVTypes"/>
</file>