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 Coloring: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In order to color the graph in a parallel manner following steps are followed.</w:t>
      </w:r>
    </w:p>
    <w:p>
      <w:pPr>
        <w:pStyle w:val="style0"/>
        <w:numPr>
          <w:ilvl w:val="0"/>
          <w:numId w:val="1"/>
        </w:numPr>
        <w:rPr/>
      </w:pPr>
      <w:r>
        <w:rPr/>
        <w:t>Identify the maximal independent set of vertexes which can be colored  in any given  iteration.</w:t>
      </w:r>
    </w:p>
    <w:p>
      <w:pPr>
        <w:pStyle w:val="style0"/>
        <w:numPr>
          <w:ilvl w:val="0"/>
          <w:numId w:val="1"/>
        </w:numPr>
        <w:rPr/>
      </w:pPr>
      <w:r>
        <w:rPr/>
        <w:t>Try to identify smallest color that can be given to the vertex.</w:t>
      </w:r>
    </w:p>
    <w:p>
      <w:pPr>
        <w:pStyle w:val="style0"/>
        <w:numPr>
          <w:ilvl w:val="0"/>
          <w:numId w:val="1"/>
        </w:numPr>
        <w:rPr/>
      </w:pPr>
      <w:r>
        <w:rPr/>
        <w:t>Repeat above to steps until all nodes are colored.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Tried two heuristics to identify the maximum independent set as mentioned in “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444444"/>
          <w:spacing w:val="0"/>
          <w:sz w:val="22"/>
          <w:szCs w:val="22"/>
        </w:rPr>
        <w:t xml:space="preserve">A Comparison of </w:t>
      </w:r>
      <w:r>
        <w:rPr>
          <w:rStyle w:val="style16"/>
          <w:rFonts w:ascii="Liberation Serif" w:hAnsi="Liberation Serif"/>
          <w:b/>
          <w:bCs/>
          <w:i w:val="false"/>
          <w:caps w:val="false"/>
          <w:smallCaps w:val="false"/>
          <w:color w:val="444444"/>
          <w:spacing w:val="0"/>
          <w:sz w:val="22"/>
          <w:szCs w:val="22"/>
        </w:rPr>
        <w:t>Parallel Graph Coloring Algorithms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444444"/>
          <w:spacing w:val="0"/>
          <w:sz w:val="22"/>
          <w:szCs w:val="22"/>
        </w:rPr>
        <w:t>. J. R. Allwright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  <w:t>.</w:t>
      </w:r>
      <w:r>
        <w:rPr/>
        <w:t>”</w:t>
      </w:r>
    </w:p>
    <w:p>
      <w:pPr>
        <w:pStyle w:val="style0"/>
        <w:numPr>
          <w:ilvl w:val="0"/>
          <w:numId w:val="2"/>
        </w:numPr>
        <w:rPr/>
      </w:pPr>
      <w:r>
        <w:rPr/>
        <w:t>Largest Degree First : Identify the set of vertexes such that its effective degree is greater than all its neighbor.</w:t>
      </w:r>
    </w:p>
    <w:p>
      <w:pPr>
        <w:pStyle w:val="style0"/>
        <w:numPr>
          <w:ilvl w:val="0"/>
          <w:numId w:val="2"/>
        </w:numPr>
        <w:rPr/>
      </w:pPr>
      <w:r>
        <w:rPr/>
        <w:t>Smallest Degree Last : Weight each and every vertex such that the least degree node is colored at the end.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But certain additional heuristics are applied above LDF and SDL  so that number colors can be brought further down like recoloring as mentioned in “</w:t>
      </w:r>
      <w:r>
        <w:rPr>
          <w:b/>
          <w:bCs/>
          <w:sz w:val="22"/>
          <w:szCs w:val="22"/>
        </w:rPr>
        <w:t>Improving Graph Coloring on Distributed-Memory Parallel Computers</w:t>
        <w:t xml:space="preserve"> ,Ahmet Erdem Sarıyuce</w:t>
      </w:r>
      <w:r>
        <w:rPr/>
        <w:t xml:space="preserve">”. </w:t>
      </w:r>
      <w:r>
        <w:rPr/>
        <w:t>Maximum recoloring iteration is kept to 20.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Cilk View Report  :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For big  Dataset containing 900 nodes :</w:t>
      </w:r>
    </w:p>
    <w:p>
      <w:pPr>
        <w:pStyle w:val="style0"/>
        <w:rPr/>
      </w:pPr>
      <w:r>
        <w:rPr/>
      </w:r>
    </w:p>
    <w:tbl>
      <w:tblPr>
        <w:jc w:val="left"/>
        <w:tblInd w:type="dxa" w:w="45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42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2"/>
            </w:tcMar>
          </w:tcPr>
          <w:tbl>
            <w:tblPr>
              <w:jc w:val="left"/>
              <w:tblInd w:type="dxa" w:w="253"/>
              <w:tblBorders>
                <w:top w:color="000001" w:space="0" w:sz="2" w:val="single"/>
                <w:left w:color="000001" w:space="0" w:sz="2" w:val="single"/>
                <w:bottom w:color="000001" w:space="0" w:sz="2" w:val="single"/>
                <w:insideH w:color="000001" w:space="0" w:sz="2" w:val="single"/>
                <w:right w:val="nil"/>
                <w:insideV w:val="nil"/>
              </w:tblBorders>
              <w:tblCellMar>
                <w:top w:type="dxa" w:w="55"/>
                <w:left w:type="dxa" w:w="42"/>
                <w:bottom w:type="dxa" w:w="55"/>
                <w:right w:type="dxa" w:w="55"/>
              </w:tblCellMar>
            </w:tblPr>
            <w:tblGrid>
              <w:gridCol w:w="1451"/>
              <w:gridCol w:w="1137"/>
              <w:gridCol w:w="1695"/>
              <w:gridCol w:w="1710"/>
              <w:gridCol w:w="3862"/>
            </w:tblGrid>
            <w:tr>
              <w:trPr>
                <w:trHeight w:hRule="atLeast" w:val="630"/>
                <w:cantSplit w:val="false"/>
              </w:trPr>
              <w:tc>
                <w:tcPr>
                  <w:tcW w:type="dxa" w:w="1451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2"/>
                  </w:tcMar>
                </w:tcPr>
                <w:p>
                  <w:pPr>
                    <w:pStyle w:val="style23"/>
                    <w:rPr/>
                  </w:pPr>
                  <w:r>
                    <w:rPr/>
                    <w:t>Approach</w:t>
                  </w:r>
                </w:p>
              </w:tc>
              <w:tc>
                <w:tcPr>
                  <w:tcW w:type="dxa" w:w="1137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2"/>
                  </w:tcMar>
                </w:tcPr>
                <w:p>
                  <w:pPr>
                    <w:pStyle w:val="style23"/>
                    <w:rPr/>
                  </w:pPr>
                  <w:r>
                    <w:rPr/>
                    <w:t>Duration (ms)</w:t>
                  </w:r>
                </w:p>
              </w:tc>
              <w:tc>
                <w:tcPr>
                  <w:tcW w:type="dxa" w:w="1695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2"/>
                  </w:tcMar>
                </w:tcPr>
                <w:p>
                  <w:pPr>
                    <w:pStyle w:val="style23"/>
                    <w:rPr/>
                  </w:pPr>
                  <w:r>
                    <w:rPr/>
                    <w:t>Overall Parallelism</w:t>
                  </w:r>
                </w:p>
              </w:tc>
              <w:tc>
                <w:tcPr>
                  <w:tcW w:type="dxa" w:w="1710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2"/>
                  </w:tcMar>
                </w:tcPr>
                <w:p>
                  <w:pPr>
                    <w:pStyle w:val="style23"/>
                    <w:rPr/>
                  </w:pPr>
                  <w:r>
                    <w:rPr/>
                    <w:t>Parrallelism in Parallel region</w:t>
                  </w:r>
                </w:p>
              </w:tc>
              <w:tc>
                <w:tcPr>
                  <w:tcW w:type="dxa" w:w="3862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left w:type="dxa" w:w="42"/>
                  </w:tcMar>
                </w:tcPr>
                <w:p>
                  <w:pPr>
                    <w:pStyle w:val="style23"/>
                    <w:rPr/>
                  </w:pPr>
                  <w:r>
                    <w:rPr/>
                    <w:t>Speed Up in Parallel Region</w:t>
                  </w:r>
                </w:p>
              </w:tc>
            </w:tr>
            <w:tr>
              <w:trPr>
                <w:trHeight w:hRule="atLeast" w:val="2288"/>
                <w:cantSplit w:val="false"/>
              </w:trPr>
              <w:tc>
                <w:tcPr>
                  <w:tcW w:type="dxa" w:w="1451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2"/>
                  </w:tcMar>
                </w:tcPr>
                <w:p>
                  <w:pPr>
                    <w:pStyle w:val="style23"/>
                    <w:rPr/>
                  </w:pPr>
                  <w:r>
                    <w:rPr/>
                    <w:t xml:space="preserve">LDF with </w:t>
                  </w:r>
                  <w:r>
                    <w:rPr/>
                    <w:t>recoloring</w:t>
                  </w:r>
                </w:p>
              </w:tc>
              <w:tc>
                <w:tcPr>
                  <w:tcW w:type="dxa" w:w="1137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2"/>
                  </w:tcMar>
                </w:tcPr>
                <w:p>
                  <w:pPr>
                    <w:pStyle w:val="style23"/>
                    <w:rPr/>
                  </w:pPr>
                  <w:r>
                    <w:rPr/>
                    <w:t>4860</w:t>
                  </w:r>
                </w:p>
              </w:tc>
              <w:tc>
                <w:tcPr>
                  <w:tcW w:type="dxa" w:w="1695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2"/>
                  </w:tcMar>
                </w:tcPr>
                <w:p>
                  <w:pPr>
                    <w:pStyle w:val="style23"/>
                    <w:rPr/>
                  </w:pPr>
                  <w:r>
                    <w:rPr/>
                    <w:t xml:space="preserve"> </w:t>
                  </w:r>
                  <w:r>
                    <w:rPr/>
                    <w:t>7.25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>5.24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>(burdened)</w:t>
                  </w:r>
                </w:p>
              </w:tc>
              <w:tc>
                <w:tcPr>
                  <w:tcW w:type="dxa" w:w="1710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2"/>
                  </w:tcMar>
                </w:tcPr>
                <w:p>
                  <w:pPr>
                    <w:pStyle w:val="style23"/>
                    <w:rPr/>
                  </w:pPr>
                  <w:r>
                    <w:rPr/>
                    <w:t>292.14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>15.44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>(burdened)</w:t>
                  </w:r>
                </w:p>
              </w:tc>
              <w:tc>
                <w:tcPr>
                  <w:tcW w:type="dxa" w:w="3862"/>
                  <w:tcBorders>
                    <w:top w:val="nil"/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left w:type="dxa" w:w="42"/>
                  </w:tcMar>
                </w:tcPr>
                <w:p>
                  <w:pPr>
                    <w:pStyle w:val="style0"/>
                    <w:rPr/>
                  </w:pPr>
                  <w:r>
                    <w:rPr/>
                    <w:t xml:space="preserve">    </w:t>
                  </w:r>
                  <w:r>
                    <w:rPr/>
                    <w:t xml:space="preserve">     </w:t>
                  </w:r>
                  <w:r>
                    <w:rPr/>
                    <w:t>2 processors:</w:t>
                    <w:tab/>
                    <w:t xml:space="preserve"> 1.80 - 2.00</w:t>
                  </w:r>
                </w:p>
                <w:p>
                  <w:pPr>
                    <w:pStyle w:val="style0"/>
                    <w:rPr/>
                  </w:pPr>
                  <w:r>
                    <w:rPr/>
                    <w:t xml:space="preserve">     </w:t>
                  </w:r>
                  <w:r>
                    <w:rPr/>
                    <w:t>4 processors:</w:t>
                    <w:tab/>
                    <w:t xml:space="preserve"> 3.01 - 4.00</w:t>
                  </w:r>
                </w:p>
                <w:p>
                  <w:pPr>
                    <w:pStyle w:val="style0"/>
                    <w:rPr/>
                  </w:pPr>
                  <w:r>
                    <w:rPr/>
                    <w:t xml:space="preserve">     </w:t>
                  </w:r>
                  <w:r>
                    <w:rPr/>
                    <w:t>8 processors:</w:t>
                    <w:tab/>
                    <w:t xml:space="preserve"> 4.52 - 8.00</w:t>
                  </w:r>
                </w:p>
                <w:p>
                  <w:pPr>
                    <w:pStyle w:val="style0"/>
                    <w:rPr/>
                  </w:pPr>
                  <w:r>
                    <w:rPr/>
                    <w:t xml:space="preserve">    </w:t>
                  </w:r>
                  <w:r>
                    <w:rPr/>
                    <w:t>16 processors:</w:t>
                    <w:tab/>
                    <w:t xml:space="preserve"> 6.03 - 16.00</w:t>
                  </w:r>
                </w:p>
                <w:p>
                  <w:pPr>
                    <w:pStyle w:val="style0"/>
                    <w:rPr/>
                  </w:pPr>
                  <w:r>
                    <w:rPr/>
                    <w:t xml:space="preserve">    </w:t>
                  </w:r>
                  <w:r>
                    <w:rPr/>
                    <w:t>32 processors:</w:t>
                    <w:tab/>
                    <w:t xml:space="preserve"> 7.25 - 32.00</w:t>
                  </w:r>
                </w:p>
                <w:p>
                  <w:pPr>
                    <w:pStyle w:val="style0"/>
                    <w:rPr/>
                  </w:pPr>
                  <w:r>
                    <w:rPr/>
                    <w:t xml:space="preserve">    </w:t>
                  </w:r>
                  <w:r>
                    <w:rPr/>
                    <w:t>64 processors:</w:t>
                    <w:tab/>
                    <w:t xml:space="preserve"> 8.06 - 64.00</w:t>
                  </w:r>
                </w:p>
                <w:p>
                  <w:pPr>
                    <w:pStyle w:val="style0"/>
                    <w:rPr/>
                  </w:pPr>
                  <w:r>
                    <w:rPr/>
                    <w:t xml:space="preserve">   </w:t>
                  </w:r>
                  <w:r>
                    <w:rPr/>
                    <w:t>128 processors:</w:t>
                    <w:tab/>
                    <w:t xml:space="preserve"> 8.54 - 128.00</w:t>
                  </w:r>
                </w:p>
                <w:p>
                  <w:pPr>
                    <w:pStyle w:val="style0"/>
                    <w:rPr/>
                  </w:pPr>
                  <w:r>
                    <w:rPr/>
                    <w:t xml:space="preserve">   </w:t>
                  </w:r>
                  <w:r>
                    <w:rPr/>
                    <w:t>256 processors:</w:t>
                    <w:tab/>
                    <w:t xml:space="preserve"> 8.80 - 256.00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451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2"/>
                  </w:tcMar>
                </w:tcPr>
                <w:p>
                  <w:pPr>
                    <w:pStyle w:val="style23"/>
                    <w:rPr/>
                  </w:pPr>
                  <w:r>
                    <w:rPr/>
                    <w:t>SDL with recoloring</w:t>
                  </w:r>
                </w:p>
              </w:tc>
              <w:tc>
                <w:tcPr>
                  <w:tcW w:type="dxa" w:w="1137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2"/>
                  </w:tcMar>
                </w:tcPr>
                <w:p>
                  <w:pPr>
                    <w:pStyle w:val="style23"/>
                    <w:rPr/>
                  </w:pPr>
                  <w:r>
                    <w:rPr/>
                    <w:t>1070</w:t>
                  </w:r>
                </w:p>
              </w:tc>
              <w:tc>
                <w:tcPr>
                  <w:tcW w:type="dxa" w:w="1695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2"/>
                  </w:tcMar>
                </w:tcPr>
                <w:p>
                  <w:pPr>
                    <w:pStyle w:val="style23"/>
                    <w:rPr/>
                  </w:pPr>
                  <w:r>
                    <w:rPr/>
                    <w:t>2.66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>1.82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>(burdened)</w:t>
                  </w:r>
                </w:p>
              </w:tc>
              <w:tc>
                <w:tcPr>
                  <w:tcW w:type="dxa" w:w="1710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2"/>
                  </w:tcMar>
                </w:tcPr>
                <w:p>
                  <w:pPr>
                    <w:pStyle w:val="style23"/>
                    <w:rPr/>
                  </w:pPr>
                  <w:r>
                    <w:rPr/>
                    <w:t>112.82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 xml:space="preserve"> </w:t>
                  </w:r>
                  <w:r>
                    <w:rPr/>
                    <w:t>3.54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>(burdened)</w:t>
                  </w:r>
                </w:p>
              </w:tc>
              <w:tc>
                <w:tcPr>
                  <w:tcW w:type="dxa" w:w="3862"/>
                  <w:tcBorders>
                    <w:top w:val="nil"/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left w:type="dxa" w:w="42"/>
                  </w:tcMar>
                </w:tcPr>
                <w:p>
                  <w:pPr>
                    <w:pStyle w:val="style23"/>
                    <w:rPr/>
                  </w:pPr>
                  <w:r>
                    <w:rPr/>
                    <w:t xml:space="preserve">     </w:t>
                  </w:r>
                  <w:r>
                    <w:rPr/>
                    <w:t xml:space="preserve">   </w:t>
                  </w:r>
                  <w:r>
                    <w:rPr/>
                    <w:t>2 processors:</w:t>
                    <w:tab/>
                    <w:t xml:space="preserve"> 1.35 - 2.00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 xml:space="preserve">     </w:t>
                  </w:r>
                  <w:r>
                    <w:rPr/>
                    <w:t>4 processors:</w:t>
                    <w:tab/>
                    <w:t xml:space="preserve"> 1.64 - 4.00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 xml:space="preserve">     </w:t>
                  </w:r>
                  <w:r>
                    <w:rPr/>
                    <w:t>8 processors:</w:t>
                    <w:tab/>
                    <w:t xml:space="preserve"> 1.83 - 8.00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 xml:space="preserve">    </w:t>
                  </w:r>
                  <w:r>
                    <w:rPr/>
                    <w:t>16 processors:</w:t>
                    <w:tab/>
                    <w:t xml:space="preserve"> 1.95 - 16.00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 xml:space="preserve">    </w:t>
                  </w:r>
                  <w:r>
                    <w:rPr/>
                    <w:t>32 processors:</w:t>
                    <w:tab/>
                    <w:t xml:space="preserve"> 2.01 - 32.00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 xml:space="preserve">    </w:t>
                  </w:r>
                  <w:r>
                    <w:rPr/>
                    <w:t>64 processors:</w:t>
                    <w:tab/>
                    <w:t xml:space="preserve"> 2.05 - 64.00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 xml:space="preserve">   </w:t>
                  </w:r>
                  <w:r>
                    <w:rPr/>
                    <w:t>128 processors:</w:t>
                    <w:tab/>
                    <w:t xml:space="preserve"> 2.06 - 112.82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 xml:space="preserve">   </w:t>
                  </w:r>
                  <w:r>
                    <w:rPr/>
                    <w:t>256 processors:</w:t>
                    <w:tab/>
                    <w:t xml:space="preserve"> 2.07 - 112.82</w:t>
                  </w:r>
                </w:p>
              </w:tc>
            </w:tr>
          </w:tbl>
          <w:p>
            <w:pPr>
              <w:pStyle w:val="style23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Cilk Screen Report :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 xml:space="preserve">Cilk screen has been run on smaller instance of data, since it takes a longer time to </w:t>
      </w:r>
      <w:r>
        <w:rPr>
          <w:b w:val="false"/>
          <w:bCs w:val="false"/>
        </w:rPr>
        <w:t xml:space="preserve">compute race in a larger data set, </w:t>
      </w:r>
    </w:p>
    <w:tbl>
      <w:tblPr>
        <w:jc w:val="left"/>
        <w:tblInd w:type="dxa" w:w="45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42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2"/>
            </w:tcMar>
          </w:tcPr>
          <w:p>
            <w:pPr>
              <w:pStyle w:val="style23"/>
              <w:rPr/>
            </w:pPr>
            <w:r>
              <w:rPr/>
              <w:t>sudhar@ubuntu:~/assignments/ConcurrentProgramming/Assignment1$ cilkscreen ./gc1 &lt; testcases/GraphColoring/Public/small/myciel4.col\(23\,71\)_mod.txt</w:t>
            </w:r>
          </w:p>
          <w:p>
            <w:pPr>
              <w:pStyle w:val="style23"/>
              <w:rPr/>
            </w:pPr>
            <w:r>
              <w:rPr/>
              <w:t>Cilkscreen Race Detector V2.0.0, Build 3566</w:t>
            </w:r>
          </w:p>
          <w:p>
            <w:pPr>
              <w:pStyle w:val="style23"/>
              <w:rPr/>
            </w:pPr>
            <w:r>
              <w:rPr/>
              <w:t>No errors found by Cilkscreen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character">
    <w:name w:val="Emphasis"/>
    <w:next w:val="style16"/>
    <w:rPr>
      <w:i/>
      <w:iCs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2014-02-21T00:48:57Z</dcterms:created>
  <dc:creator>dell </dc:creator>
  <cp:revision>0</cp:revision>
</cp:coreProperties>
</file>