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91AE" w14:textId="77777777" w:rsidR="006631D3" w:rsidRPr="00FC3208" w:rsidRDefault="006631D3" w:rsidP="006631D3">
      <w:pPr>
        <w:rPr>
          <w:rFonts w:ascii="Times New Roman" w:hAnsi="Times New Roman" w:cs="Times New Roman"/>
        </w:rPr>
      </w:pPr>
    </w:p>
    <w:p w14:paraId="2769A657" w14:textId="281CEE79" w:rsidR="006631D3" w:rsidRPr="006631D3" w:rsidRDefault="00433F87" w:rsidP="006631D3">
      <w:pPr>
        <w:rPr>
          <w:rFonts w:ascii="Times New Roman" w:hAnsi="Times New Roman" w:cs="Times New Roman"/>
          <w:b/>
          <w:bCs/>
          <w:sz w:val="24"/>
          <w:szCs w:val="24"/>
        </w:rPr>
      </w:pPr>
      <w:r w:rsidRPr="00433F87">
        <w:rPr>
          <w:rFonts w:ascii="Times New Roman" w:hAnsi="Times New Roman" w:cs="Times New Roman"/>
          <w:b/>
          <w:bCs/>
          <w:sz w:val="24"/>
          <w:szCs w:val="24"/>
        </w:rPr>
        <w:t xml:space="preserve">                                                        </w:t>
      </w:r>
      <w:r w:rsidR="006631D3" w:rsidRPr="006631D3">
        <w:rPr>
          <w:rFonts w:ascii="Times New Roman" w:hAnsi="Times New Roman" w:cs="Times New Roman"/>
          <w:b/>
          <w:bCs/>
          <w:sz w:val="24"/>
          <w:szCs w:val="24"/>
        </w:rPr>
        <w:t>CSE0001 – Digital Literacy</w:t>
      </w:r>
    </w:p>
    <w:p w14:paraId="1B1F2130" w14:textId="09C7851A" w:rsidR="006631D3" w:rsidRPr="006631D3" w:rsidRDefault="00433F87" w:rsidP="006631D3">
      <w:pPr>
        <w:rPr>
          <w:rFonts w:ascii="Times New Roman" w:hAnsi="Times New Roman" w:cs="Times New Roman"/>
          <w:b/>
          <w:bCs/>
          <w:sz w:val="24"/>
          <w:szCs w:val="24"/>
        </w:rPr>
      </w:pPr>
      <w:r w:rsidRPr="00433F87">
        <w:rPr>
          <w:rFonts w:ascii="Times New Roman" w:hAnsi="Times New Roman" w:cs="Times New Roman"/>
          <w:b/>
          <w:bCs/>
          <w:sz w:val="24"/>
          <w:szCs w:val="24"/>
        </w:rPr>
        <w:t xml:space="preserve">                                                              </w:t>
      </w:r>
      <w:r w:rsidR="006631D3" w:rsidRPr="006631D3">
        <w:rPr>
          <w:rFonts w:ascii="Times New Roman" w:hAnsi="Times New Roman" w:cs="Times New Roman"/>
          <w:b/>
          <w:bCs/>
          <w:sz w:val="24"/>
          <w:szCs w:val="24"/>
        </w:rPr>
        <w:t>Project Report</w:t>
      </w:r>
    </w:p>
    <w:p w14:paraId="1448F027" w14:textId="08696794" w:rsidR="006631D3" w:rsidRPr="006631D3" w:rsidRDefault="00433F87" w:rsidP="006631D3">
      <w:pPr>
        <w:rPr>
          <w:rFonts w:ascii="Times New Roman" w:hAnsi="Times New Roman" w:cs="Times New Roman"/>
          <w:b/>
          <w:bCs/>
          <w:sz w:val="24"/>
          <w:szCs w:val="24"/>
        </w:rPr>
      </w:pPr>
      <w:r w:rsidRPr="00433F87">
        <w:rPr>
          <w:rFonts w:ascii="Times New Roman" w:hAnsi="Times New Roman" w:cs="Times New Roman"/>
          <w:b/>
          <w:bCs/>
          <w:sz w:val="24"/>
          <w:szCs w:val="24"/>
        </w:rPr>
        <w:t xml:space="preserve">                                                 </w:t>
      </w:r>
      <w:r w:rsidR="006631D3" w:rsidRPr="006631D3">
        <w:rPr>
          <w:rFonts w:ascii="Times New Roman" w:hAnsi="Times New Roman" w:cs="Times New Roman"/>
          <w:b/>
          <w:bCs/>
          <w:sz w:val="24"/>
          <w:szCs w:val="24"/>
        </w:rPr>
        <w:t>Student Digital Ambassador Portfolio</w:t>
      </w:r>
    </w:p>
    <w:p w14:paraId="4D31C71B" w14:textId="77777777" w:rsidR="006631D3" w:rsidRPr="006631D3" w:rsidRDefault="006631D3" w:rsidP="006631D3">
      <w:pPr>
        <w:rPr>
          <w:sz w:val="24"/>
          <w:szCs w:val="24"/>
        </w:rPr>
      </w:pPr>
    </w:p>
    <w:p w14:paraId="09B046D4" w14:textId="77777777" w:rsidR="006631D3" w:rsidRPr="006631D3" w:rsidRDefault="006631D3" w:rsidP="006631D3">
      <w:pPr>
        <w:rPr>
          <w:sz w:val="24"/>
          <w:szCs w:val="24"/>
        </w:rPr>
      </w:pPr>
    </w:p>
    <w:p w14:paraId="4A99FBB2" w14:textId="77777777" w:rsidR="006631D3" w:rsidRPr="006631D3" w:rsidRDefault="006631D3" w:rsidP="006631D3">
      <w:pPr>
        <w:rPr>
          <w:sz w:val="24"/>
          <w:szCs w:val="24"/>
        </w:rPr>
      </w:pPr>
    </w:p>
    <w:p w14:paraId="1059BCD9" w14:textId="0519F6D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Name: </w:t>
      </w:r>
      <w:r w:rsidR="00FC3208">
        <w:rPr>
          <w:rFonts w:ascii="Times New Roman" w:hAnsi="Times New Roman" w:cs="Times New Roman"/>
          <w:sz w:val="24"/>
          <w:szCs w:val="24"/>
        </w:rPr>
        <w:t>Sudharsan R</w:t>
      </w:r>
    </w:p>
    <w:p w14:paraId="5DAE9ADC" w14:textId="17138FB9"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Registration No : 25MEI10</w:t>
      </w:r>
      <w:r w:rsidR="00FC3208">
        <w:rPr>
          <w:rFonts w:ascii="Times New Roman" w:hAnsi="Times New Roman" w:cs="Times New Roman"/>
          <w:b/>
          <w:bCs/>
          <w:sz w:val="24"/>
          <w:szCs w:val="24"/>
        </w:rPr>
        <w:t>121</w:t>
      </w:r>
    </w:p>
    <w:p w14:paraId="0E77D573" w14:textId="680C1801"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Branch: </w:t>
      </w:r>
      <w:r w:rsidRPr="006631D3">
        <w:rPr>
          <w:rFonts w:ascii="Times New Roman" w:hAnsi="Times New Roman" w:cs="Times New Roman"/>
          <w:sz w:val="24"/>
          <w:szCs w:val="24"/>
        </w:rPr>
        <w:t>Int.M.Tech – Computer Science Engineering &amp; cybersecurity</w:t>
      </w:r>
    </w:p>
    <w:p w14:paraId="264442FE"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Year: </w:t>
      </w:r>
      <w:r w:rsidRPr="006631D3">
        <w:rPr>
          <w:rFonts w:ascii="Times New Roman" w:hAnsi="Times New Roman" w:cs="Times New Roman"/>
          <w:sz w:val="24"/>
          <w:szCs w:val="24"/>
        </w:rPr>
        <w:t>First Year</w:t>
      </w:r>
    </w:p>
    <w:p w14:paraId="23CAD62E"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Course Code: </w:t>
      </w:r>
      <w:r w:rsidRPr="006631D3">
        <w:rPr>
          <w:rFonts w:ascii="Times New Roman" w:hAnsi="Times New Roman" w:cs="Times New Roman"/>
          <w:sz w:val="24"/>
          <w:szCs w:val="24"/>
        </w:rPr>
        <w:t>CSE0001 – Digital Literacy</w:t>
      </w:r>
    </w:p>
    <w:p w14:paraId="37875643"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Institution: </w:t>
      </w:r>
      <w:r w:rsidRPr="006631D3">
        <w:rPr>
          <w:rFonts w:ascii="Times New Roman" w:hAnsi="Times New Roman" w:cs="Times New Roman"/>
          <w:sz w:val="24"/>
          <w:szCs w:val="24"/>
        </w:rPr>
        <w:t>VIT Bhopal University</w:t>
      </w:r>
    </w:p>
    <w:p w14:paraId="5E0520FA"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Date: </w:t>
      </w:r>
      <w:r w:rsidRPr="006631D3">
        <w:rPr>
          <w:rFonts w:ascii="Times New Roman" w:hAnsi="Times New Roman" w:cs="Times New Roman"/>
          <w:sz w:val="24"/>
          <w:szCs w:val="24"/>
        </w:rPr>
        <w:t>26 March 2026</w:t>
      </w:r>
    </w:p>
    <w:p w14:paraId="05CF1275" w14:textId="77777777" w:rsidR="006631D3" w:rsidRPr="006631D3" w:rsidRDefault="006631D3" w:rsidP="006631D3">
      <w:pPr>
        <w:rPr>
          <w:rFonts w:ascii="Times New Roman" w:hAnsi="Times New Roman" w:cs="Times New Roman"/>
          <w:sz w:val="24"/>
          <w:szCs w:val="24"/>
        </w:rPr>
      </w:pPr>
    </w:p>
    <w:p w14:paraId="7403BABD" w14:textId="77777777" w:rsidR="006631D3" w:rsidRPr="006631D3" w:rsidRDefault="006631D3" w:rsidP="006631D3">
      <w:pPr>
        <w:rPr>
          <w:rFonts w:ascii="Times New Roman" w:hAnsi="Times New Roman" w:cs="Times New Roman"/>
          <w:sz w:val="24"/>
          <w:szCs w:val="24"/>
        </w:rPr>
      </w:pPr>
    </w:p>
    <w:p w14:paraId="4E1FD341" w14:textId="77777777" w:rsidR="006631D3" w:rsidRPr="006631D3" w:rsidRDefault="006631D3" w:rsidP="006631D3">
      <w:pPr>
        <w:rPr>
          <w:sz w:val="24"/>
          <w:szCs w:val="24"/>
        </w:rPr>
      </w:pPr>
    </w:p>
    <w:p w14:paraId="35F84259"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Submitted via VITyarthi Portal · GitHub Repository: github.com/Guruganesh337/Digital-Litracy</w:t>
      </w:r>
    </w:p>
    <w:p w14:paraId="10163317"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br w:type="page"/>
      </w:r>
    </w:p>
    <w:p w14:paraId="3EB2BC44" w14:textId="77777777" w:rsidR="006631D3" w:rsidRPr="006631D3" w:rsidRDefault="006631D3" w:rsidP="006631D3">
      <w:pPr>
        <w:rPr>
          <w:rFonts w:ascii="Times New Roman" w:hAnsi="Times New Roman" w:cs="Times New Roman"/>
          <w:sz w:val="24"/>
          <w:szCs w:val="24"/>
        </w:rPr>
        <w:sectPr w:rsidR="006631D3" w:rsidRPr="006631D3" w:rsidSect="00433F8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69ED5E68"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lastRenderedPageBreak/>
        <w:t xml:space="preserve">  Introduction</w:t>
      </w:r>
    </w:p>
    <w:p w14:paraId="524BB697"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This report documents my work as a Student Digital Ambassador for the CSE0001 Digital Literacy course at VIT Bhopal University. Over five interconnected tasks, I built a complete Digital Literacy Portfolio that serves both as a personal learning record and as a resource I can share with my peers.</w:t>
      </w:r>
    </w:p>
    <w:p w14:paraId="3DA88D88"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Each task corresponds to one module of the course — from creating a visual infographic on what digital literacy means, to drafting professional emails, to researching real-world cybercrime patterns. The deliverables are hosted in a public GitHub repository, which itself forms part of the submission. No prior coding knowledge was required; all tools used are free and browser-based.</w:t>
      </w:r>
    </w:p>
    <w:p w14:paraId="064A699C"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My role as Digital Ambassador gave this project a real purpose: the resources I created are not just academic exercises — they are materials I can genuinely use to help my batchmates navigate the digital world more safely and professionally.</w:t>
      </w:r>
    </w:p>
    <w:p w14:paraId="6FC238EC" w14:textId="77777777" w:rsidR="006631D3" w:rsidRPr="006631D3" w:rsidRDefault="006631D3" w:rsidP="006631D3">
      <w:pPr>
        <w:rPr>
          <w:rFonts w:ascii="Times New Roman" w:hAnsi="Times New Roman" w:cs="Times New Roman"/>
          <w:sz w:val="24"/>
          <w:szCs w:val="24"/>
        </w:rPr>
      </w:pPr>
    </w:p>
    <w:p w14:paraId="090E98DE"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Task 1 –  Digital Literacy Awareness Infographic</w:t>
      </w:r>
    </w:p>
    <w:p w14:paraId="100B3C1E"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Tool Used</w:t>
      </w:r>
    </w:p>
    <w:p w14:paraId="1A0DF89B"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I used Claude.ai's built-in SVG visual builder to design the infographic, which rendered directly in the browser with no installation required. For a physical export, the design was screenshotted and saved as a PNG file inside the task-1-presentation/ folder.</w:t>
      </w:r>
    </w:p>
    <w:p w14:paraId="25072482"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What the Design Shows</w:t>
      </w:r>
    </w:p>
    <w:p w14:paraId="1E104CAC"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The infographic is a single-page visual resource divided into five clearly colour-coded sections:</w:t>
      </w:r>
    </w:p>
    <w:p w14:paraId="725A13DC"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What digital literacy is — the four core pillars: Find, Evaluate, Create, and Communicate, shown as four distinct cards.</w:t>
      </w:r>
    </w:p>
    <w:p w14:paraId="04B8D3AA"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Useful digital tools for students — six tools in a card grid: Notion, Google Workspace, Canva, Grammarly, Trello, and Zotero, each with a one-line description and a note on free availability.</w:t>
      </w:r>
    </w:p>
    <w:p w14:paraId="419CD43C"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Safe internet practices — four actionable tips: strong passwords, two-factor authentication, spotting phishing, and public Wi-Fi caution.</w:t>
      </w:r>
    </w:p>
    <w:p w14:paraId="3886D378"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Professional online presence — four tips on LinkedIn, consistent usernames, portfolio building, and Googling yourself.</w:t>
      </w:r>
    </w:p>
    <w:p w14:paraId="276B7BFC"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Email etiquette — five illustrated cards covering subject lines, salutations, conciseness, proofreading, and sign-offs.</w:t>
      </w:r>
    </w:p>
    <w:p w14:paraId="618040C5" w14:textId="77777777" w:rsidR="006631D3" w:rsidRPr="006631D3" w:rsidRDefault="006631D3" w:rsidP="006631D3">
      <w:pPr>
        <w:rPr>
          <w:sz w:val="24"/>
          <w:szCs w:val="24"/>
        </w:rPr>
      </w:pPr>
    </w:p>
    <w:p w14:paraId="1041B7AF"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Reflection</w:t>
      </w:r>
    </w:p>
    <w:p w14:paraId="4430808D"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 xml:space="preserve">The most interesting challenge was designing a visual hierarchy that allows a viewer to absorb all five topics in under sixty seconds. I had to balance information density against </w:t>
      </w:r>
      <w:r w:rsidRPr="006631D3">
        <w:rPr>
          <w:rFonts w:ascii="Times New Roman" w:hAnsi="Times New Roman" w:cs="Times New Roman"/>
          <w:sz w:val="24"/>
          <w:szCs w:val="24"/>
        </w:rPr>
        <w:lastRenderedPageBreak/>
        <w:t>readability — too much text and the infographic becomes a document; too little and it loses educational value. Using distinct colour ramps (purple, green, red, blue, amber) for each section created instant visual separation without making the design feel cluttered. I found it particularly rewarding that the finished infographic is a resource I could actually print and display at orientation events.</w:t>
      </w:r>
    </w:p>
    <w:p w14:paraId="13C0821C" w14:textId="77777777" w:rsidR="006631D3" w:rsidRPr="006631D3" w:rsidRDefault="006631D3" w:rsidP="006631D3">
      <w:pPr>
        <w:rPr>
          <w:rFonts w:ascii="Times New Roman" w:hAnsi="Times New Roman" w:cs="Times New Roman"/>
          <w:sz w:val="24"/>
          <w:szCs w:val="24"/>
        </w:rPr>
      </w:pPr>
    </w:p>
    <w:p w14:paraId="5B4C1A54"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Task 2 –  Student Digital Portfolio</w:t>
      </w:r>
    </w:p>
    <w:p w14:paraId="119ADE29"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Platforms Set Up</w:t>
      </w:r>
    </w:p>
    <w:p w14:paraId="7D4995F8"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I created and configured accounts on three platforms: GitHub, LinkedIn, and Kaggle.</w:t>
      </w:r>
    </w:p>
    <w:p w14:paraId="0B0B4B73"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GitHub</w:t>
      </w:r>
    </w:p>
    <w:p w14:paraId="4B5A3419"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GitHub is the world's largest code hosting and version control platform. I created a profile README — a special public repository named after my username — which serves as a dynamic homepage on my GitHub profile. It includes my name, branch, year, and a brief statement about my learning goals. GitHub will be my primary platform for storing all project code, coursework, and open-source contributions throughout my degree.</w:t>
      </w:r>
    </w:p>
    <w:p w14:paraId="5E8D7B32"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LinkedIn</w:t>
      </w:r>
    </w:p>
    <w:p w14:paraId="74BC1E61"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LinkedIn is the leading professional networking platform used by employers, recruiters, and the academic community worldwide. I completed my Education section with my current degree, institution, and expected graduation year. Over the next four years, I plan to use LinkedIn to connect with seniors and alumni, document internships and certifications, and build a professional network before entering the job market.</w:t>
      </w:r>
    </w:p>
    <w:p w14:paraId="6FE65AAF"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Kaggle</w:t>
      </w:r>
    </w:p>
    <w:p w14:paraId="7331D7B1"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Kaggle is a data science and machine learning platform that hosts competitions, datasets, and community notebooks. Even as a first-year student, creating a Kaggle account positions me to explore data science concepts, follow industry practitioners, and participate in beginner competitions as my skills grow. I plan to complete Kaggle's free Python and data science courses in my second semester.</w:t>
      </w:r>
    </w:p>
    <w:p w14:paraId="5A2CA5B3"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Four-Year Plan</w:t>
      </w:r>
    </w:p>
    <w:p w14:paraId="7DDD9C5D"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In Years 1–2, I will focus on populating GitHub with academic projects and completing beginner certifications on LinkedIn Learning and Kaggle. In Years 3–4, I will actively use LinkedIn for internship applications and network with professionals, while using GitHub to showcase my final-year project and any open-source contributions.</w:t>
      </w:r>
    </w:p>
    <w:p w14:paraId="39C4A1E8" w14:textId="77777777" w:rsidR="006631D3" w:rsidRPr="006631D3" w:rsidRDefault="006631D3" w:rsidP="006631D3">
      <w:pPr>
        <w:rPr>
          <w:rFonts w:ascii="Times New Roman" w:hAnsi="Times New Roman" w:cs="Times New Roman"/>
          <w:sz w:val="24"/>
          <w:szCs w:val="24"/>
        </w:rPr>
      </w:pPr>
    </w:p>
    <w:p w14:paraId="47842084"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Task 3 –  Coding &amp; Collaboration Platforms</w:t>
      </w:r>
    </w:p>
    <w:p w14:paraId="32E03CA0"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Part A — Coding Practice (HackerRank)</w:t>
      </w:r>
    </w:p>
    <w:p w14:paraId="5F828357"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 xml:space="preserve">I created an account on HackerRank and completed the 'Solve Me First' Python challenge — a beginner-level problem that asks you to read two integers and print their sum. Though simple, it confirmed that I could navigate the online judge environment: reading from </w:t>
      </w:r>
      <w:r w:rsidRPr="006631D3">
        <w:rPr>
          <w:rFonts w:ascii="Times New Roman" w:hAnsi="Times New Roman" w:cs="Times New Roman"/>
          <w:sz w:val="24"/>
          <w:szCs w:val="24"/>
        </w:rPr>
        <w:lastRenderedPageBreak/>
        <w:t>standard input, understanding the problem statement, writing a solution, and verifying the output against test cases. I also explored the Python Introduction track, which covers data types, string formatting, and basic functions.</w:t>
      </w:r>
    </w:p>
    <w:p w14:paraId="2CF589CE"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Part B — Google Workspace (Digital Literacy Quiz)</w:t>
      </w:r>
    </w:p>
    <w:p w14:paraId="62B47E93"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I built a five-question Digital Literacy Awareness Quiz using Google Forms. The quiz covers: Two-Factor Authentication (MCQ), identifying low-credibility sources (MCQ), End-to-End Encryption (MCQ), public Wi-Fi safety (MCQ), and the Echo Chamber effect (Short Answer). I linked the form to a Google Sheet for automatic response collection, and shared the form link in the README. Responses can be viewed in real time by the Digital Ambassador team.</w:t>
      </w:r>
    </w:p>
    <w:p w14:paraId="4168A5F8"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How These Tools Help Academically</w:t>
      </w:r>
    </w:p>
    <w:p w14:paraId="66B3E964" w14:textId="77777777" w:rsidR="006631D3" w:rsidRPr="006631D3" w:rsidRDefault="006631D3" w:rsidP="006631D3">
      <w:pPr>
        <w:rPr>
          <w:sz w:val="24"/>
          <w:szCs w:val="24"/>
        </w:rPr>
      </w:pPr>
      <w:r w:rsidRPr="006631D3">
        <w:rPr>
          <w:rFonts w:ascii="Times New Roman" w:hAnsi="Times New Roman" w:cs="Times New Roman"/>
          <w:sz w:val="24"/>
          <w:szCs w:val="24"/>
        </w:rPr>
        <w:t>HackerRank builds problem-solving discipline and prepares me for technical interview assessments that most tech companies use in placement drives. Completing even basic challenges regularly builds the habit of structured thinking. Google Workspace, and Forms in particular, is practically used every day in academic life — for project coordination, data collection, peer feedback, and event registration. Knowing how to design a well-structured form with an answer key is a skill that is immediately applicable to my Digital Ambassador responsibilities.</w:t>
      </w:r>
    </w:p>
    <w:p w14:paraId="1F0D9A6A" w14:textId="77777777" w:rsidR="006631D3" w:rsidRPr="006631D3" w:rsidRDefault="006631D3" w:rsidP="006631D3">
      <w:pPr>
        <w:rPr>
          <w:sz w:val="24"/>
          <w:szCs w:val="24"/>
        </w:rPr>
      </w:pPr>
    </w:p>
    <w:p w14:paraId="67E99C5D"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Task 4 –  Professional Email &amp; Etiquette Guide</w:t>
      </w:r>
    </w:p>
    <w:p w14:paraId="08207D0C"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Email 1 — Assignment Extension Request</w:t>
      </w:r>
    </w:p>
    <w:p w14:paraId="6169DFFE"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The first email was from student Priya Sharma to Dr. Nair, requesting a three-day extension on a Data Structures assignment due to a medical issue. The email followed all professional conventions: a specific subject line referencing the course code, a formal salutation using the professor's title, a structured body that introduced the sender, explained the situation with context, stated the specific revised deadline requested, offered supporting documentation, and closed with a formal sign-off including roll number and contact details.</w:t>
      </w:r>
    </w:p>
    <w:p w14:paraId="35C2FAAD"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Email 2 — Summer Internship Application</w:t>
      </w:r>
    </w:p>
    <w:p w14:paraId="14178BCD"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The second email was from student Arjun Mehta to a TechCorp internship coordinator. It covered his academic background, relevant technical skills (Python, JavaScript, React, REST APIs), specific reasons for choosing that company, available internship dates, and an offer to share a resume and portfolio. The tone was confident but not presumptuous — it demonstrated research into the company while remaining concise and professionally structured.</w:t>
      </w:r>
    </w:p>
    <w:p w14:paraId="665AFFDA"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Communication Scenario — Poor Digital Communication</w:t>
      </w:r>
    </w:p>
    <w:p w14:paraId="4C1639DE"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 xml:space="preserve">In 2013, a US-based public relations executive tweeted a joke about AIDS before boarding a flight to Africa. By the time her eleven-hour flight landed, the tweet had gone viral globally, she had been fired, and her name had become the top trending topic worldwide. What could have been done differently? The executive could have applied the 'THINK' framework before posting — asking whether the content was True, Helpful, Inspiring, Necessary, and Kind. </w:t>
      </w:r>
      <w:r w:rsidRPr="006631D3">
        <w:rPr>
          <w:rFonts w:ascii="Times New Roman" w:hAnsi="Times New Roman" w:cs="Times New Roman"/>
          <w:sz w:val="24"/>
          <w:szCs w:val="24"/>
        </w:rPr>
        <w:lastRenderedPageBreak/>
        <w:t>More fundamentally, she could have recognised that social media posts are permanently public: there is no such thing as a small audience online. This scenario remains a powerful reminder that digital communication — even from a personal account — carries professional and social consequences that cannot be recalled once published.</w:t>
      </w:r>
    </w:p>
    <w:p w14:paraId="0BB6D42A" w14:textId="77777777" w:rsidR="006631D3" w:rsidRPr="006631D3" w:rsidRDefault="006631D3" w:rsidP="006631D3">
      <w:pPr>
        <w:rPr>
          <w:rFonts w:ascii="Times New Roman" w:hAnsi="Times New Roman" w:cs="Times New Roman"/>
          <w:sz w:val="24"/>
          <w:szCs w:val="24"/>
        </w:rPr>
      </w:pPr>
    </w:p>
    <w:p w14:paraId="7FF612EA"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Task 5 –  Cybercrime Awareness Case Study &amp; Prevention Guide</w:t>
      </w:r>
    </w:p>
    <w:p w14:paraId="1E409C09"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Case Study — UPI Collect Request Fraud</w:t>
      </w:r>
    </w:p>
    <w:p w14:paraId="2FAED705"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I chose UPI/Online Payment Fraud as my cybercrime type, focusing specifically on the 'Collect Request' scam — one of the fastest-growing fraud patterns targeting college students in India. The case study follows Rohan, a student who listed his laptop for sale on OLX and lost ₹18,000 after being tricked into entering his UPI PIN to 'accept' a payment. In reality, the PIN authorised a debit. The case study walks through all seven steps of the fraud: target identification, trust building, urgency creation, the deceptive collect request, social engineering around the PIN, execution, and disappearance. It is a realistic fictional scenario based on widely reported fraud patterns documented by the I4C (Indian Cybercrime Coordination Centre).</w:t>
      </w:r>
    </w:p>
    <w:p w14:paraId="617B94CF"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Prevention Checklist</w:t>
      </w:r>
    </w:p>
    <w:p w14:paraId="5D08B9AA"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The Stay Safe Online checklist contains fifteen actionable tips organised into four categories:</w:t>
      </w:r>
    </w:p>
    <w:p w14:paraId="32C7A140"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General online safety — passwords, 2FA, link verification, app sources, public Wi-Fi, permissions, screen lock, shared device logout.</w:t>
      </w:r>
    </w:p>
    <w:p w14:paraId="2F81DCB5"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UPI-specific safety — the PIN rule (you never enter a PIN to receive money), QR code caution, daily transaction limits, and weekly statement checks.</w:t>
      </w:r>
    </w:p>
    <w:p w14:paraId="23FCD808"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Social media and identity safety — not posting ID documents, recognising fake job offers, and reporting cyberbullying.</w:t>
      </w:r>
    </w:p>
    <w:p w14:paraId="35F8814D"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Victim response guide — a five-step action plan emphasising speed, with Helpline 1930 and cybercrime.gov.in as the primary reporting channels.</w:t>
      </w:r>
    </w:p>
    <w:p w14:paraId="19852B03" w14:textId="77777777" w:rsidR="006631D3" w:rsidRPr="006631D3" w:rsidRDefault="006631D3" w:rsidP="006631D3">
      <w:pPr>
        <w:rPr>
          <w:rFonts w:ascii="Times New Roman" w:hAnsi="Times New Roman" w:cs="Times New Roman"/>
          <w:sz w:val="24"/>
          <w:szCs w:val="24"/>
        </w:rPr>
      </w:pPr>
    </w:p>
    <w:p w14:paraId="24CFC2DF"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Reflection — What Surprised Me Most</w:t>
      </w:r>
    </w:p>
    <w:p w14:paraId="5173A201"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The most surprising finding was how low-tech most UPI frauds actually are. I had assumed cybercrime required hacking skills or malware. In reality, the collect request scam requires zero technical ability from the fraudster — the entire attack is psychological. It exploits one small knowledge gap: victims do not know that a UPI PIN is only required to send money, never to receive it. What surprised me further was the scale — over 95,000 UPI fraud complaints were registered in India in 2023 alone, predominantly involving young, first-time digital payment users. As a result, the one habit I will personally change is always waiting sixty seconds before completing any financial transaction initiated by someone I met online. Urgency is the fraudster's most powerful tool — removing it removes most of the risk.</w:t>
      </w:r>
    </w:p>
    <w:p w14:paraId="5C1AD4A8" w14:textId="77777777" w:rsidR="006631D3" w:rsidRPr="006631D3" w:rsidRDefault="006631D3" w:rsidP="006631D3">
      <w:pPr>
        <w:rPr>
          <w:rFonts w:ascii="Times New Roman" w:hAnsi="Times New Roman" w:cs="Times New Roman"/>
          <w:sz w:val="24"/>
          <w:szCs w:val="24"/>
        </w:rPr>
      </w:pPr>
    </w:p>
    <w:p w14:paraId="0C5D1823"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lastRenderedPageBreak/>
        <w:t xml:space="preserve">  Conclusion</w:t>
      </w:r>
    </w:p>
    <w:p w14:paraId="6A73A7CA"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This project transformed five abstract course modules into a real, usable portfolio. I began Task 1 thinking of digital literacy as a general concept; by Task 5, I understood it as a specific set of skills — evaluating sources, communicating professionally, managing your digital identity, staying financially safe online — that have immediate, practical consequences for a college student.</w:t>
      </w:r>
    </w:p>
    <w:p w14:paraId="71F8EF9C"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The GitHub repository structure taught me something valuable beyond the course content: how to organise and present your work publicly. Every file in this repository is something I could show to a professor, an internship coordinator, or a peer. That sense of real audience made every task feel purposeful rather than academic.</w:t>
      </w:r>
    </w:p>
    <w:p w14:paraId="760D1DD8"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As a Digital Ambassador, I now have a set of resources — the infographic, the quiz, the cybercrime case study, the email templates — that I can genuinely share with my batchmates. That is, I think, exactly what the course intended.</w:t>
      </w:r>
    </w:p>
    <w:p w14:paraId="703ED024" w14:textId="77777777" w:rsidR="006631D3" w:rsidRPr="006631D3" w:rsidRDefault="006631D3" w:rsidP="006631D3">
      <w:pPr>
        <w:rPr>
          <w:rFonts w:ascii="Times New Roman" w:hAnsi="Times New Roman" w:cs="Times New Roman"/>
          <w:sz w:val="24"/>
          <w:szCs w:val="24"/>
        </w:rPr>
      </w:pPr>
    </w:p>
    <w:p w14:paraId="34C3EBD7"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 xml:space="preserve">  References</w:t>
      </w:r>
    </w:p>
    <w:p w14:paraId="5B3B6D32"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Ministry of Home Affairs, Indian Cybercrime Coordination Centre (I4C) — Annual Report 2023. mha.gov.in</w:t>
      </w:r>
    </w:p>
    <w:p w14:paraId="11D90C0E"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Reserve Bank of India — UPI Safety Guidelines. rbi.org.in</w:t>
      </w:r>
    </w:p>
    <w:p w14:paraId="4EB03659"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National Cyber Crime Reporting Portal — cybercrime.gov.in</w:t>
      </w:r>
    </w:p>
    <w:p w14:paraId="5921D630"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National Cyber Crime Helpline — 1930 (24x7)</w:t>
      </w:r>
    </w:p>
    <w:p w14:paraId="0222D1D3"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VIT Bhopal University — CSE0001 Digital Literacy Project Assignment Brief (2024–25)</w:t>
      </w:r>
    </w:p>
    <w:p w14:paraId="0CD82BBA"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HackerRank — hackerrank.com</w:t>
      </w:r>
    </w:p>
    <w:p w14:paraId="5C122828"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Google Forms — forms.google.com</w:t>
      </w:r>
    </w:p>
    <w:p w14:paraId="3F9B7019"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GitHub — github.com</w:t>
      </w:r>
    </w:p>
    <w:p w14:paraId="49283703"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LinkedIn — linkedin.com</w:t>
      </w:r>
    </w:p>
    <w:p w14:paraId="26D35651"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Kaggle — kaggle.com</w:t>
      </w:r>
    </w:p>
    <w:p w14:paraId="14A32E4E" w14:textId="77777777" w:rsidR="006631D3" w:rsidRPr="006631D3" w:rsidRDefault="006631D3" w:rsidP="006631D3">
      <w:pPr>
        <w:rPr>
          <w:sz w:val="24"/>
          <w:szCs w:val="24"/>
        </w:rPr>
      </w:pPr>
    </w:p>
    <w:p w14:paraId="533427BF"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 End of Report —</w:t>
      </w:r>
    </w:p>
    <w:p w14:paraId="12E5BA2F" w14:textId="0C159F95" w:rsidR="006631D3" w:rsidRPr="006631D3" w:rsidRDefault="006631D3" w:rsidP="006631D3">
      <w:pPr>
        <w:rPr>
          <w:rFonts w:ascii="Times New Roman" w:hAnsi="Times New Roman" w:cs="Times New Roman"/>
        </w:rPr>
      </w:pPr>
      <w:r w:rsidRPr="006631D3">
        <w:rPr>
          <w:rFonts w:ascii="Times New Roman" w:hAnsi="Times New Roman" w:cs="Times New Roman"/>
          <w:sz w:val="24"/>
          <w:szCs w:val="24"/>
        </w:rPr>
        <w:t xml:space="preserve">CSE0001 · Digital Literacy · VIT Bhopal University · </w:t>
      </w:r>
    </w:p>
    <w:p w14:paraId="06302379" w14:textId="77777777" w:rsidR="00A67352" w:rsidRPr="00433F87" w:rsidRDefault="00A67352">
      <w:pPr>
        <w:rPr>
          <w:rFonts w:ascii="Times New Roman" w:hAnsi="Times New Roman" w:cs="Times New Roman"/>
        </w:rPr>
      </w:pPr>
    </w:p>
    <w:sectPr w:rsidR="00A67352" w:rsidRPr="00433F87" w:rsidSect="00433F8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A22"/>
    <w:multiLevelType w:val="hybridMultilevel"/>
    <w:tmpl w:val="CDAE1C20"/>
    <w:lvl w:ilvl="0" w:tplc="7C089FE6">
      <w:start w:val="1"/>
      <w:numFmt w:val="bullet"/>
      <w:lvlText w:val="•"/>
      <w:lvlJc w:val="left"/>
      <w:pPr>
        <w:ind w:left="720" w:hanging="360"/>
      </w:pPr>
    </w:lvl>
    <w:lvl w:ilvl="1" w:tplc="D9E6D1C0">
      <w:numFmt w:val="decimal"/>
      <w:lvlText w:val=""/>
      <w:lvlJc w:val="left"/>
      <w:pPr>
        <w:ind w:left="0" w:firstLine="0"/>
      </w:pPr>
    </w:lvl>
    <w:lvl w:ilvl="2" w:tplc="3B5E0A4A">
      <w:numFmt w:val="decimal"/>
      <w:lvlText w:val=""/>
      <w:lvlJc w:val="left"/>
      <w:pPr>
        <w:ind w:left="0" w:firstLine="0"/>
      </w:pPr>
    </w:lvl>
    <w:lvl w:ilvl="3" w:tplc="1EB8FD24">
      <w:numFmt w:val="decimal"/>
      <w:lvlText w:val=""/>
      <w:lvlJc w:val="left"/>
      <w:pPr>
        <w:ind w:left="0" w:firstLine="0"/>
      </w:pPr>
    </w:lvl>
    <w:lvl w:ilvl="4" w:tplc="F8F6A806">
      <w:numFmt w:val="decimal"/>
      <w:lvlText w:val=""/>
      <w:lvlJc w:val="left"/>
      <w:pPr>
        <w:ind w:left="0" w:firstLine="0"/>
      </w:pPr>
    </w:lvl>
    <w:lvl w:ilvl="5" w:tplc="68089468">
      <w:numFmt w:val="decimal"/>
      <w:lvlText w:val=""/>
      <w:lvlJc w:val="left"/>
      <w:pPr>
        <w:ind w:left="0" w:firstLine="0"/>
      </w:pPr>
    </w:lvl>
    <w:lvl w:ilvl="6" w:tplc="CCE62B9C">
      <w:numFmt w:val="decimal"/>
      <w:lvlText w:val=""/>
      <w:lvlJc w:val="left"/>
      <w:pPr>
        <w:ind w:left="0" w:firstLine="0"/>
      </w:pPr>
    </w:lvl>
    <w:lvl w:ilvl="7" w:tplc="53600FF6">
      <w:numFmt w:val="decimal"/>
      <w:lvlText w:val=""/>
      <w:lvlJc w:val="left"/>
      <w:pPr>
        <w:ind w:left="0" w:firstLine="0"/>
      </w:pPr>
    </w:lvl>
    <w:lvl w:ilvl="8" w:tplc="C154307A">
      <w:numFmt w:val="decimal"/>
      <w:lvlText w:val=""/>
      <w:lvlJc w:val="left"/>
      <w:pPr>
        <w:ind w:left="0" w:firstLine="0"/>
      </w:pPr>
    </w:lvl>
  </w:abstractNum>
  <w:num w:numId="1" w16cid:durableId="2008363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1D3"/>
    <w:rsid w:val="001813EA"/>
    <w:rsid w:val="00433F87"/>
    <w:rsid w:val="00493320"/>
    <w:rsid w:val="00616BD5"/>
    <w:rsid w:val="006631D3"/>
    <w:rsid w:val="00A67352"/>
    <w:rsid w:val="00AB44C3"/>
    <w:rsid w:val="00D41DE7"/>
    <w:rsid w:val="00E31D6C"/>
    <w:rsid w:val="00FC3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A3C89"/>
  <w15:chartTrackingRefBased/>
  <w15:docId w15:val="{8F622EA9-B6FC-4622-B6F0-37FE4F165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1D3"/>
    <w:rPr>
      <w:rFonts w:eastAsiaTheme="majorEastAsia" w:cstheme="majorBidi"/>
      <w:color w:val="272727" w:themeColor="text1" w:themeTint="D8"/>
    </w:rPr>
  </w:style>
  <w:style w:type="paragraph" w:styleId="Title">
    <w:name w:val="Title"/>
    <w:basedOn w:val="Normal"/>
    <w:next w:val="Normal"/>
    <w:link w:val="TitleChar"/>
    <w:uiPriority w:val="10"/>
    <w:qFormat/>
    <w:rsid w:val="00663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1D3"/>
    <w:pPr>
      <w:spacing w:before="160"/>
      <w:jc w:val="center"/>
    </w:pPr>
    <w:rPr>
      <w:i/>
      <w:iCs/>
      <w:color w:val="404040" w:themeColor="text1" w:themeTint="BF"/>
    </w:rPr>
  </w:style>
  <w:style w:type="character" w:customStyle="1" w:styleId="QuoteChar">
    <w:name w:val="Quote Char"/>
    <w:basedOn w:val="DefaultParagraphFont"/>
    <w:link w:val="Quote"/>
    <w:uiPriority w:val="29"/>
    <w:rsid w:val="006631D3"/>
    <w:rPr>
      <w:i/>
      <w:iCs/>
      <w:color w:val="404040" w:themeColor="text1" w:themeTint="BF"/>
    </w:rPr>
  </w:style>
  <w:style w:type="paragraph" w:styleId="ListParagraph">
    <w:name w:val="List Paragraph"/>
    <w:basedOn w:val="Normal"/>
    <w:uiPriority w:val="34"/>
    <w:qFormat/>
    <w:rsid w:val="006631D3"/>
    <w:pPr>
      <w:ind w:left="720"/>
      <w:contextualSpacing/>
    </w:pPr>
  </w:style>
  <w:style w:type="character" w:styleId="IntenseEmphasis">
    <w:name w:val="Intense Emphasis"/>
    <w:basedOn w:val="DefaultParagraphFont"/>
    <w:uiPriority w:val="21"/>
    <w:qFormat/>
    <w:rsid w:val="006631D3"/>
    <w:rPr>
      <w:i/>
      <w:iCs/>
      <w:color w:val="0F4761" w:themeColor="accent1" w:themeShade="BF"/>
    </w:rPr>
  </w:style>
  <w:style w:type="paragraph" w:styleId="IntenseQuote">
    <w:name w:val="Intense Quote"/>
    <w:basedOn w:val="Normal"/>
    <w:next w:val="Normal"/>
    <w:link w:val="IntenseQuoteChar"/>
    <w:uiPriority w:val="30"/>
    <w:qFormat/>
    <w:rsid w:val="00663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1D3"/>
    <w:rPr>
      <w:i/>
      <w:iCs/>
      <w:color w:val="0F4761" w:themeColor="accent1" w:themeShade="BF"/>
    </w:rPr>
  </w:style>
  <w:style w:type="character" w:styleId="IntenseReference">
    <w:name w:val="Intense Reference"/>
    <w:basedOn w:val="DefaultParagraphFont"/>
    <w:uiPriority w:val="32"/>
    <w:qFormat/>
    <w:rsid w:val="00663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1863</Words>
  <Characters>10623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ganesh</dc:creator>
  <cp:keywords/>
  <dc:description/>
  <cp:lastModifiedBy>Guru ganesh</cp:lastModifiedBy>
  <cp:revision>3</cp:revision>
  <dcterms:created xsi:type="dcterms:W3CDTF">2026-03-26T17:26:00Z</dcterms:created>
  <dcterms:modified xsi:type="dcterms:W3CDTF">2026-03-31T16:10:00Z</dcterms:modified>
</cp:coreProperties>
</file>