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338CA"/>
          <w:sz w:val="22"/>
        </w:rPr>
        <w:t>Ideation Phase</w:t>
      </w:r>
    </w:p>
    <w:p>
      <w:r>
        <w:rPr>
          <w:b/>
          <w:color w:val="1E1B4B"/>
          <w:sz w:val="32"/>
        </w:rPr>
        <w:t>Define the Problem Statements</w:t>
      </w:r>
    </w:p>
    <w:tbl>
      <w:tblPr>
        <w:tblStyle w:val="TableGrid"/>
        <w:tblW w:type="auto" w:w="0"/>
        <w:jc w:val="center"/>
        <w:tblLook w:firstColumn="1" w:firstRow="1" w:lastColumn="0" w:lastRow="0" w:noHBand="0" w:noVBand="1" w:val="04A0"/>
      </w:tblPr>
      <w:tblGrid>
        <w:gridCol w:w="4819"/>
        <w:gridCol w:w="4819"/>
      </w:tblGrid>
      <w:tr>
        <w:tc>
          <w:tcPr>
            <w:tcW w:type="dxa" w:w="2304"/>
            <w:shd w:val="clear" w:color="auto" w:fill="EEF2FF"/>
          </w:tcPr>
          <w:p>
            <w:r/>
            <w:r>
              <w:rPr>
                <w:b/>
                <w:sz w:val="20"/>
              </w:rPr>
              <w:t>Date</w:t>
            </w:r>
          </w:p>
        </w:tc>
        <w:tc>
          <w:tcPr>
            <w:tcW w:type="dxa" w:w="6768"/>
          </w:tcPr>
          <w:p>
            <w:r/>
            <w:r>
              <w:rPr>
                <w:b w:val="0"/>
                <w:sz w:val="20"/>
              </w:rPr>
              <w:t>14 July 2026</w:t>
            </w:r>
          </w:p>
        </w:tc>
      </w:tr>
      <w:tr>
        <w:tc>
          <w:tcPr>
            <w:tcW w:type="dxa" w:w="2304"/>
            <w:shd w:val="clear" w:color="auto" w:fill="EEF2FF"/>
          </w:tcPr>
          <w:p>
            <w:r/>
            <w:r>
              <w:rPr>
                <w:b/>
                <w:sz w:val="20"/>
              </w:rPr>
              <w:t>Team ID</w:t>
            </w:r>
          </w:p>
        </w:tc>
        <w:tc>
          <w:tcPr>
            <w:tcW w:type="dxa" w:w="6768"/>
          </w:tcPr>
          <w:p>
            <w:r/>
            <w:r>
              <w:rPr>
                <w:b w:val="0"/>
                <w:sz w:val="20"/>
              </w:rPr>
            </w:r>
          </w:p>
        </w:tc>
      </w:tr>
      <w:tr>
        <w:tc>
          <w:tcPr>
            <w:tcW w:type="dxa" w:w="2304"/>
            <w:shd w:val="clear" w:color="auto" w:fill="EEF2FF"/>
          </w:tcPr>
          <w:p>
            <w:r/>
            <w:r>
              <w:rPr>
                <w:b/>
                <w:sz w:val="20"/>
              </w:rPr>
              <w:t>Project Name</w:t>
            </w:r>
          </w:p>
        </w:tc>
        <w:tc>
          <w:tcPr>
            <w:tcW w:type="dxa" w:w="6768"/>
          </w:tcPr>
          <w:p>
            <w:r/>
            <w:r>
              <w:rPr>
                <w:b w:val="0"/>
                <w:sz w:val="20"/>
              </w:rPr>
              <w:t>HouseRent India — MERN Property Rental &amp; Sale Platform</w:t>
            </w:r>
          </w:p>
        </w:tc>
      </w:tr>
      <w:tr>
        <w:tc>
          <w:tcPr>
            <w:tcW w:type="dxa" w:w="2304"/>
            <w:shd w:val="clear" w:color="auto" w:fill="EEF2FF"/>
          </w:tcPr>
          <w:p>
            <w:r/>
            <w:r>
              <w:rPr>
                <w:b/>
                <w:sz w:val="20"/>
              </w:rPr>
              <w:t>Maximum Marks</w:t>
            </w:r>
          </w:p>
        </w:tc>
        <w:tc>
          <w:tcPr>
            <w:tcW w:type="dxa" w:w="6768"/>
          </w:tcPr>
          <w:p>
            <w:r/>
            <w:r>
              <w:rPr>
                <w:b w:val="0"/>
                <w:sz w:val="20"/>
              </w:rPr>
              <w:t>2 Marks</w:t>
            </w:r>
          </w:p>
        </w:tc>
      </w:tr>
    </w:tbl>
    <w:p/>
    <w:p>
      <w:r>
        <w:rPr>
          <w:b/>
          <w:color w:val="1E1B4B"/>
          <w:sz w:val="25"/>
        </w:rPr>
        <w:t>Customer Problem Statement Template:</w:t>
      </w:r>
    </w:p>
    <w:p>
      <w:r>
        <w:rPr>
          <w:i w:val="0"/>
          <w:sz w:val="21"/>
        </w:rPr>
        <w:t>A well-articulated customer problem statement allows the team to find the ideal solution for the challenges HouseRent India's users face, in the classic "I am ... trying to ... but ... because ... which makes me feel ..." format.</w:t>
      </w:r>
    </w:p>
    <w:p/>
    <w:p>
      <w:pPr>
        <w:jc w:val="center"/>
      </w:pPr>
      <w:r>
        <w:drawing>
          <wp:inline xmlns:a="http://schemas.openxmlformats.org/drawingml/2006/main" xmlns:pic="http://schemas.openxmlformats.org/drawingml/2006/picture">
            <wp:extent cx="5852160" cy="1521562"/>
            <wp:docPr id="1" name="Picture 1"/>
            <wp:cNvGraphicFramePr>
              <a:graphicFrameLocks noChangeAspect="1"/>
            </wp:cNvGraphicFramePr>
            <a:graphic>
              <a:graphicData uri="http://schemas.openxmlformats.org/drawingml/2006/picture">
                <pic:pic>
                  <pic:nvPicPr>
                    <pic:cNvPr id="0" name="problem_statement_canvas.png"/>
                    <pic:cNvPicPr/>
                  </pic:nvPicPr>
                  <pic:blipFill>
                    <a:blip r:embed="rId9"/>
                    <a:stretch>
                      <a:fillRect/>
                    </a:stretch>
                  </pic:blipFill>
                  <pic:spPr>
                    <a:xfrm>
                      <a:off x="0" y="0"/>
                      <a:ext cx="5852160" cy="1521562"/>
                    </a:xfrm>
                    <a:prstGeom prst="rect"/>
                  </pic:spPr>
                </pic:pic>
              </a:graphicData>
            </a:graphic>
          </wp:inline>
        </w:drawing>
      </w:r>
    </w:p>
    <w:p>
      <w:pPr>
        <w:jc w:val="center"/>
      </w:pPr>
      <w:r>
        <w:rPr>
          <w:i/>
          <w:color w:val="374151"/>
          <w:sz w:val="18"/>
        </w:rPr>
        <w:t>Figure 1: Problem statement canvas — worked example for PS-1</w:t>
      </w:r>
    </w:p>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720"/>
            <w:shd w:val="clear" w:color="auto" w:fill="4338CA"/>
          </w:tcPr>
          <w:p>
            <w:r/>
            <w:r>
              <w:rPr>
                <w:b/>
                <w:color w:val="FFFFFF"/>
                <w:sz w:val="19"/>
              </w:rPr>
              <w:t>PS</w:t>
            </w:r>
          </w:p>
        </w:tc>
        <w:tc>
          <w:tcPr>
            <w:tcW w:type="dxa" w:w="1512"/>
            <w:shd w:val="clear" w:color="auto" w:fill="4338CA"/>
          </w:tcPr>
          <w:p>
            <w:r/>
            <w:r>
              <w:rPr>
                <w:b/>
                <w:color w:val="FFFFFF"/>
                <w:sz w:val="19"/>
              </w:rPr>
              <w:t>I am (Customer)</w:t>
            </w:r>
          </w:p>
        </w:tc>
        <w:tc>
          <w:tcPr>
            <w:tcW w:type="dxa" w:w="1512"/>
            <w:shd w:val="clear" w:color="auto" w:fill="4338CA"/>
          </w:tcPr>
          <w:p>
            <w:r/>
            <w:r>
              <w:rPr>
                <w:b/>
                <w:color w:val="FFFFFF"/>
                <w:sz w:val="19"/>
              </w:rPr>
              <w:t>I'm trying to</w:t>
            </w:r>
          </w:p>
        </w:tc>
        <w:tc>
          <w:tcPr>
            <w:tcW w:type="dxa" w:w="1584"/>
            <w:shd w:val="clear" w:color="auto" w:fill="4338CA"/>
          </w:tcPr>
          <w:p>
            <w:r/>
            <w:r>
              <w:rPr>
                <w:b/>
                <w:color w:val="FFFFFF"/>
                <w:sz w:val="19"/>
              </w:rPr>
              <w:t>But</w:t>
            </w:r>
          </w:p>
        </w:tc>
        <w:tc>
          <w:tcPr>
            <w:tcW w:type="dxa" w:w="1656"/>
            <w:shd w:val="clear" w:color="auto" w:fill="4338CA"/>
          </w:tcPr>
          <w:p>
            <w:r/>
            <w:r>
              <w:rPr>
                <w:b/>
                <w:color w:val="FFFFFF"/>
                <w:sz w:val="19"/>
              </w:rPr>
              <w:t>Because</w:t>
            </w:r>
          </w:p>
        </w:tc>
        <w:tc>
          <w:tcPr>
            <w:tcW w:type="dxa" w:w="1656"/>
            <w:shd w:val="clear" w:color="auto" w:fill="4338CA"/>
          </w:tcPr>
          <w:p>
            <w:r/>
            <w:r>
              <w:rPr>
                <w:b/>
                <w:color w:val="FFFFFF"/>
                <w:sz w:val="19"/>
              </w:rPr>
              <w:t>Which makes me feel</w:t>
            </w:r>
          </w:p>
        </w:tc>
      </w:tr>
      <w:tr>
        <w:tc>
          <w:tcPr>
            <w:tcW w:type="dxa" w:w="720"/>
          </w:tcPr>
          <w:p>
            <w:r/>
            <w:r>
              <w:rPr>
                <w:b w:val="0"/>
                <w:sz w:val="19"/>
              </w:rPr>
              <w:t>PS-1</w:t>
            </w:r>
          </w:p>
        </w:tc>
        <w:tc>
          <w:tcPr>
            <w:tcW w:type="dxa" w:w="1512"/>
          </w:tcPr>
          <w:p>
            <w:r/>
            <w:r>
              <w:rPr>
                <w:b w:val="0"/>
                <w:sz w:val="19"/>
              </w:rPr>
              <w:t>a renter/buyer searching</w:t>
              <w:br/>
              <w:t>for a new home</w:t>
            </w:r>
          </w:p>
        </w:tc>
        <w:tc>
          <w:tcPr>
            <w:tcW w:type="dxa" w:w="1512"/>
          </w:tcPr>
          <w:p>
            <w:r/>
            <w:r>
              <w:rPr>
                <w:b w:val="0"/>
                <w:sz w:val="19"/>
              </w:rPr>
              <w:t>find a genuine, available</w:t>
              <w:br/>
              <w:t>property quickly</w:t>
            </w:r>
          </w:p>
        </w:tc>
        <w:tc>
          <w:tcPr>
            <w:tcW w:type="dxa" w:w="1584"/>
          </w:tcPr>
          <w:p>
            <w:r/>
            <w:r>
              <w:rPr>
                <w:b w:val="0"/>
                <w:sz w:val="19"/>
              </w:rPr>
              <w:t>listings on classifieds and</w:t>
              <w:br/>
              <w:t>broker groups are outdated,</w:t>
              <w:br/>
              <w:t>duplicated, or fake</w:t>
            </w:r>
          </w:p>
        </w:tc>
        <w:tc>
          <w:tcPr>
            <w:tcW w:type="dxa" w:w="1656"/>
          </w:tcPr>
          <w:p>
            <w:r/>
            <w:r>
              <w:rPr>
                <w:b w:val="0"/>
                <w:sz w:val="19"/>
              </w:rPr>
              <w:t>there is no single verified</w:t>
              <w:br/>
              <w:t>source with real photos and</w:t>
              <w:br/>
              <w:t>owner-confirmed availability</w:t>
            </w:r>
          </w:p>
        </w:tc>
        <w:tc>
          <w:tcPr>
            <w:tcW w:type="dxa" w:w="1656"/>
          </w:tcPr>
          <w:p>
            <w:r/>
            <w:r>
              <w:rPr>
                <w:b w:val="0"/>
                <w:sz w:val="19"/>
              </w:rPr>
              <w:t>frustrated, anxious about my</w:t>
              <w:br/>
              <w:t>move-in deadline, and</w:t>
              <w:br/>
              <w:t>distrustful of the process</w:t>
            </w:r>
          </w:p>
        </w:tc>
      </w:tr>
      <w:tr>
        <w:tc>
          <w:tcPr>
            <w:tcW w:type="dxa" w:w="720"/>
          </w:tcPr>
          <w:p>
            <w:r/>
            <w:r>
              <w:rPr>
                <w:b w:val="0"/>
                <w:sz w:val="19"/>
              </w:rPr>
              <w:t>PS-2</w:t>
            </w:r>
          </w:p>
        </w:tc>
        <w:tc>
          <w:tcPr>
            <w:tcW w:type="dxa" w:w="1512"/>
          </w:tcPr>
          <w:p>
            <w:r/>
            <w:r>
              <w:rPr>
                <w:b w:val="0"/>
                <w:sz w:val="19"/>
              </w:rPr>
              <w:t>a property owner with</w:t>
              <w:br/>
              <w:t>units to rent or sell</w:t>
            </w:r>
          </w:p>
        </w:tc>
        <w:tc>
          <w:tcPr>
            <w:tcW w:type="dxa" w:w="1512"/>
          </w:tcPr>
          <w:p>
            <w:r/>
            <w:r>
              <w:rPr>
                <w:b w:val="0"/>
                <w:sz w:val="19"/>
              </w:rPr>
              <w:t>reach serious tenants/buyers</w:t>
              <w:br/>
              <w:t>without constant phone calls</w:t>
            </w:r>
          </w:p>
        </w:tc>
        <w:tc>
          <w:tcPr>
            <w:tcW w:type="dxa" w:w="1584"/>
          </w:tcPr>
          <w:p>
            <w:r/>
            <w:r>
              <w:rPr>
                <w:b w:val="0"/>
                <w:sz w:val="19"/>
              </w:rPr>
              <w:t>enquiries come in unstructured</w:t>
              <w:br/>
              <w:t>via calls/WhatsApp with</w:t>
              <w:br/>
              <w:t>no record</w:t>
            </w:r>
          </w:p>
        </w:tc>
        <w:tc>
          <w:tcPr>
            <w:tcW w:type="dxa" w:w="1656"/>
          </w:tcPr>
          <w:p>
            <w:r/>
            <w:r>
              <w:rPr>
                <w:b w:val="0"/>
                <w:sz w:val="19"/>
              </w:rPr>
              <w:t>there is no dashboard to</w:t>
              <w:br/>
              <w:t>list, track, and respond to</w:t>
              <w:br/>
              <w:t>requests in one place</w:t>
            </w:r>
          </w:p>
        </w:tc>
        <w:tc>
          <w:tcPr>
            <w:tcW w:type="dxa" w:w="1656"/>
          </w:tcPr>
          <w:p>
            <w:r/>
            <w:r>
              <w:rPr>
                <w:b w:val="0"/>
                <w:sz w:val="19"/>
              </w:rPr>
              <w:t>overwhelmed and unsure who</w:t>
              <w:br/>
              <w:t>is a genuine, ready buyer</w:t>
            </w:r>
          </w:p>
        </w:tc>
      </w:tr>
      <w:tr>
        <w:tc>
          <w:tcPr>
            <w:tcW w:type="dxa" w:w="720"/>
          </w:tcPr>
          <w:p>
            <w:r/>
            <w:r>
              <w:rPr>
                <w:b w:val="0"/>
                <w:sz w:val="19"/>
              </w:rPr>
              <w:t>PS-3</w:t>
            </w:r>
          </w:p>
        </w:tc>
        <w:tc>
          <w:tcPr>
            <w:tcW w:type="dxa" w:w="1512"/>
          </w:tcPr>
          <w:p>
            <w:r/>
            <w:r>
              <w:rPr>
                <w:b w:val="0"/>
                <w:sz w:val="19"/>
              </w:rPr>
              <w:t>a renter/buyer who has</w:t>
              <w:br/>
              <w:t>sent a booking request</w:t>
            </w:r>
          </w:p>
        </w:tc>
        <w:tc>
          <w:tcPr>
            <w:tcW w:type="dxa" w:w="1512"/>
          </w:tcPr>
          <w:p>
            <w:r/>
            <w:r>
              <w:rPr>
                <w:b w:val="0"/>
                <w:sz w:val="19"/>
              </w:rPr>
              <w:t>negotiate details or ask</w:t>
              <w:br/>
              <w:t>questions directly with the owner</w:t>
            </w:r>
          </w:p>
        </w:tc>
        <w:tc>
          <w:tcPr>
            <w:tcW w:type="dxa" w:w="1584"/>
          </w:tcPr>
          <w:p>
            <w:r/>
            <w:r>
              <w:rPr>
                <w:b w:val="0"/>
                <w:sz w:val="19"/>
              </w:rPr>
              <w:t>there is no direct channel</w:t>
              <w:br/>
              <w:t>once a request is sent</w:t>
            </w:r>
          </w:p>
        </w:tc>
        <w:tc>
          <w:tcPr>
            <w:tcW w:type="dxa" w:w="1656"/>
          </w:tcPr>
          <w:p>
            <w:r/>
            <w:r>
              <w:rPr>
                <w:b w:val="0"/>
                <w:sz w:val="19"/>
              </w:rPr>
              <w:t>communication happens only</w:t>
              <w:br/>
              <w:t>over personal phone numbers,</w:t>
              <w:br/>
              <w:t>which feels unsafe</w:t>
            </w:r>
          </w:p>
        </w:tc>
        <w:tc>
          <w:tcPr>
            <w:tcW w:type="dxa" w:w="1656"/>
          </w:tcPr>
          <w:p>
            <w:r/>
            <w:r>
              <w:rPr>
                <w:b w:val="0"/>
                <w:sz w:val="19"/>
              </w:rPr>
              <w:t>hesitant to share personal</w:t>
              <w:br/>
              <w:t>contact details with a stranger</w:t>
            </w:r>
          </w:p>
        </w:tc>
      </w:tr>
      <w:tr>
        <w:tc>
          <w:tcPr>
            <w:tcW w:type="dxa" w:w="720"/>
          </w:tcPr>
          <w:p>
            <w:r/>
            <w:r>
              <w:rPr>
                <w:b w:val="0"/>
                <w:sz w:val="19"/>
              </w:rPr>
              <w:t>PS-4</w:t>
            </w:r>
          </w:p>
        </w:tc>
        <w:tc>
          <w:tcPr>
            <w:tcW w:type="dxa" w:w="1512"/>
          </w:tcPr>
          <w:p>
            <w:r/>
            <w:r>
              <w:rPr>
                <w:b w:val="0"/>
                <w:sz w:val="19"/>
              </w:rPr>
              <w:t>a platform admin</w:t>
            </w:r>
          </w:p>
        </w:tc>
        <w:tc>
          <w:tcPr>
            <w:tcW w:type="dxa" w:w="1512"/>
          </w:tcPr>
          <w:p>
            <w:r/>
            <w:r>
              <w:rPr>
                <w:b w:val="0"/>
                <w:sz w:val="19"/>
              </w:rPr>
              <w:t>keep the marketplace free</w:t>
              <w:br/>
              <w:t>of policy-violating listings</w:t>
            </w:r>
          </w:p>
        </w:tc>
        <w:tc>
          <w:tcPr>
            <w:tcW w:type="dxa" w:w="1584"/>
          </w:tcPr>
          <w:p>
            <w:r/>
            <w:r>
              <w:rPr>
                <w:b w:val="0"/>
                <w:sz w:val="19"/>
              </w:rPr>
              <w:t>I cannot unilaterally take a</w:t>
              <w:br/>
              <w:t>listing down without</w:t>
              <w:br/>
              <w:t>due process</w:t>
            </w:r>
          </w:p>
        </w:tc>
        <w:tc>
          <w:tcPr>
            <w:tcW w:type="dxa" w:w="1656"/>
          </w:tcPr>
          <w:p>
            <w:r/>
            <w:r>
              <w:rPr>
                <w:b w:val="0"/>
                <w:sz w:val="19"/>
              </w:rPr>
              <w:t>owners deserve a fair,</w:t>
              <w:br/>
              <w:t>consent-based removal flow</w:t>
              <w:br/>
              <w:t>rather than silent deletion</w:t>
            </w:r>
          </w:p>
        </w:tc>
        <w:tc>
          <w:tcPr>
            <w:tcW w:type="dxa" w:w="1656"/>
          </w:tcPr>
          <w:p>
            <w:r/>
            <w:r>
              <w:rPr>
                <w:b w:val="0"/>
                <w:sz w:val="19"/>
              </w:rPr>
              <w:t>cautious about overstepping</w:t>
              <w:br/>
              <w:t>an owner's ownership rights</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