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Enhancing Air Quality Monitoring with Predictive Modeling</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Table of Contents:</w:t>
      </w:r>
    </w:p>
    <w:p w:rsidR="00000000" w:rsidDel="00000000" w:rsidP="00000000" w:rsidRDefault="00000000" w:rsidRPr="00000000" w14:paraId="0000000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0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Problem Definition and Design Thinking</w:t>
      </w:r>
    </w:p>
    <w:p w:rsidR="00000000" w:rsidDel="00000000" w:rsidP="00000000" w:rsidRDefault="00000000" w:rsidRPr="00000000" w14:paraId="0000000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Solution: Real-time Air Quality Monitoring with Predictive Modeling</w:t>
      </w:r>
    </w:p>
    <w:p w:rsidR="00000000" w:rsidDel="00000000" w:rsidP="00000000" w:rsidRDefault="00000000" w:rsidRPr="00000000" w14:paraId="0000000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Predictive Modeling Insights</w:t>
      </w:r>
    </w:p>
    <w:p w:rsidR="00000000" w:rsidDel="00000000" w:rsidP="00000000" w:rsidRDefault="00000000" w:rsidRPr="00000000" w14:paraId="0000000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Benefits</w:t>
      </w:r>
    </w:p>
    <w:p w:rsidR="00000000" w:rsidDel="00000000" w:rsidP="00000000" w:rsidRDefault="00000000" w:rsidRPr="00000000" w14:paraId="0000000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Implementation Timeline</w:t>
      </w:r>
    </w:p>
    <w:p w:rsidR="00000000" w:rsidDel="00000000" w:rsidP="00000000" w:rsidRDefault="00000000" w:rsidRPr="00000000" w14:paraId="0000000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Cost Estimate</w:t>
      </w:r>
    </w:p>
    <w:p w:rsidR="00000000" w:rsidDel="00000000" w:rsidP="00000000" w:rsidRDefault="00000000" w:rsidRPr="00000000" w14:paraId="0000000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Introduction: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Air quality is a fundamental factor in public health and environmental well-being. Poor air quality can have dire consequences on health, ecosystems, and the quality of life. This proposal introduces a holistic approach that leverages predictive modeling to forecast air quality trends based on historical data. Such a system aims to provide timely and accurate insights into air quality conditions, empowering individuals and authorities to take informed actions.</w:t>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Problem Definition and Design Thinking:</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addresses the following issues: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Inadequate public access to real-time air quality data.</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Solution: Implement IoT devices for real-time air quality monitoring with predictive modeling capabilities.</w:t>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Objectives: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Real-time air quality monitoring.</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Publicly accessible air quality data through a user-friendly web interface.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awareness of air quality's impact on health.</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Solution: Real-time Air Quality Monitoring with Predictive Modeling</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solution incorporates a two-fold approach:</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IoT Devices: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Utilize low-cost microcontrollers with sensors for measuring air quality parameters (PM2.5, PM10, O3, NO2, CO).</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cellular modems for data transmission.</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a robust and weatherproof design for easy deployment and maintenance.</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Strategic deployment in locations critical for monitoring.</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 Data Sharing Platform:</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 user-friendly web interface for the public.</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real-time air quality data for different locations.</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 an Air Quality Index (AQI) for various pollutants.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 information about health risks associated with air pollution.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 data securely in a database.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Visualize data through charts and graphs.</w:t>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Predictive Modeling Insights:</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Predictive modeling, as conducted by four pollution control boards in Chennai, demonstrates that the city's air pollution is prominently concentrated in the urban core, likely attributed to vehicular and industrial emissions. During holiday periods, reduced activity in the city center correlates with improved air quality in peripheral areas. To enhance air quality, predictive modeling suggests adopting measures such as promoting public transport, transitioning to cleaner energy sources, and implementing stricter industrial emission regulations. Additionally, factoring in the impact of weather conditions and dust storms on air quality is crucial, making regular monitoring and preemptive measures essential, particularly for individuals with respiratory issues.</w:t>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Benefits:</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Timely air quality insights for individuals and communities.</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Informed decision-making for pollution control measures.</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Enhanced public health protection.</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Increased public awareness and engagement in air quality issues.</w:t>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Implementation Timeline:</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Collection and Integration: Historical data provided by the Central Pollution Control Board (CPCB).</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Predictive Model Development and Training</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Real-time Data Integration</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User-Friendly Interface Development</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the following activities are done during the implementation timeline</w:t>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 Cost Estimate: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cost estimate is subject to several factors, including data complexity and the scale of the user interface. A detailed cost analysis will be provided upon end of project. </w:t>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 Conclusion:</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Incorporating predictive modeling into air quality monitoring is a significant step toward addressing air quality issues. The solution offers accurate forecasting and real-time data access, empowering both the public and authorities to make proactive and informed decisions.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