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sz w:val="96"/>
          <w:szCs w:val="96"/>
        </w:rPr>
        <w:t xml:space="preserve">⚡</w:t>
      </w:r>
    </w:p>
    <w:p>
      <w:pPr>
        <w:spacing w:before="240" w:after="80"/>
        <w:jc w:val="center"/>
      </w:pPr>
      <w:r>
        <w:rPr>
          <w:rFonts w:ascii="Arial" w:cs="Arial" w:eastAsia="Arial" w:hAnsi="Arial"/>
          <w:b/>
          <w:bCs/>
          <w:color w:val="1E3A5F"/>
          <w:sz w:val="72"/>
          <w:szCs w:val="72"/>
        </w:rPr>
        <w:t xml:space="preserve">Action CRM</w:t>
      </w:r>
    </w:p>
    <w:p>
      <w:pPr>
        <w:spacing w:before="0" w:after="80"/>
        <w:jc w:val="center"/>
      </w:pPr>
      <w:r>
        <w:rPr>
          <w:rFonts w:ascii="Arial" w:cs="Arial" w:eastAsia="Arial" w:hAnsi="Arial"/>
          <w:color w:val="2563EB"/>
          <w:sz w:val="32"/>
          <w:szCs w:val="32"/>
        </w:rPr>
        <w:t xml:space="preserve">Architecture &amp; Technical Reference</w:t>
      </w:r>
    </w:p>
    <w:p>
      <w:pPr>
        <w:spacing w:before="120" w:after="0"/>
        <w:jc w:val="center"/>
      </w:pPr>
      <w:r>
        <w:rPr>
          <w:rFonts w:ascii="Arial" w:cs="Arial" w:eastAsia="Arial" w:hAnsi="Arial"/>
          <w:color w:val="6B7280"/>
          <w:sz w:val="20"/>
          <w:szCs w:val="20"/>
        </w:rPr>
        <w:t xml:space="preserve">Version 1.0  ·  21 February 2026</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pPr>
              <w:jc w:val="center"/>
            </w:pPr>
            <w:r>
              <w:rPr>
                <w:rFonts w:ascii="Arial" w:cs="Arial" w:eastAsia="Arial" w:hAnsi="Arial"/>
                <w:b/>
                <w:bCs/>
                <w:color w:val="2563EB"/>
                <w:sz w:val="18"/>
                <w:szCs w:val="18"/>
              </w:rPr>
              <w:t xml:space="preserve">Frontend</w:t>
            </w:r>
          </w:p>
          <w:p>
            <w:pPr>
              <w:spacing w:before="40"/>
              <w:jc w:val="center"/>
            </w:pPr>
            <w:r>
              <w:rPr>
                <w:rFonts w:ascii="Arial" w:cs="Arial" w:eastAsia="Arial" w:hAnsi="Arial"/>
                <w:color w:val="374151"/>
                <w:sz w:val="18"/>
                <w:szCs w:val="18"/>
              </w:rPr>
              <w:t xml:space="preserve">React 18</w:t>
            </w:r>
          </w:p>
        </w:tc>
        <w:tc>
          <w:tcPr>
            <w:tcW w:type="dxa" w:w="2340"/>
            <w:tcBorders>
              <w:top w:val="single" w:color="D1D5DB" w:sz="1"/>
              <w:left w:val="single" w:color="D1D5DB" w:sz="1"/>
              <w:bottom w:val="single" w:color="D1D5DB" w:sz="1"/>
              <w:right w:val="single" w:color="D1D5DB" w:sz="1"/>
            </w:tcBorders>
            <w:shd w:fill="CCFBF1" w:val="clear"/>
            <w:tcMar>
              <w:top w:type="dxa" w:w="120"/>
              <w:left w:type="dxa" w:w="160"/>
              <w:bottom w:type="dxa" w:w="120"/>
              <w:right w:type="dxa" w:w="160"/>
            </w:tcMar>
          </w:tcPr>
          <w:p>
            <w:pPr>
              <w:jc w:val="center"/>
            </w:pPr>
            <w:r>
              <w:rPr>
                <w:rFonts w:ascii="Arial" w:cs="Arial" w:eastAsia="Arial" w:hAnsi="Arial"/>
                <w:b/>
                <w:bCs/>
                <w:color w:val="0F766E"/>
                <w:sz w:val="18"/>
                <w:szCs w:val="18"/>
              </w:rPr>
              <w:t xml:space="preserve">Backend</w:t>
            </w:r>
          </w:p>
          <w:p>
            <w:pPr>
              <w:spacing w:before="40"/>
              <w:jc w:val="center"/>
            </w:pPr>
            <w:r>
              <w:rPr>
                <w:rFonts w:ascii="Arial" w:cs="Arial" w:eastAsia="Arial" w:hAnsi="Arial"/>
                <w:color w:val="374151"/>
                <w:sz w:val="18"/>
                <w:szCs w:val="18"/>
              </w:rPr>
              <w:t xml:space="preserve">Node.js / Express</w:t>
            </w:r>
          </w:p>
        </w:tc>
        <w:tc>
          <w:tcPr>
            <w:tcW w:type="dxa" w:w="2340"/>
            <w:tcBorders>
              <w:top w:val="single" w:color="D1D5DB" w:sz="1"/>
              <w:left w:val="single" w:color="D1D5DB" w:sz="1"/>
              <w:bottom w:val="single" w:color="D1D5DB" w:sz="1"/>
              <w:right w:val="single" w:color="D1D5DB" w:sz="1"/>
            </w:tcBorders>
            <w:shd w:fill="EDE9FE" w:val="clear"/>
            <w:tcMar>
              <w:top w:type="dxa" w:w="120"/>
              <w:left w:type="dxa" w:w="160"/>
              <w:bottom w:type="dxa" w:w="120"/>
              <w:right w:type="dxa" w:w="160"/>
            </w:tcMar>
          </w:tcPr>
          <w:p>
            <w:pPr>
              <w:jc w:val="center"/>
            </w:pPr>
            <w:r>
              <w:rPr>
                <w:rFonts w:ascii="Arial" w:cs="Arial" w:eastAsia="Arial" w:hAnsi="Arial"/>
                <w:b/>
                <w:bCs/>
                <w:color w:val="7C3AED"/>
                <w:sz w:val="18"/>
                <w:szCs w:val="18"/>
              </w:rPr>
              <w:t xml:space="preserve">Database</w:t>
            </w:r>
          </w:p>
          <w:p>
            <w:pPr>
              <w:spacing w:before="40"/>
              <w:jc w:val="center"/>
            </w:pPr>
            <w:r>
              <w:rPr>
                <w:rFonts w:ascii="Arial" w:cs="Arial" w:eastAsia="Arial" w:hAnsi="Arial"/>
                <w:color w:val="374151"/>
                <w:sz w:val="18"/>
                <w:szCs w:val="18"/>
              </w:rPr>
              <w:t xml:space="preserve">PostgreSQL</w:t>
            </w:r>
          </w:p>
        </w:tc>
        <w:tc>
          <w:tcPr>
            <w:tcW w:type="dxa" w:w="2340"/>
            <w:tcBorders>
              <w:top w:val="single" w:color="D1D5DB" w:sz="1"/>
              <w:left w:val="single" w:color="D1D5DB" w:sz="1"/>
              <w:bottom w:val="single" w:color="D1D5DB" w:sz="1"/>
              <w:right w:val="single" w:color="D1D5DB" w:sz="1"/>
            </w:tcBorders>
            <w:shd w:fill="FEF3C7" w:val="clear"/>
            <w:tcMar>
              <w:top w:type="dxa" w:w="120"/>
              <w:left w:type="dxa" w:w="160"/>
              <w:bottom w:type="dxa" w:w="120"/>
              <w:right w:type="dxa" w:w="160"/>
            </w:tcMar>
          </w:tcPr>
          <w:p>
            <w:pPr>
              <w:jc w:val="center"/>
            </w:pPr>
            <w:r>
              <w:rPr>
                <w:rFonts w:ascii="Arial" w:cs="Arial" w:eastAsia="Arial" w:hAnsi="Arial"/>
                <w:b/>
                <w:bCs/>
                <w:color w:val="B45309"/>
                <w:sz w:val="18"/>
                <w:szCs w:val="18"/>
              </w:rPr>
              <w:t xml:space="preserve">AI</w:t>
            </w:r>
          </w:p>
          <w:p>
            <w:pPr>
              <w:spacing w:before="40"/>
              <w:jc w:val="center"/>
            </w:pPr>
            <w:r>
              <w:rPr>
                <w:rFonts w:ascii="Arial" w:cs="Arial" w:eastAsia="Arial" w:hAnsi="Arial"/>
                <w:color w:val="374151"/>
                <w:sz w:val="18"/>
                <w:szCs w:val="18"/>
              </w:rPr>
              <w:t xml:space="preserve">Claude API</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1. System Overview</w:t>
      </w:r>
    </w:p>
    <w:p>
      <w:pPr>
        <w:spacing w:before="60" w:after="60"/>
      </w:pPr>
      <w:r>
        <w:rPr>
          <w:rFonts w:ascii="Arial" w:cs="Arial" w:eastAsia="Arial" w:hAnsi="Arial"/>
          <w:color w:val="374151"/>
          <w:sz w:val="20"/>
          <w:szCs w:val="20"/>
        </w:rPr>
        <w:t xml:space="preserve">Action CRM is an AI-powered sales pipeline management application built to surface prioritised, deal-specific next actions for sales reps. It combines a rule-based actions engine, Claude AI enhancement, deal health scoring, and deep integration with Outlook, OneDrive, and calendar data to provide a single, intelligent view of what needs to happen next on every deal.</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1.1 Core Principles</w:t>
      </w:r>
    </w:p>
    <w:p>
      <w:pPr>
        <w:pStyle w:val="ListParagraph"/>
        <w:numPr>
          <w:ilvl w:val="0"/>
          <w:numId w:val="2"/>
        </w:numPr>
        <w:spacing w:before="40" w:after="40"/>
      </w:pPr>
      <w:r>
        <w:rPr>
          <w:rFonts w:ascii="Arial" w:cs="Arial" w:eastAsia="Arial" w:hAnsi="Arial"/>
          <w:color w:val="374151"/>
          <w:sz w:val="20"/>
          <w:szCs w:val="20"/>
        </w:rPr>
        <w:t xml:space="preserve">Actions are always deal-specific — generated from the actual state of each deal, not generic templates</w:t>
      </w:r>
    </w:p>
    <w:p>
      <w:pPr>
        <w:pStyle w:val="ListParagraph"/>
        <w:numPr>
          <w:ilvl w:val="0"/>
          <w:numId w:val="2"/>
        </w:numPr>
        <w:spacing w:before="40" w:after="40"/>
      </w:pPr>
      <w:r>
        <w:rPr>
          <w:rFonts w:ascii="Arial" w:cs="Arial" w:eastAsia="Arial" w:hAnsi="Arial"/>
          <w:color w:val="374151"/>
          <w:sz w:val="20"/>
          <w:szCs w:val="20"/>
        </w:rPr>
        <w:t xml:space="preserve">Every action has a next_step channel (email, call, WhatsApp, LinkedIn, Slack, document, internal_task) that routes to the right artifact when the rep clicks Start</w:t>
      </w:r>
    </w:p>
    <w:p>
      <w:pPr>
        <w:pStyle w:val="ListParagraph"/>
        <w:numPr>
          <w:ilvl w:val="0"/>
          <w:numId w:val="2"/>
        </w:numPr>
        <w:spacing w:before="40" w:after="40"/>
      </w:pPr>
      <w:r>
        <w:rPr>
          <w:rFonts w:ascii="Arial" w:cs="Arial" w:eastAsia="Arial" w:hAnsi="Arial"/>
          <w:color w:val="374151"/>
          <w:sz w:val="20"/>
          <w:szCs w:val="20"/>
        </w:rPr>
        <w:t xml:space="preserve">Completed actions are preserved as permanent history — regenerating actions never destroys completed work</w:t>
      </w:r>
    </w:p>
    <w:p>
      <w:pPr>
        <w:pStyle w:val="ListParagraph"/>
        <w:numPr>
          <w:ilvl w:val="0"/>
          <w:numId w:val="2"/>
        </w:numPr>
        <w:spacing w:before="40" w:after="40"/>
      </w:pPr>
      <w:r>
        <w:rPr>
          <w:rFonts w:ascii="Arial" w:cs="Arial" w:eastAsia="Arial" w:hAnsi="Arial"/>
          <w:color w:val="374151"/>
          <w:sz w:val="20"/>
          <w:szCs w:val="20"/>
        </w:rPr>
        <w:t xml:space="preserve">AI enhances but does not replace the rules engine — rules run first, AI adds context and can override channels</w:t>
      </w:r>
    </w:p>
    <w:p>
      <w:pPr>
        <w:pStyle w:val="ListParagraph"/>
        <w:numPr>
          <w:ilvl w:val="0"/>
          <w:numId w:val="2"/>
        </w:numPr>
        <w:spacing w:before="40" w:after="40"/>
      </w:pPr>
      <w:r>
        <w:rPr>
          <w:rFonts w:ascii="Arial" w:cs="Arial" w:eastAsia="Arial" w:hAnsi="Arial"/>
          <w:color w:val="374151"/>
          <w:sz w:val="20"/>
          <w:szCs w:val="20"/>
        </w:rPr>
        <w:t xml:space="preserve">All integrations are user-scoped — OAuth tokens, settings, playbooks and actions are per-user</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1.2 Deployment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Technology / Platform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Frontend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React 18 — deployed on Vercel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Backend API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Node.js 18 + Express — deployed on Railway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Database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15 — hosted on Railway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Job Queue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Bull (Redis) — background email processing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Anthropic Claude API (claude-haiku-4-5-20251001)</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Email / Calendar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Microsoft Graph API (Outlook, OneDrive, Calendar)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File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OneDrive (Google Drive architecture ready, not yet active)</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1.3 Environment Variables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Purpose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ANTHROPIC_API_KEY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AI API access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DATABASE_URL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connection string (Railway)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REDIS_URL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Bull queue backing store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JWT_SECRET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Authentication token signing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MICROSOFT_CLIENT_ID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Azure app registration — Outlook OAuth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MICROSOFT_CLIENT_SECRET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Azure app secret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MICROSOFT_TENANT_ID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Azure directory tenant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MICROSOFT_REDIRECT_URI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OAuth callback URL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REACT_APP_API_URL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Frontend → backend base URL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CORS_ORIGIN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Allowed frontend origin for CORS</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2. Application Architecture</w:t>
      </w:r>
    </w:p>
    <w:p>
      <w:pPr>
        <w:pStyle w:val="Heading2"/>
        <w:spacing w:before="320" w:after="120"/>
      </w:pPr>
      <w:r>
        <w:rPr>
          <w:rFonts w:ascii="Arial" w:cs="Arial" w:eastAsia="Arial" w:hAnsi="Arial"/>
          <w:b/>
          <w:bCs/>
          <w:color w:val="1E3A5F"/>
          <w:sz w:val="26"/>
          <w:szCs w:val="26"/>
        </w:rPr>
        <w:t xml:space="preserve">2.1 High-Level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Presentation (React)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Single-page app with sidebar navigation. State management via React hooks. All data fetched from /api via authenticated fetch with JWT Bearer token.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API (Express)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REST API with JWT auth middleware on all routes. Rate limiting (100 req/15 min, 20 req/15 min on auth). Helmet + CORS configured for Vercel origin.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Service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Business logic in standalone service classes. Routes are thin — they validate input and delegate to services.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Data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with direct pg queries (no ORM). All queries are user-scoped with user_id checks to prevent cross-tenant access.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Job Queue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Bull + Redis for async email processing. Worker started on server boot. Retries 3x with exponential backoff.</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AI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Anthropic SDK. Used in 4 places: action enhancement, deal analysis, email action extraction, completion verification.</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2.2 Frontend Structure</w:t>
      </w:r>
    </w:p>
    <w:p>
      <w:pPr>
        <w:spacing w:before="60" w:after="60"/>
      </w:pPr>
      <w:r>
        <w:rPr>
          <w:rFonts w:ascii="Arial" w:cs="Arial" w:eastAsia="Arial" w:hAnsi="Arial"/>
          <w:color w:val="374151"/>
          <w:sz w:val="20"/>
          <w:szCs w:val="20"/>
        </w:rPr>
        <w:t xml:space="preserve">The frontend is a single React app (App.js) with a sidebar-based dashboard. Navigation is tab-based with no client-side routing library — the active tab state determines which view component is rendered.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 / View</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Component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Actions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ActionsView.js — action cards, filters, Start button routing, email composer, manual log modal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Deals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DealsView.js — pipeline list, deal detail, health score display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Accounts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AccountsView.js — account list and 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Contacts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ContactsView.js — contact list, role tracking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EmailView.js + EmailComposer.js — inbox, compose, send via Outlook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Calendar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CalendarView.js — meeting list, transcript viewer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Settings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SettingsView.js — Deal Health, Sales Playbook, AI Prompts, Actions config tabs</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2.3 Backend Structure</w:t>
      </w:r>
    </w:p>
    <w:p>
      <w:pPr>
        <w:spacing w:before="60" w:after="60"/>
      </w:pPr>
      <w:r>
        <w:rPr>
          <w:rFonts w:ascii="Arial" w:cs="Arial" w:eastAsia="Arial" w:hAnsi="Arial"/>
          <w:color w:val="374151"/>
          <w:sz w:val="20"/>
          <w:szCs w:val="20"/>
        </w:rPr>
        <w:t xml:space="preserve">The backend is a standard Express app (server.js). All routes are registered under /api. Services live in /services. Background jobs live in /jobs.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Directory</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Contents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routes/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One file per resource. Thin — validate, auth-check, call service, respond.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services/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business logic: actions engine, deal health, AI processor, storage providers, completion detector, playbook, transcript analyzer, token service.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jobs/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emailProcessor.js (Bull worker) — async email AI analysis and action creation.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config/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database.js — pg pool setup and query wrapper.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middleware/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auth.middleware.js — JWT verification, attaches req.user.</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3. Actions Engine (Core System)</w:t>
      </w:r>
    </w:p>
    <w:p>
      <w:pPr>
        <w:spacing w:before="60" w:after="60"/>
      </w:pPr>
      <w:r>
        <w:rPr>
          <w:rFonts w:ascii="Arial" w:cs="Arial" w:eastAsia="Arial" w:hAnsi="Arial"/>
          <w:color w:val="374151"/>
          <w:sz w:val="20"/>
          <w:szCs w:val="20"/>
        </w:rPr>
        <w:t xml:space="preserve">The actions engine is the heart of the application. It converts raw CRM data into prioritised, channel-specific next actions for each deal. It runs in two phases: rules-based generation followed by optional AI enhancement.</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3.1 Data Inputs</w:t>
      </w:r>
    </w:p>
    <w:p>
      <w:pPr>
        <w:spacing w:before="60" w:after="60"/>
      </w:pPr>
      <w:r>
        <w:rPr>
          <w:rFonts w:ascii="Arial" w:cs="Arial" w:eastAsia="Arial" w:hAnsi="Arial"/>
          <w:color w:val="374151"/>
          <w:sz w:val="20"/>
          <w:szCs w:val="20"/>
        </w:rPr>
        <w:t xml:space="preserve">The context builder (buildContext in actionsGenerator.js) assembles all available data for a deal before passing it to the rules engine: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is analysed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Deal record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Stage, value, close date, close date push count, health score, health breakdown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Account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Company context for contact role matching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Contacts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Role type (decision_maker, champion, stakeholder), engagement history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Meetings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Recency, type, count — days since last meeting, missing executive meeting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Emails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Direction (sent/received), recency, unanswered sent emails, days since last contact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Storage files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Uploaded files linked to deal — missing proposal docs, failed imports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Health score breakdown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12 atomic parameters (1a–6b) across 6 categories — each fires targeted rules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Sales Playbook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Stage-specific key_actions from user_playbooks — triggers if not yet actioned</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3.2 Rules Engine (ActionsRulesEngine.js)</w:t>
      </w:r>
    </w:p>
    <w:p>
      <w:pPr>
        <w:spacing w:before="60" w:after="60"/>
      </w:pPr>
      <w:r>
        <w:rPr>
          <w:rFonts w:ascii="Arial" w:cs="Arial" w:eastAsia="Arial" w:hAnsi="Arial"/>
          <w:color w:val="374151"/>
          <w:sz w:val="20"/>
          <w:szCs w:val="20"/>
        </w:rPr>
        <w:t xml:space="preserve">Seven rule groups fire in sequence. Each rule group checks specific conditions and emits ActionCandidate objects. Results are deduplicated by title before insertion.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Rule Group</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it fires 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 — Health Score Parameters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Each of the 12 health params (1a–6b) that is "unknown" or a confirmed negative fires a targeted, specific action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B — Deal Stage &amp; Timing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Stage-appropriate next steps, stagnant deals (&gt;21 days no activity), closing within 7 days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 — Contact Engagement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Decision maker not contacted, no champion identified, procurement/legal/security contacts missing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 — Meeting Rules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meeting in &gt;14 days, no executive meeting, missing prep action before upcoming meeting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 — Email Rules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Sent email unanswered &gt;3 days → follow-up; unanswered &gt;7 days → switch channel to call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 — File Rules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proposal document, failed storage imports, missing files for deal stage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 — Playbook Rules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Stage key_actions from sales playbook not yet matched to an existing action</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3.3 next_step Channel Mapping</w:t>
      </w:r>
    </w:p>
    <w:p>
      <w:pPr>
        <w:spacing w:before="60" w:after="60"/>
      </w:pPr>
      <w:r>
        <w:rPr>
          <w:rFonts w:ascii="Arial" w:cs="Arial" w:eastAsia="Arial" w:hAnsi="Arial"/>
          <w:color w:val="374151"/>
          <w:sz w:val="20"/>
          <w:szCs w:val="20"/>
        </w:rPr>
        <w:t xml:space="preserve">Every action has a next_step column (not just a display badge) — it is persisted to the database and determines what happens when a rep clicks Start. The rules engine assigns a deterministic channel per source_rule: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next_step Value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When assigned / examples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Default outreach channel. Schedule meeting, send proposal, follow up on discovery call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call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Unanswered email &gt;7 days (channel switch), candid check-in on slipped close date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whatsapp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High-urgency executive outreach where informal channel is appropriate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linkedin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Initial outreach to uncontacted decision maker, cold connection requests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slack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Internal escalation — discount approval, exec sponsor request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battlecard, update proposal, write security questionnaire response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internal_task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Run deal review, brief exec sponsor, review competitor intel</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3.4 AI Enhancement (ActionsAIEnhancer.js)</w:t>
      </w:r>
    </w:p>
    <w:p>
      <w:pPr>
        <w:spacing w:before="60" w:after="60"/>
      </w:pPr>
      <w:r>
        <w:rPr>
          <w:rFonts w:ascii="Arial" w:cs="Arial" w:eastAsia="Arial" w:hAnsi="Arial"/>
          <w:color w:val="374151"/>
          <w:sz w:val="20"/>
          <w:szCs w:val="20"/>
        </w:rPr>
        <w:t xml:space="preserve">When AI-enhanced generation is enabled in settings, Claude (haiku model) runs after the rules engine. It receives the full deal context and the already-generated rules actions, then can: (1) generate additional actions the rules missed, and (2) override the next_step channel where context suggests a better approach.</w:t>
      </w:r>
    </w:p>
    <w:p>
      <w:pPr>
        <w:spacing w:before="60" w:after="60"/>
      </w:pPr>
      <w:r>
        <w:rPr>
          <w:rFonts w:ascii="Arial" w:cs="Arial" w:eastAsia="Arial" w:hAnsi="Arial"/>
          <w:color w:val="374151"/>
          <w:sz w:val="20"/>
          <w:szCs w:val="20"/>
        </w:rPr>
        <w:t xml:space="preserve">Model used: claude-haiku-4-5-20251001. The AI never duplicates existing action titles. next_step overrides are validated against the allowed enum before insertion.</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3.5 Generation Triggers</w:t>
      </w:r>
    </w:p>
    <w:p>
      <w:pPr>
        <w:pStyle w:val="ListParagraph"/>
        <w:numPr>
          <w:ilvl w:val="0"/>
          <w:numId w:val="2"/>
        </w:numPr>
        <w:spacing w:before="40" w:after="40"/>
      </w:pPr>
      <w:r>
        <w:rPr>
          <w:rFonts w:ascii="Arial" w:cs="Arial" w:eastAsia="Arial" w:hAnsi="Arial"/>
          <w:color w:val="374151"/>
          <w:sz w:val="20"/>
          <w:szCs w:val="20"/>
        </w:rPr>
        <w:t xml:space="preserve">Manual: clicking "Generate Actions" button in ActionsView</w:t>
      </w:r>
    </w:p>
    <w:p>
      <w:pPr>
        <w:pStyle w:val="ListParagraph"/>
        <w:numPr>
          <w:ilvl w:val="0"/>
          <w:numId w:val="2"/>
        </w:numPr>
        <w:spacing w:before="40" w:after="40"/>
      </w:pPr>
      <w:r>
        <w:rPr>
          <w:rFonts w:ascii="Arial" w:cs="Arial" w:eastAsia="Arial" w:hAnsi="Arial"/>
          <w:color w:val="374151"/>
          <w:sz w:val="20"/>
          <w:szCs w:val="20"/>
        </w:rPr>
        <w:t xml:space="preserve">On email send: generateForEmail() fires non-blocking after POST /api/emails</w:t>
      </w:r>
    </w:p>
    <w:p>
      <w:pPr>
        <w:pStyle w:val="ListParagraph"/>
        <w:numPr>
          <w:ilvl w:val="0"/>
          <w:numId w:val="2"/>
        </w:numPr>
        <w:spacing w:before="40" w:after="40"/>
      </w:pPr>
      <w:r>
        <w:rPr>
          <w:rFonts w:ascii="Arial" w:cs="Arial" w:eastAsia="Arial" w:hAnsi="Arial"/>
          <w:color w:val="374151"/>
          <w:sz w:val="20"/>
          <w:szCs w:val="20"/>
        </w:rPr>
        <w:t xml:space="preserve">Per deal: generateForDeal(dealId) used after deal updates</w:t>
      </w:r>
    </w:p>
    <w:p>
      <w:pPr>
        <w:pStyle w:val="ListParagraph"/>
        <w:numPr>
          <w:ilvl w:val="0"/>
          <w:numId w:val="2"/>
        </w:numPr>
        <w:spacing w:before="40" w:after="40"/>
      </w:pPr>
      <w:r>
        <w:rPr>
          <w:rFonts w:ascii="Arial" w:cs="Arial" w:eastAsia="Arial" w:hAnsi="Arial"/>
          <w:color w:val="374151"/>
          <w:sz w:val="20"/>
          <w:szCs w:val="20"/>
        </w:rPr>
        <w:t xml:space="preserve">Bulk: generateAll() runs across all open deals for the user</w:t>
      </w:r>
    </w:p>
    <w:p>
      <w:pPr>
        <w:spacing w:before="80" w:after="0"/>
      </w:pPr>
      <w:r>
        <w:t xml:space="preserve"/>
      </w:r>
    </w:p>
    <w:p>
      <w:pPr>
        <w:shd w:fill="DCFCE7" w:val="clear"/>
        <w:spacing w:before="160" w:after="80"/>
      </w:pPr>
      <w:r>
        <w:rPr>
          <w:rFonts w:ascii="Arial" w:cs="Arial" w:eastAsia="Arial" w:hAnsi="Arial"/>
          <w:b/>
          <w:bCs/>
          <w:color w:val="15803D"/>
          <w:sz w:val="20"/>
          <w:szCs w:val="20"/>
        </w:rPr>
        <w:t xml:space="preserve">Option B — Completed Action Preservation</w:t>
      </w:r>
    </w:p>
    <w:p>
      <w:pPr>
        <w:spacing w:before="60" w:after="60"/>
      </w:pPr>
      <w:r>
        <w:rPr>
          <w:rFonts w:ascii="Arial" w:cs="Arial" w:eastAsia="Arial" w:hAnsi="Arial"/>
          <w:color w:val="374151"/>
          <w:sz w:val="20"/>
          <w:szCs w:val="20"/>
        </w:rPr>
        <w:t xml:space="preserve">Regeneration only deletes actions with status yet_to_start or in_progress. Completed actions are never deleted — they accumulate as permanent deal activity history.</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4. Action Lifecycle</w:t>
      </w:r>
    </w:p>
    <w:p>
      <w:pPr>
        <w:pStyle w:val="Heading2"/>
        <w:spacing w:before="320" w:after="120"/>
      </w:pPr>
      <w:r>
        <w:rPr>
          <w:rFonts w:ascii="Arial" w:cs="Arial" w:eastAsia="Arial" w:hAnsi="Arial"/>
          <w:b/>
          <w:bCs/>
          <w:color w:val="1E3A5F"/>
          <w:sz w:val="26"/>
          <w:szCs w:val="26"/>
        </w:rPr>
        <w:t xml:space="preserve">4.1 Status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yet_to_start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 generated, not yet acted on. Default state on insert.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in_progress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 has started the action (opened composer, logged partial activity).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completed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 is done. Preserved permanently — never deleted by regeneration.</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4.2 Start Button Routing</w:t>
      </w:r>
    </w:p>
    <w:p>
      <w:pPr>
        <w:spacing w:before="60" w:after="60"/>
      </w:pPr>
      <w:r>
        <w:rPr>
          <w:rFonts w:ascii="Arial" w:cs="Arial" w:eastAsia="Arial" w:hAnsi="Arial"/>
          <w:color w:val="374151"/>
          <w:sz w:val="20"/>
          <w:szCs w:val="20"/>
        </w:rPr>
        <w:t xml:space="preserve">When a rep clicks the Start button on an action card, the UI routes to a different artifact based on next_step: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next_step</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What happens on Start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email / follow_up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EmailComposer opens pre-filled with contact, subject from action title, body from suggested_action. actionId is passed so completion detection targets this specific action.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call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opens with call-specific prompt. Rep enters notes, then clicks Mark Done or Still in Progress.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whatsapp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with WhatsApp-specific prompt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linkedin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with LinkedIn-specific prompt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slack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with Slack-specific prompt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 rep notes where doc was created/saved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internal_task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ManualLogModal — one-tap complete with optional notes</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4.3 Completion Detection (actionCompletionDetector.service.js)</w:t>
      </w:r>
    </w:p>
    <w:p>
      <w:pPr>
        <w:spacing w:before="60" w:after="60"/>
      </w:pPr>
      <w:r>
        <w:rPr>
          <w:rFonts w:ascii="Arial" w:cs="Arial" w:eastAsia="Arial" w:hAnsi="Arial"/>
          <w:color w:val="374151"/>
          <w:sz w:val="20"/>
          <w:szCs w:val="20"/>
        </w:rPr>
        <w:t xml:space="preserve">Two detection paths exist: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Broad scan (detectFromEmail)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Triggered on any email send when no actionId is known. Scans all open actions for the deal. Uses rules engine or AI (per config) to match email content to actions.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Targeted check (detectFromEmailForAction)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Triggered when email is sent from an action card. Uses Claude haiku to semantically verify the email content matches the action's suggested_action text. ≥75% confidence → auto-complete. &lt;75% → creates a suggestion for manual review.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Detection Mode (configurable)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Behaviour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rules_only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Keyword matching + heuristics. Fast, no AI cost.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ai_only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analysis for every evidence item.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hybrid (default)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Rules first — if confidence 40–90% (ambiguous band), escalate to AI.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manual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auto-detection. All completions require manual action.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Action taken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auto_complete_threshold (default 90%)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Action auto-completed — no user intervention needed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 confidence_threshold (default 70%) but &lt; auto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Suggestion created — shown on action card for user to accept/dismiss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&lt; confidence_threshold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action taken</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5. Deal Health Scoring</w:t>
      </w:r>
    </w:p>
    <w:p>
      <w:pPr>
        <w:spacing w:before="60" w:after="60"/>
      </w:pPr>
      <w:r>
        <w:rPr>
          <w:rFonts w:ascii="Arial" w:cs="Arial" w:eastAsia="Arial" w:hAnsi="Arial"/>
          <w:color w:val="374151"/>
          <w:sz w:val="20"/>
          <w:szCs w:val="20"/>
        </w:rPr>
        <w:t xml:space="preserve">The deal health service (dealHealthService.js) scores every deal across 6 weighted categories with 12 atomic parameters. Scores drive both the health badge on deal cards and the action generation engine.</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5.1 Scoring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Default Weight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1 — Close Date Credibility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 — Params: 1a (date unknown), 1b (close date slipped)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2 — Buyer Engagement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25% — Params: 2a (no decision maker), 2b (no exec meeting)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3 — Process Completion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20% — Params: 3a (no legal/procurement contact), 3b (no security contact)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4 — Deal Size Realism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 — Params: 4a (above segment avg), 4b (recent discount)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5 — Competitive Risk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 — Params: 5a (competitor identified), 5b (no battlecard)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6 — Momentum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15% — Params: 6a (no recent meeting), 6b (slow response / unanswered)</w:t>
            </w:r>
          </w:p>
        </w:tc>
      </w:tr>
    </w:tbl>
    <w:p>
      <w:pPr>
        <w:spacing w:before="120" w:after="0"/>
      </w:pPr>
      <w:r>
        <w:t xml:space="preserve"/>
      </w:r>
    </w:p>
    <w:p>
      <w:pPr>
        <w:spacing w:before="60" w:after="60"/>
      </w:pPr>
      <w:r>
        <w:rPr>
          <w:rFonts w:ascii="Arial" w:cs="Arial" w:eastAsia="Arial" w:hAnsi="Arial"/>
          <w:color w:val="374151"/>
          <w:sz w:val="20"/>
          <w:szCs w:val="20"/>
        </w:rPr>
        <w:t xml:space="preserve">All category weights are user-configurable in Settings → Deal Health. Thresholds are also configurable: Healthy (default ≥80), Watch (default ≥50), Risk (&lt;50).</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5.2 Scoring Logic</w:t>
      </w:r>
    </w:p>
    <w:p>
      <w:pPr>
        <w:spacing w:before="60" w:after="60"/>
      </w:pPr>
      <w:r>
        <w:rPr>
          <w:rFonts w:ascii="Arial" w:cs="Arial" w:eastAsia="Arial" w:hAnsi="Arial"/>
          <w:color w:val="374151"/>
          <w:sz w:val="20"/>
          <w:szCs w:val="20"/>
        </w:rPr>
        <w:t xml:space="preserve">Categories 1–4 use an earned-points model: deal starts at 0, earns points for positive signals. Categories 5–6 use a risk-penalty model: deal starts at 100, loses points for negative signals. The overall score is the weighted sum of all category scores, clamped to 0–100.</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5.3 Health Params → Actions</w:t>
      </w:r>
    </w:p>
    <w:p>
      <w:pPr>
        <w:spacing w:before="60" w:after="60"/>
      </w:pPr>
      <w:r>
        <w:rPr>
          <w:rFonts w:ascii="Arial" w:cs="Arial" w:eastAsia="Arial" w:hAnsi="Arial"/>
          <w:color w:val="374151"/>
          <w:sz w:val="20"/>
          <w:szCs w:val="20"/>
        </w:rPr>
        <w:t xml:space="preserve">Each health parameter's state (unknown / confirmed / absent) directly triggers a specific action in the rules engine group A. This is what makes actions genuinely deal-specific rather than generic — a deal with param 2a (no decision maker) gets an action to engage the decision maker; a deal with param 5a (competitor) gets an action to create a battlecard.</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6. Outlook Integration</w:t>
      </w:r>
    </w:p>
    <w:p>
      <w:pPr>
        <w:pStyle w:val="Heading2"/>
        <w:spacing w:before="320" w:after="120"/>
      </w:pPr>
      <w:r>
        <w:rPr>
          <w:rFonts w:ascii="Arial" w:cs="Arial" w:eastAsia="Arial" w:hAnsi="Arial"/>
          <w:b/>
          <w:bCs/>
          <w:color w:val="1E3A5F"/>
          <w:sz w:val="26"/>
          <w:szCs w:val="26"/>
        </w:rPr>
        <w:t xml:space="preserve">6.1 OAuth Flow</w:t>
      </w:r>
    </w:p>
    <w:p>
      <w:pPr>
        <w:spacing w:before="60" w:after="60"/>
      </w:pPr>
      <w:r>
        <w:rPr>
          <w:rFonts w:ascii="Arial" w:cs="Arial" w:eastAsia="Arial" w:hAnsi="Arial"/>
          <w:color w:val="374151"/>
          <w:sz w:val="20"/>
          <w:szCs w:val="20"/>
        </w:rPr>
        <w:t xml:space="preserve">Outlook integration uses Microsoft Azure AD OAuth 2.0. The token exchange is done via direct HTTP POST to the Microsoft token endpoint (not MSAL's acquireTokenByCode) so the refresh_token is accessible in the 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1. Connect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/api/outlook/connect → generates auth URL with prompt=consent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2. Consent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authorises in Microsoft portal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3. Callback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/api/outlook/callback → exchanges code for access + refresh tokens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4.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Tokens saved to oauth_tokens table (user_id, provider='outlook')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5. Refresh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tokenService.refreshUserToken() called automatically when access token expires</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6.2 Microsoft Graph Scopes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Used for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Mail.Read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Fetching inbox emails, reading email content for AI analysis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Mail.Send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Sending emails via Outlook — emails appear in Sent Items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Calendars.Read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Reading calendar events for CalendarView and meeting detection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User.Read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Fetching user profile (display name, email address)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Files.Read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Reading OneDrive files for storage integration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offline_access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Obtaining refresh token for persistent access</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6.3 Email Send Flow</w:t>
      </w:r>
    </w:p>
    <w:p>
      <w:pPr>
        <w:spacing w:before="60" w:after="60"/>
      </w:pPr>
      <w:r>
        <w:rPr>
          <w:rFonts w:ascii="Arial" w:cs="Arial" w:eastAsia="Arial" w:hAnsi="Arial"/>
          <w:color w:val="374151"/>
          <w:sz w:val="20"/>
          <w:szCs w:val="20"/>
        </w:rPr>
        <w:t xml:space="preserve">When a rep sends an email from the EmailComposer (whether triggered from an action card or the Email tab):</w:t>
      </w:r>
    </w:p>
    <w:p>
      <w:pPr>
        <w:pStyle w:val="ListParagraph"/>
        <w:numPr>
          <w:ilvl w:val="0"/>
          <w:numId w:val="2"/>
        </w:numPr>
        <w:spacing w:before="40" w:after="40"/>
      </w:pPr>
      <w:r>
        <w:rPr>
          <w:rFonts w:ascii="Arial" w:cs="Arial" w:eastAsia="Arial" w:hAnsi="Arial"/>
          <w:color w:val="374151"/>
          <w:sz w:val="20"/>
          <w:szCs w:val="20"/>
        </w:rPr>
        <w:t xml:space="preserve">1. Graph API POST to /me/sendMail — email appears in Outlook Sent Items</w:t>
      </w:r>
    </w:p>
    <w:p>
      <w:pPr>
        <w:pStyle w:val="ListParagraph"/>
        <w:numPr>
          <w:ilvl w:val="0"/>
          <w:numId w:val="2"/>
        </w:numPr>
        <w:spacing w:before="40" w:after="40"/>
      </w:pPr>
      <w:r>
        <w:rPr>
          <w:rFonts w:ascii="Arial" w:cs="Arial" w:eastAsia="Arial" w:hAnsi="Arial"/>
          <w:color w:val="374151"/>
          <w:sz w:val="20"/>
          <w:szCs w:val="20"/>
        </w:rPr>
        <w:t xml:space="preserve">2. Email saved to local emails table regardless of Outlook send success</w:t>
      </w:r>
    </w:p>
    <w:p>
      <w:pPr>
        <w:pStyle w:val="ListParagraph"/>
        <w:numPr>
          <w:ilvl w:val="0"/>
          <w:numId w:val="2"/>
        </w:numPr>
        <w:spacing w:before="40" w:after="40"/>
      </w:pPr>
      <w:r>
        <w:rPr>
          <w:rFonts w:ascii="Arial" w:cs="Arial" w:eastAsia="Arial" w:hAnsi="Arial"/>
          <w:color w:val="374151"/>
          <w:sz w:val="20"/>
          <w:szCs w:val="20"/>
        </w:rPr>
        <w:t xml:space="preserve">3. If actionId was provided: detectFromEmailForAction() runs targeted completion check</w:t>
      </w:r>
    </w:p>
    <w:p>
      <w:pPr>
        <w:pStyle w:val="ListParagraph"/>
        <w:numPr>
          <w:ilvl w:val="0"/>
          <w:numId w:val="2"/>
        </w:numPr>
        <w:spacing w:before="40" w:after="40"/>
      </w:pPr>
      <w:r>
        <w:rPr>
          <w:rFonts w:ascii="Arial" w:cs="Arial" w:eastAsia="Arial" w:hAnsi="Arial"/>
          <w:color w:val="374151"/>
          <w:sz w:val="20"/>
          <w:szCs w:val="20"/>
        </w:rPr>
        <w:t xml:space="preserve">4. If no actionId: detectFromEmail() scans all open actions for the deal</w:t>
      </w:r>
    </w:p>
    <w:p>
      <w:pPr>
        <w:pStyle w:val="ListParagraph"/>
        <w:numPr>
          <w:ilvl w:val="0"/>
          <w:numId w:val="2"/>
        </w:numPr>
        <w:spacing w:before="40" w:after="40"/>
      </w:pPr>
      <w:r>
        <w:rPr>
          <w:rFonts w:ascii="Arial" w:cs="Arial" w:eastAsia="Arial" w:hAnsi="Arial"/>
          <w:color w:val="374151"/>
          <w:sz w:val="20"/>
          <w:szCs w:val="20"/>
        </w:rPr>
        <w:t xml:space="preserve">5. generateForEmail() runs non-blocking to check if new actions are needed</w:t>
      </w:r>
    </w:p>
    <w:p>
      <w:pPr>
        <w:spacing w:before="60" w:after="60"/>
      </w:pPr>
      <w:r>
        <w:rPr>
          <w:rFonts w:ascii="Arial" w:cs="Arial" w:eastAsia="Arial" w:hAnsi="Arial"/>
          <w:color w:val="374151"/>
          <w:sz w:val="20"/>
          <w:szCs w:val="20"/>
        </w:rPr>
        <w:t xml:space="preserve">If Outlook is not connected or the send fails, the email is still saved to the CRM and the action flow continues. The API response includes outlookSent and outlookError fields so the UI can surface the appropriate status banner.</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7. File Storage Integration</w:t>
      </w:r>
    </w:p>
    <w:p>
      <w:pPr>
        <w:pStyle w:val="Heading2"/>
        <w:spacing w:before="320" w:after="120"/>
      </w:pPr>
      <w:r>
        <w:rPr>
          <w:rFonts w:ascii="Arial" w:cs="Arial" w:eastAsia="Arial" w:hAnsi="Arial"/>
          <w:b/>
          <w:bCs/>
          <w:color w:val="1E3A5F"/>
          <w:sz w:val="26"/>
          <w:szCs w:val="26"/>
        </w:rPr>
        <w:t xml:space="preserve">7.1 Architecture</w:t>
      </w:r>
    </w:p>
    <w:p>
      <w:pPr>
        <w:spacing w:before="60" w:after="60"/>
      </w:pPr>
      <w:r>
        <w:rPr>
          <w:rFonts w:ascii="Arial" w:cs="Arial" w:eastAsia="Arial" w:hAnsi="Arial"/>
          <w:color w:val="374151"/>
          <w:sz w:val="20"/>
          <w:szCs w:val="20"/>
        </w:rPr>
        <w:t xml:space="preserve">Storage is provider-agnostic. The StorageProviderFactory resolves the correct provider by ID. All providers extend StorageProviderBase and implement the same interface. OneDrive is the active provider. Google Drive code exists but is commented out.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Role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StorageProviderBase.js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Abstract base class — defines interface: listFiles, searchFiles, extractFileContent, checkConnection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OneDriveProvider.js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Concrete OneDrive implementation using Graph API Files.Read scope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GoogleDriveProvider.js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Google Drive implementation (built, currently disabled)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StorageProviderFactory.js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Resolves provider by ID, returns instance, lists available providers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storageProcessor.service.js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Orchestrates file processing pipeline: download → deduplicate → AI analysis → rules engine → deal health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storageFileService.js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DB layer: createImportRecord, checkDuplicate, markProcessed, markFailed</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7.2 File Processing Pipeline</w:t>
      </w:r>
    </w:p>
    <w:p>
      <w:pPr>
        <w:spacing w:before="60" w:after="60"/>
      </w:pPr>
      <w:r>
        <w:rPr>
          <w:rFonts w:ascii="Arial" w:cs="Arial" w:eastAsia="Arial" w:hAnsi="Arial"/>
          <w:color w:val="374151"/>
          <w:sz w:val="20"/>
          <w:szCs w:val="20"/>
        </w:rPr>
        <w:t xml:space="preserve">When a file is imported from OneDrive (via CloudFilePicker or batch process), it runs through a configurable pipeline based on file category: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 Category</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Pipeline Steps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transcript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transcriptAnalyzer → aiAnalysis → rulesEngine → dealHealth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aiAnalysis → rulesEngine → dealHealth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aiAnalysis → rulesEngine</w:t>
            </w:r>
          </w:p>
        </w:tc>
      </w:tr>
    </w:tbl>
    <w:p>
      <w:pPr>
        <w:spacing w:before="60" w:after="60"/>
      </w:pPr>
      <w:r>
        <w:rPr>
          <w:rFonts w:ascii="Arial" w:cs="Arial" w:eastAsia="Arial" w:hAnsi="Arial"/>
          <w:color w:val="374151"/>
          <w:sz w:val="20"/>
          <w:szCs w:val="20"/>
        </w:rPr>
        <w:t xml:space="preserve">The pipeline is idempotent — duplicate detection checks by (user_id, provider_id, file_id, deal_id) before downloading. Files already processed are skipped unless force=true is passed.</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8. API Reference</w:t>
      </w:r>
    </w:p>
    <w:p>
      <w:pPr>
        <w:spacing w:before="60" w:after="60"/>
      </w:pPr>
      <w:r>
        <w:rPr>
          <w:rFonts w:ascii="Arial" w:cs="Arial" w:eastAsia="Arial" w:hAnsi="Arial"/>
          <w:color w:val="374151"/>
          <w:sz w:val="20"/>
          <w:szCs w:val="20"/>
        </w:rPr>
        <w:t xml:space="preserve">All routes require JWT Bearer token in Authorization header except /api/auth/login and /api/auth/register.</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8.1 Authentication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/api/auth/register</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Create account. Body: email, password, firstName, lastName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/api/auth/login</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Login. Returns JWT token + user object</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/api/auth/verify</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Verify current token. Returns user object</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8.2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actions. Filters: dealId, accountId, ownerId, actionType, isInternal, nextStep, dueAfter, dueBefore, status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/api/actions/generate</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Trigger action generation for all open deals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/api/actions/config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Get user action configuration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/api/actions/config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action configuration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/api/actions/filter-options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Get filter dropdown options (deals, accounts, owners)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Get single action with full context</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Manually create action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action fields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Delete action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/api/actions/:id/status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action status (yet_to_start / in_progress / completed)</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/api/actions/:id/complete</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Mark action complete with evidence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/api/actions/:id/suggestions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Get completion suggestions for an action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/api/actions/suggestions/:id/accept</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Accept a completion suggestion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/api/actions/suggestions/:id/dismiss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Dismiss a completion suggestion</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8.3 Deals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deals with health score and contact count</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Create deal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Deal detail with contacts, emails, meetings, files, activities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deal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Delete deal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/api/deals/:id/contacts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Link contact to deal with role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/api/deals/pipeline/summary</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Pipeline summary by stage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/api/deals/:id/score</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Re-score deal health</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/api/deals/score-all</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Re-score all open deals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/api/deals/:id/signals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manual health signals</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8.4 Emails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/api/emails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emails. Filters: dealId, contactId</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/api/emails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Send email (Outlook + save to DB). Body: dealId, contactId, subject, body, toAddress, actionId (optional), replyToId (optional)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/api/emails/outlook</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Fetch emails from Outlook inbox</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/api/emails/analyze</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AI analysis of a single Outlook email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/api/emails/process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Queue email for full AI processing (Bull job)</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8.5 Meetings, Outlook, Storage, AI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49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/api/meetings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meetings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/api/meetings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Create meeting</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/api/meetings/:id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meeting</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/api/meetings/:id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Delete meeting</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/api/outlook/connect</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Generate Outlook OAuth URL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/api/outlook/callback</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OAuth callback — exchange code for tokens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/api/outlook/status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Check Outlook connection status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/api/outlook/disconnect</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Revoke Outlook tokens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/api/storage/providers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available storage providers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/api/storage/:provider/files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files from provider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/api/storage/:provider/files/:id/process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Import and process a file</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/api/ai/email/:emailId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Trigger AI analysis on a DB email</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/api/ai/deal/:dealId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Trigger AI deal analysis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/api/health-config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Get deal health configuration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/api/health-config</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Save deal health configuration</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/api/competitors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List competitors</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/api/competitors</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Add competitor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/api/competitors/:id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Update competitor</w:t>
            </w:r>
          </w:p>
        </w:tc>
      </w:tr>
      <w:tr>
        <w:tc>
          <w:tcPr>
            <w:tcW w:type="dxa" w:w="1200"/>
            <w:tcBorders>
              <w:top w:val="single" w:color="D1D5DB" w:sz="1"/>
              <w:left w:val="single" w:color="D1D5DB" w:sz="1"/>
              <w:bottom w:val="single" w:color="D1D5DB" w:sz="1"/>
              <w:right w:val="single" w:color="D1D5DB" w:sz="1"/>
            </w:tcBorders>
            <w:shd w:fill="CCFBF1" w:val="clear"/>
            <w:tcMar>
              <w:top w:type="dxa" w:w="60"/>
              <w:left w:type="dxa" w:w="100"/>
              <w:bottom w:type="dxa" w:w="60"/>
              <w:right w:type="dxa" w:w="100"/>
            </w:tcMar>
          </w:tcPr>
          <w:p>
            <w:r>
              <w:rPr>
                <w:rFonts w:ascii="Courier New" w:cs="Courier New" w:eastAsia="Courier New" w:hAnsi="Courier New"/>
                <w:b w:val="false"/>
                <w:bCs w:val="false"/>
                <w:color w:val="0F766E"/>
                <w:sz w:val="17"/>
                <w:szCs w:val="17"/>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/api/competitors/:id</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Delete competitor</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9. Database Schema</w:t>
      </w:r>
    </w:p>
    <w:p>
      <w:pPr>
        <w:spacing w:before="60" w:after="60"/>
      </w:pPr>
      <w:r>
        <w:rPr>
          <w:rFonts w:ascii="Arial" w:cs="Arial" w:eastAsia="Arial" w:hAnsi="Arial"/>
          <w:color w:val="374151"/>
          <w:sz w:val="20"/>
          <w:szCs w:val="20"/>
        </w:rPr>
        <w:t xml:space="preserve">PostgreSQL. All tables are user-scoped via user_id foreign key. No ORM — raw SQL via the pg library.</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9.1 Core CRM Tables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Table</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Key Columns</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users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email, password_hash, first_name, last_name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Application users. Passwords bcrypt-hashed.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accounts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name, domain, industry, size</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Companies / organisations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contacts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account_id, first_name, last_name, email, title, role_type, phone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role_type: decision_maker | champion | stakeholder | other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deals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account_id, owner_id, name, value, stage, health, expected_close_date, close_date_push_count, health_score, health_score_breakdown</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health: healthy | watch | risk. health_score_breakdown is JSONB.</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deal_contacts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deal_id, contact_id, role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Many-to-many with role context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deal_activities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deal_id, user_id, activity_type, description, created_at</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Audit trail of deal activity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deal_value_history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deal_id, old_value, new_value, changed_at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Tracks value changes for deal size realism scoring</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9.2 Communication Tables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Table</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Key Columns</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emails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deal_id, contact_id, direction, subject, body, to_address, from_address, sent_at, external_id</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direction: sent | received. external_id links to Outlook message ID.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meetings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deal_id, title, description, meeting_type, start_time, end_time, location</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meeting_attendees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meeting_id, contact_id, role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Many-to-many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meeting_transcripts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meeting_id, deal_id, user_id, transcript_text, analysis_status, ai_insights</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analysis_status: pending | analyzing | complete | failed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contact_activities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contact_id, user_id, activity_type, description</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Per-contact activity log</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9.3 Actions Tables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Table</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Key Columns</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actions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deal_id, contact_id, account_id, title, description, action_type, next_step, priority, status, source, source_rule, health_param, suggested_action, context, keywords, is_internal, completed, auto_completed, completion_confidence, completion_evidence, completed_at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next_step: email | call | whatsapp | linkedin | slack | document | internal_task. status: yet_to_start | in_progress | completed. source: auto_generated | ai_generated | manual.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action_config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generation_mode, detection_mode, ai_enhanced_generation, confidence_threshold, auto_complete_threshold, detect_from_emails, detect_from_meetings, detect_from_documents</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Per-user action engine configuration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action_suggestions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action_id, user_id, evidence_type, evidence_id, evidence_snippet, confidence, reasoning, detection_source, status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Completion suggestions awaiting user review. status: pending | accepted | dismissed</w:t>
            </w:r>
          </w:p>
        </w:tc>
      </w:tr>
    </w:tbl>
    <w:p>
      <w:pPr>
        <w:spacing w:before="120" w:after="0"/>
      </w:pPr>
      <w:r>
        <w:t xml:space="preserve"/>
      </w:r>
    </w:p>
    <w:p>
      <w:pPr>
        <w:pStyle w:val="Heading2"/>
        <w:spacing w:before="320" w:after="120"/>
      </w:pPr>
      <w:r>
        <w:rPr>
          <w:rFonts w:ascii="Arial" w:cs="Arial" w:eastAsia="Arial" w:hAnsi="Arial"/>
          <w:b/>
          <w:bCs/>
          <w:color w:val="1E3A5F"/>
          <w:sz w:val="26"/>
          <w:szCs w:val="26"/>
        </w:rPr>
        <w:t xml:space="preserve">9.4 Integration &amp; Configuration Tables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Table</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Key Columns</w:t>
            </w:r>
          </w:p>
        </w:tc>
        <w:tc>
          <w:tcPr>
            <w:tcW w:type="dxa" w:w="5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oauth_tokens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provider, access_token, refresh_token, expires_at</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provider: outlook | googledrive. Upserted on re-auth.</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storage_files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id, user_id, deal_id, contact_id, provider_id, file_id, file_name, file_type, category, processing_status, source_label</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category: transcript | document | email. processing_status: pending | processing | processed | failed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user_playbooks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playbook_data</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JSONB. Contains deal_stages array with key_actions per stage.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user_prompts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template_type, prompt_text</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Custom AI prompt overrides per template type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deal_health_config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weight_*, threshold_*, param_weights, exec_titles, segment_avg_*</w:t>
            </w:r>
          </w:p>
        </w:tc>
        <w:tc>
          <w:tcPr>
            <w:tcW w:type="dxa" w:w="5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374151"/>
                <w:sz w:val="17"/>
                <w:szCs w:val="17"/>
              </w:rPr>
              <w:t xml:space="preserve">All deal health scoring parameters, configurable per user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competitors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Courier New" w:cs="Courier New" w:eastAsia="Courier New" w:hAnsi="Courier New"/>
                <w:b w:val="false"/>
                <w:bCs w:val="false"/>
                <w:color w:val="374151"/>
                <w:sz w:val="17"/>
                <w:szCs w:val="17"/>
              </w:rPr>
              <w:t xml:space="preserve">user_id, name, strengths, weaknesses</w:t>
            </w:r>
          </w:p>
        </w:tc>
        <w:tc>
          <w:tcPr>
            <w:tcW w:type="dxa" w:w="5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b w:val="false"/>
                <w:bCs w:val="false"/>
                <w:color w:val="374151"/>
                <w:sz w:val="17"/>
                <w:szCs w:val="17"/>
              </w:rPr>
              <w:t xml:space="preserve">Competitor intel for health scoring and battlecard generation</w:t>
            </w:r>
          </w:p>
        </w:tc>
      </w:tr>
    </w:tbl>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10. Settings &amp; Configuration</w:t>
      </w:r>
    </w:p>
    <w:p>
      <w:pPr>
        <w:spacing w:before="60" w:after="60"/>
      </w:pPr>
      <w:r>
        <w:rPr>
          <w:rFonts w:ascii="Arial" w:cs="Arial" w:eastAsia="Arial" w:hAnsi="Arial"/>
          <w:color w:val="374151"/>
          <w:sz w:val="20"/>
          <w:szCs w:val="20"/>
        </w:rPr>
        <w:t xml:space="preserve">All configuration is per-user. The Settings view (SettingsView.js) has four tabs:</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10.1 Deal Health Tab</w:t>
      </w:r>
    </w:p>
    <w:p>
      <w:pPr>
        <w:pStyle w:val="ListParagraph"/>
        <w:numPr>
          <w:ilvl w:val="0"/>
          <w:numId w:val="2"/>
        </w:numPr>
        <w:spacing w:before="40" w:after="40"/>
      </w:pPr>
      <w:r>
        <w:rPr>
          <w:rFonts w:ascii="Arial" w:cs="Arial" w:eastAsia="Arial" w:hAnsi="Arial"/>
          <w:color w:val="374151"/>
          <w:sz w:val="20"/>
          <w:szCs w:val="20"/>
        </w:rPr>
        <w:t xml:space="preserve">AI Usage toggle — enable/disable AI for health scoring</w:t>
      </w:r>
    </w:p>
    <w:p>
      <w:pPr>
        <w:pStyle w:val="ListParagraph"/>
        <w:numPr>
          <w:ilvl w:val="0"/>
          <w:numId w:val="2"/>
        </w:numPr>
        <w:spacing w:before="40" w:after="40"/>
      </w:pPr>
      <w:r>
        <w:rPr>
          <w:rFonts w:ascii="Arial" w:cs="Arial" w:eastAsia="Arial" w:hAnsi="Arial"/>
          <w:color w:val="374151"/>
          <w:sz w:val="20"/>
          <w:szCs w:val="20"/>
        </w:rPr>
        <w:t xml:space="preserve">Category weights (must sum to 100): Close Date, Buyer Engagement, Process, Deal Size, Competitive, Momentum</w:t>
      </w:r>
    </w:p>
    <w:p>
      <w:pPr>
        <w:pStyle w:val="ListParagraph"/>
        <w:numPr>
          <w:ilvl w:val="0"/>
          <w:numId w:val="2"/>
        </w:numPr>
        <w:spacing w:before="40" w:after="40"/>
      </w:pPr>
      <w:r>
        <w:rPr>
          <w:rFonts w:ascii="Arial" w:cs="Arial" w:eastAsia="Arial" w:hAnsi="Arial"/>
          <w:color w:val="374151"/>
          <w:sz w:val="20"/>
          <w:szCs w:val="20"/>
        </w:rPr>
        <w:t xml:space="preserve">Parameter-level weights within each category</w:t>
      </w:r>
    </w:p>
    <w:p>
      <w:pPr>
        <w:pStyle w:val="ListParagraph"/>
        <w:numPr>
          <w:ilvl w:val="0"/>
          <w:numId w:val="2"/>
        </w:numPr>
        <w:spacing w:before="40" w:after="40"/>
      </w:pPr>
      <w:r>
        <w:rPr>
          <w:rFonts w:ascii="Arial" w:cs="Arial" w:eastAsia="Arial" w:hAnsi="Arial"/>
          <w:color w:val="374151"/>
          <w:sz w:val="20"/>
          <w:szCs w:val="20"/>
        </w:rPr>
        <w:t xml:space="preserve">Score thresholds: Healthy ≥ N, Watch ≥ N, Risk &lt; Watch</w:t>
      </w:r>
    </w:p>
    <w:p>
      <w:pPr>
        <w:pStyle w:val="ListParagraph"/>
        <w:numPr>
          <w:ilvl w:val="0"/>
          <w:numId w:val="2"/>
        </w:numPr>
        <w:spacing w:before="40" w:after="40"/>
      </w:pPr>
      <w:r>
        <w:rPr>
          <w:rFonts w:ascii="Arial" w:cs="Arial" w:eastAsia="Arial" w:hAnsi="Arial"/>
          <w:color w:val="374151"/>
          <w:sz w:val="20"/>
          <w:szCs w:val="20"/>
        </w:rPr>
        <w:t xml:space="preserve">Title keywords: exec, legal, procurement, security contact classification</w:t>
      </w:r>
    </w:p>
    <w:p>
      <w:pPr>
        <w:pStyle w:val="ListParagraph"/>
        <w:numPr>
          <w:ilvl w:val="0"/>
          <w:numId w:val="2"/>
        </w:numPr>
        <w:spacing w:before="40" w:after="40"/>
      </w:pPr>
      <w:r>
        <w:rPr>
          <w:rFonts w:ascii="Arial" w:cs="Arial" w:eastAsia="Arial" w:hAnsi="Arial"/>
          <w:color w:val="374151"/>
          <w:sz w:val="20"/>
          <w:szCs w:val="20"/>
        </w:rPr>
        <w:t xml:space="preserve">Segment averages: SMB / midmarket / enterprise deal size benchmarks</w:t>
      </w:r>
    </w:p>
    <w:p>
      <w:pPr>
        <w:pStyle w:val="ListParagraph"/>
        <w:numPr>
          <w:ilvl w:val="0"/>
          <w:numId w:val="2"/>
        </w:numPr>
        <w:spacing w:before="40" w:after="40"/>
      </w:pPr>
      <w:r>
        <w:rPr>
          <w:rFonts w:ascii="Arial" w:cs="Arial" w:eastAsia="Arial" w:hAnsi="Arial"/>
          <w:color w:val="374151"/>
          <w:sz w:val="20"/>
          <w:szCs w:val="20"/>
        </w:rPr>
        <w:t xml:space="preserve">Competitors tab: add/edit/delete competitor names with strengths and weaknesses</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10.2 Sales Playbook Tab</w:t>
      </w:r>
    </w:p>
    <w:p>
      <w:pPr>
        <w:pStyle w:val="ListParagraph"/>
        <w:numPr>
          <w:ilvl w:val="0"/>
          <w:numId w:val="2"/>
        </w:numPr>
        <w:spacing w:before="40" w:after="40"/>
      </w:pPr>
      <w:r>
        <w:rPr>
          <w:rFonts w:ascii="Arial" w:cs="Arial" w:eastAsia="Arial" w:hAnsi="Arial"/>
          <w:color w:val="374151"/>
          <w:sz w:val="20"/>
          <w:szCs w:val="20"/>
        </w:rPr>
        <w:t xml:space="preserve">Define deal stages with names and descriptions</w:t>
      </w:r>
    </w:p>
    <w:p>
      <w:pPr>
        <w:pStyle w:val="ListParagraph"/>
        <w:numPr>
          <w:ilvl w:val="0"/>
          <w:numId w:val="2"/>
        </w:numPr>
        <w:spacing w:before="40" w:after="40"/>
      </w:pPr>
      <w:r>
        <w:rPr>
          <w:rFonts w:ascii="Arial" w:cs="Arial" w:eastAsia="Arial" w:hAnsi="Arial"/>
          <w:color w:val="374151"/>
          <w:sz w:val="20"/>
          <w:szCs w:val="20"/>
        </w:rPr>
        <w:t xml:space="preserve">Add key_actions per stage — these feed into the Playbook rule group (G)</w:t>
      </w:r>
    </w:p>
    <w:p>
      <w:pPr>
        <w:pStyle w:val="ListParagraph"/>
        <w:numPr>
          <w:ilvl w:val="0"/>
          <w:numId w:val="2"/>
        </w:numPr>
        <w:spacing w:before="40" w:after="40"/>
      </w:pPr>
      <w:r>
        <w:rPr>
          <w:rFonts w:ascii="Arial" w:cs="Arial" w:eastAsia="Arial" w:hAnsi="Arial"/>
          <w:color w:val="374151"/>
          <w:sz w:val="20"/>
          <w:szCs w:val="20"/>
        </w:rPr>
        <w:t xml:space="preserve">Company context field — used in AI prompts for relevance</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10.3 AI Prompts Tab</w:t>
      </w:r>
    </w:p>
    <w:p>
      <w:pPr>
        <w:pStyle w:val="ListParagraph"/>
        <w:numPr>
          <w:ilvl w:val="0"/>
          <w:numId w:val="2"/>
        </w:numPr>
        <w:spacing w:before="40" w:after="40"/>
      </w:pPr>
      <w:r>
        <w:rPr>
          <w:rFonts w:ascii="Arial" w:cs="Arial" w:eastAsia="Arial" w:hAnsi="Arial"/>
          <w:color w:val="374151"/>
          <w:sz w:val="20"/>
          <w:szCs w:val="20"/>
        </w:rPr>
        <w:t xml:space="preserve">Custom prompt templates per use case (email analysis, deal analysis, etc.)</w:t>
      </w:r>
    </w:p>
    <w:p>
      <w:pPr>
        <w:pStyle w:val="ListParagraph"/>
        <w:numPr>
          <w:ilvl w:val="0"/>
          <w:numId w:val="2"/>
        </w:numPr>
        <w:spacing w:before="40" w:after="40"/>
      </w:pPr>
      <w:r>
        <w:rPr>
          <w:rFonts w:ascii="Arial" w:cs="Arial" w:eastAsia="Arial" w:hAnsi="Arial"/>
          <w:color w:val="374151"/>
          <w:sz w:val="20"/>
          <w:szCs w:val="20"/>
        </w:rPr>
        <w:t xml:space="preserve">Overrides the default prompts in aiProcessor.js</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10.4 Actions Tab</w:t>
      </w:r>
    </w:p>
    <w:p>
      <w:pPr>
        <w:pStyle w:val="ListParagraph"/>
        <w:numPr>
          <w:ilvl w:val="0"/>
          <w:numId w:val="2"/>
        </w:numPr>
        <w:spacing w:before="40" w:after="40"/>
      </w:pPr>
      <w:r>
        <w:rPr>
          <w:rFonts w:ascii="Arial" w:cs="Arial" w:eastAsia="Arial" w:hAnsi="Arial"/>
          <w:color w:val="374151"/>
          <w:sz w:val="20"/>
          <w:szCs w:val="20"/>
        </w:rPr>
        <w:t xml:space="preserve">Generation mode: Sales Playbook (recommended) | Rules Engine | Manual only</w:t>
      </w:r>
    </w:p>
    <w:p>
      <w:pPr>
        <w:pStyle w:val="ListParagraph"/>
        <w:numPr>
          <w:ilvl w:val="0"/>
          <w:numId w:val="2"/>
        </w:numPr>
        <w:spacing w:before="40" w:after="40"/>
      </w:pPr>
      <w:r>
        <w:rPr>
          <w:rFonts w:ascii="Arial" w:cs="Arial" w:eastAsia="Arial" w:hAnsi="Arial"/>
          <w:color w:val="374151"/>
          <w:sz w:val="20"/>
          <w:szCs w:val="20"/>
        </w:rPr>
        <w:t xml:space="preserve">AI-enhanced generation toggle: allows Claude to add/modify actions post-rules</w:t>
      </w:r>
    </w:p>
    <w:p>
      <w:pPr>
        <w:pStyle w:val="ListParagraph"/>
        <w:numPr>
          <w:ilvl w:val="0"/>
          <w:numId w:val="2"/>
        </w:numPr>
        <w:spacing w:before="40" w:after="40"/>
      </w:pPr>
      <w:r>
        <w:rPr>
          <w:rFonts w:ascii="Arial" w:cs="Arial" w:eastAsia="Arial" w:hAnsi="Arial"/>
          <w:color w:val="374151"/>
          <w:sz w:val="20"/>
          <w:szCs w:val="20"/>
        </w:rPr>
        <w:t xml:space="preserve">Generation triggers: on email send, on meeting, on deal stage change</w:t>
      </w:r>
    </w:p>
    <w:p>
      <w:pPr>
        <w:pStyle w:val="ListParagraph"/>
        <w:numPr>
          <w:ilvl w:val="0"/>
          <w:numId w:val="2"/>
        </w:numPr>
        <w:spacing w:before="40" w:after="40"/>
      </w:pPr>
      <w:r>
        <w:rPr>
          <w:rFonts w:ascii="Arial" w:cs="Arial" w:eastAsia="Arial" w:hAnsi="Arial"/>
          <w:color w:val="374151"/>
          <w:sz w:val="20"/>
          <w:szCs w:val="20"/>
        </w:rPr>
        <w:t xml:space="preserve">Detection mode: Rules only | AI only | Hybrid | Manual</w:t>
      </w:r>
    </w:p>
    <w:p>
      <w:pPr>
        <w:pStyle w:val="ListParagraph"/>
        <w:numPr>
          <w:ilvl w:val="0"/>
          <w:numId w:val="2"/>
        </w:numPr>
        <w:spacing w:before="40" w:after="40"/>
      </w:pPr>
      <w:r>
        <w:rPr>
          <w:rFonts w:ascii="Arial" w:cs="Arial" w:eastAsia="Arial" w:hAnsi="Arial"/>
          <w:color w:val="374151"/>
          <w:sz w:val="20"/>
          <w:szCs w:val="20"/>
        </w:rPr>
        <w:t xml:space="preserve">Confidence threshold slider (0–100): minimum confidence to create a suggestion</w:t>
      </w:r>
    </w:p>
    <w:p>
      <w:pPr>
        <w:pStyle w:val="ListParagraph"/>
        <w:numPr>
          <w:ilvl w:val="0"/>
          <w:numId w:val="2"/>
        </w:numPr>
        <w:spacing w:before="40" w:after="40"/>
      </w:pPr>
      <w:r>
        <w:rPr>
          <w:rFonts w:ascii="Arial" w:cs="Arial" w:eastAsia="Arial" w:hAnsi="Arial"/>
          <w:color w:val="374151"/>
          <w:sz w:val="20"/>
          <w:szCs w:val="20"/>
        </w:rPr>
        <w:t xml:space="preserve">Auto-complete threshold slider (0–100): confidence level for auto-completion without user review</w:t>
      </w:r>
    </w:p>
    <w:p>
      <w:pPr>
        <w:pStyle w:val="ListParagraph"/>
        <w:numPr>
          <w:ilvl w:val="0"/>
          <w:numId w:val="2"/>
        </w:numPr>
        <w:spacing w:before="40" w:after="40"/>
      </w:pPr>
      <w:r>
        <w:rPr>
          <w:rFonts w:ascii="Arial" w:cs="Arial" w:eastAsia="Arial" w:hAnsi="Arial"/>
          <w:color w:val="374151"/>
          <w:sz w:val="20"/>
          <w:szCs w:val="20"/>
        </w:rPr>
        <w:t xml:space="preserve">Detection sources toggles: from emails, from meetings, from documents</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11. Background Jobs</w:t>
      </w:r>
    </w:p>
    <w:p>
      <w:pPr>
        <w:pStyle w:val="Heading2"/>
        <w:spacing w:before="320" w:after="120"/>
      </w:pPr>
      <w:r>
        <w:rPr>
          <w:rFonts w:ascii="Arial" w:cs="Arial" w:eastAsia="Arial" w:hAnsi="Arial"/>
          <w:b/>
          <w:bCs/>
          <w:color w:val="1E3A5F"/>
          <w:sz w:val="26"/>
          <w:szCs w:val="26"/>
        </w:rPr>
        <w:t xml:space="preserve">11.1 Email Processor (Bull Queue)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Queue 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email-processing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Backing store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Redis (REDIS_URL env var)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Retry policy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 attempts, exponential backoff starting at 2s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Completed job retention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100 most recent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Failed job retention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 most recent</w:t>
            </w:r>
          </w:p>
        </w:tc>
      </w:tr>
    </w:tbl>
    <w:p>
      <w:pPr>
        <w:spacing w:before="120" w:after="0"/>
      </w:pPr>
      <w:r>
        <w:t xml:space="preserve"/>
      </w:r>
    </w:p>
    <w:p>
      <w:pPr>
        <w:spacing w:before="60" w:after="60"/>
      </w:pPr>
      <w:r>
        <w:rPr>
          <w:rFonts w:ascii="Arial" w:cs="Arial" w:eastAsia="Arial" w:hAnsi="Arial"/>
          <w:color w:val="374151"/>
          <w:sz w:val="20"/>
          <w:szCs w:val="20"/>
        </w:rPr>
        <w:t xml:space="preserve">The worker (jobs/worker.js) starts automatically when the server boots. Job flow: fetch email from DB → fall back to Outlook if insufficient → AI analysis via AIProcessor → create actions via emailActionsService → update DB email record with analysis status.</w:t>
      </w:r>
    </w:p>
    <w:p>
      <w:pPr>
        <w:spacing w:before="120" w:after="0"/>
      </w:pPr>
      <w:r>
        <w:t xml:space="preserve"/>
      </w:r>
    </w:p>
    <w:p>
      <w:pPr>
        <w:pStyle w:val="Heading2"/>
        <w:spacing w:before="320" w:after="120"/>
      </w:pPr>
      <w:r>
        <w:rPr>
          <w:rFonts w:ascii="Arial" w:cs="Arial" w:eastAsia="Arial" w:hAnsi="Arial"/>
          <w:b/>
          <w:bCs/>
          <w:color w:val="1E3A5F"/>
          <w:sz w:val="26"/>
          <w:szCs w:val="26"/>
        </w:rPr>
        <w:t xml:space="preserve">11.2 Non-Blocking Operations</w:t>
      </w:r>
    </w:p>
    <w:p>
      <w:pPr>
        <w:spacing w:before="60" w:after="60"/>
      </w:pPr>
      <w:r>
        <w:rPr>
          <w:rFonts w:ascii="Arial" w:cs="Arial" w:eastAsia="Arial" w:hAnsi="Arial"/>
          <w:color w:val="374151"/>
          <w:sz w:val="20"/>
          <w:szCs w:val="20"/>
        </w:rPr>
        <w:t xml:space="preserve">These operations are called with .catch() and do not block the HTTP response:</w:t>
      </w:r>
    </w:p>
    <w:p>
      <w:pPr>
        <w:pStyle w:val="ListParagraph"/>
        <w:numPr>
          <w:ilvl w:val="0"/>
          <w:numId w:val="2"/>
        </w:numPr>
        <w:spacing w:before="40" w:after="40"/>
      </w:pPr>
      <w:r>
        <w:rPr>
          <w:rFonts w:ascii="Arial" w:cs="Arial" w:eastAsia="Arial" w:hAnsi="Arial"/>
          <w:color w:val="374151"/>
          <w:sz w:val="20"/>
          <w:szCs w:val="20"/>
        </w:rPr>
        <w:t xml:space="preserve">ActionsGenerator.generateForEmail() — after any email save</w:t>
      </w:r>
    </w:p>
    <w:p>
      <w:pPr>
        <w:pStyle w:val="ListParagraph"/>
        <w:numPr>
          <w:ilvl w:val="0"/>
          <w:numId w:val="2"/>
        </w:numPr>
        <w:spacing w:before="40" w:after="40"/>
      </w:pPr>
      <w:r>
        <w:rPr>
          <w:rFonts w:ascii="Arial" w:cs="Arial" w:eastAsia="Arial" w:hAnsi="Arial"/>
          <w:color w:val="374151"/>
          <w:sz w:val="20"/>
          <w:szCs w:val="20"/>
        </w:rPr>
        <w:t xml:space="preserve">ActionCompletionDetector.detectFromEmail() — broad scan after email save</w:t>
      </w:r>
    </w:p>
    <w:p>
      <w:pPr>
        <w:pStyle w:val="ListParagraph"/>
        <w:numPr>
          <w:ilvl w:val="0"/>
          <w:numId w:val="2"/>
        </w:numPr>
        <w:spacing w:before="40" w:after="40"/>
      </w:pPr>
      <w:r>
        <w:rPr>
          <w:rFonts w:ascii="Arial" w:cs="Arial" w:eastAsia="Arial" w:hAnsi="Arial"/>
          <w:color w:val="374151"/>
          <w:sz w:val="20"/>
          <w:szCs w:val="20"/>
        </w:rPr>
        <w:t xml:space="preserve">ActionCompletionDetector.detectFromEmailForAction() — targeted check when actionId is known</w:t>
      </w:r>
    </w:p>
    <w:p>
      <w:pPr>
        <w:pStyle w:val="ListParagraph"/>
        <w:numPr>
          <w:ilvl w:val="0"/>
          <w:numId w:val="2"/>
        </w:numPr>
        <w:spacing w:before="40" w:after="40"/>
      </w:pPr>
      <w:r>
        <w:rPr>
          <w:rFonts w:ascii="Arial" w:cs="Arial" w:eastAsia="Arial" w:hAnsi="Arial"/>
          <w:color w:val="374151"/>
          <w:sz w:val="20"/>
          <w:szCs w:val="20"/>
        </w:rPr>
        <w:t xml:space="preserve">StorageProcessor pipeline steps — after file import</w:t>
      </w:r>
    </w:p>
    <w:p>
      <w:r>
        <w:br w:type="page"/>
      </w:r>
    </w:p>
    <w:p>
      <w:pPr>
        <w:pStyle w:val="Heading1"/>
        <w:pBdr>
          <w:bottom w:val="single" w:color="2563EB" w:sz="6" w:space="6"/>
        </w:pBdr>
        <w:spacing w:before="400" w:after="160"/>
      </w:pPr>
      <w:r>
        <w:rPr>
          <w:rFonts w:ascii="Arial" w:cs="Arial" w:eastAsia="Arial" w:hAnsi="Arial"/>
          <w:b/>
          <w:bCs/>
          <w:color w:val="1E3A5F"/>
          <w:sz w:val="36"/>
          <w:szCs w:val="36"/>
        </w:rPr>
        <w:t xml:space="preserve">12. Security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Implementation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Authentication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JWT (jsonwebtoken). Token stored in localStorage. Verified on every API request by auth.middleware.js.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Authorisation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queries include AND user_id = $N. Cross-tenant data access is structurally impossible.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Rate limiting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express-rate-limit: 100 req/15 min on all /api routes; 20 req/15 min on /api/auth routes.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HTTP security headers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helmet with crossOriginResourcePolicy: cross-origin for file serving.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Configured for specific origins (localhost:3000, action-crm.vercel.app, CORS_ORIGIN env var).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Password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bcrypt hashing — raw passwords never stored.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OAuth tokens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Stored in oauth_tokens table. Access tokens never sent to frontend. Refresh handled server-side.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Proxy trust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app.set('trust proxy', 1) for Railway deployment — enables correct IP detection for rate limiting.</w:t>
            </w:r>
          </w:p>
        </w:tc>
      </w:tr>
    </w:tbl>
    <w:p>
      <w:pPr>
        <w:spacing w:before="120" w:after="0"/>
      </w:pPr>
      <w:r>
        <w:t xml:space="preserve"/>
      </w:r>
    </w:p>
    <w:p>
      <w:pPr>
        <w:pStyle w:val="Heading1"/>
        <w:pBdr>
          <w:bottom w:val="single" w:color="2563EB" w:sz="6" w:space="6"/>
        </w:pBdr>
        <w:spacing w:before="400" w:after="160"/>
      </w:pPr>
      <w:r>
        <w:rPr>
          <w:rFonts w:ascii="Arial" w:cs="Arial" w:eastAsia="Arial" w:hAnsi="Arial"/>
          <w:b/>
          <w:bCs/>
          <w:color w:val="1E3A5F"/>
          <w:sz w:val="36"/>
          <w:szCs w:val="36"/>
        </w:rPr>
        <w:t xml:space="preserve">13. Known Gaps &amp; Future 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color w:val="FFFFFF"/>
                <w:sz w:val="18"/>
                <w:szCs w:val="18"/>
              </w:rPr>
              <w:t xml:space="preserve">Status / Notes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Google Drive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Provider class built and tested. Commented out in StorageProviderFactory. Requires Google OAuth flow to be added to outlook.routes equivalent.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Gmail send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Gmail send equivalent to Outlook Mail.Send. Emails composed in the CRM from Gmail accounts are saved to DB only.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Contacts / Accounts routes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 in the uploaded files — assumed standard CRUD pattern matching deals.routes.js.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Proposals routes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Referenced in server.js but not uploaded — assumed operational.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Dashboard routes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Referenced in server.js but not uploaded — assumed operational.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actions.routes.js next_step filter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nextStep filter added in outputs/actions.routes.js. Ensure this file is deployed (renamed from actions_routes.js).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18"/>
                <w:szCs w:val="18"/>
              </w:rPr>
              <w:t xml:space="preserve">Re-consent for Mail.Send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Existing Outlook-connected users need to re-consent once to grant the new Mail.Send scope. This happens automatically on next "Connect Outlook" click.</w:t>
            </w:r>
          </w:p>
        </w:tc>
      </w:tr>
    </w:tbl>
    <w:sectPr>
      <w:footerReference w:type="default" r:id="rId6"/>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Action CRM — Architecture Document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2026-02-21T02:48:38.927Z</dcterms:created>
  <dcterms:modified xsi:type="dcterms:W3CDTF">2026-02-21T02:48:38.927Z</dcterms:modified>
</cp:coreProperties>
</file>

<file path=docProps/custom.xml><?xml version="1.0" encoding="utf-8"?>
<Properties xmlns="http://schemas.openxmlformats.org/officeDocument/2006/custom-properties" xmlns:vt="http://schemas.openxmlformats.org/officeDocument/2006/docPropsVTypes"/>
</file>