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F5D4" w14:textId="77777777" w:rsidR="00DB6D35" w:rsidRPr="00DB6D35" w:rsidRDefault="00DB6D35" w:rsidP="00DB6D35">
      <w:pPr>
        <w:rPr>
          <w:b/>
          <w:bCs/>
        </w:rPr>
      </w:pPr>
      <w:r w:rsidRPr="00DB6D35">
        <w:rPr>
          <w:b/>
          <w:bCs/>
        </w:rPr>
        <w:t>Abstract</w:t>
      </w:r>
    </w:p>
    <w:p w14:paraId="12A8937F" w14:textId="77777777" w:rsidR="00DB6D35" w:rsidRPr="00DB6D35" w:rsidRDefault="00DB6D35" w:rsidP="00DB6D35">
      <w:r w:rsidRPr="00DB6D35">
        <w:t xml:space="preserve">Cryptocurrency price prediction is a challenging task due to high volatility, external market influences, and the impact of social sentiment. Existing models, including Artificial Neural Networks (ANNs), Long Short-Term Memory (LSTM) networks, and Reinforcement Learning (RL), have limitations in capturing complex interdependencies among assets, sentiment, and market trends. To overcome these challenges, this study proposes a </w:t>
      </w:r>
      <w:r w:rsidRPr="00DB6D35">
        <w:rPr>
          <w:b/>
          <w:bCs/>
        </w:rPr>
        <w:t>Graph Neural Network (GNN)-based hybrid model</w:t>
      </w:r>
      <w:r w:rsidRPr="00DB6D35">
        <w:t xml:space="preserve"> that integrates </w:t>
      </w:r>
      <w:r w:rsidRPr="00DB6D35">
        <w:rPr>
          <w:b/>
          <w:bCs/>
        </w:rPr>
        <w:t>time-series analysis, social sentiment, and multi-asset dependencies</w:t>
      </w:r>
      <w:r w:rsidRPr="00DB6D35">
        <w:t xml:space="preserve">. The proposed system constructs a dynamic graph where nodes represent cryptocurrencies, sentiment scores, and market indicators, while edges define their relationships. A </w:t>
      </w:r>
      <w:r w:rsidRPr="00DB6D35">
        <w:rPr>
          <w:b/>
          <w:bCs/>
        </w:rPr>
        <w:t>Graph Convolutional Network (GCN) or Graph Attention Network (GAT)</w:t>
      </w:r>
      <w:r w:rsidRPr="00DB6D35">
        <w:t xml:space="preserve"> is employed to extract meaningful features, which are then combined with </w:t>
      </w:r>
      <w:r w:rsidRPr="00DB6D35">
        <w:rPr>
          <w:b/>
          <w:bCs/>
        </w:rPr>
        <w:t>LSTM and Transformer models</w:t>
      </w:r>
      <w:r w:rsidRPr="00DB6D35">
        <w:t xml:space="preserve"> for accurate forecasting. By leveraging </w:t>
      </w:r>
      <w:r w:rsidRPr="00DB6D35">
        <w:rPr>
          <w:b/>
          <w:bCs/>
        </w:rPr>
        <w:t>Bitcoin Historical Data (2014-2025) from Yahoo Finance</w:t>
      </w:r>
      <w:r w:rsidRPr="00DB6D35">
        <w:t xml:space="preserve"> and integrating external sentiment sources, the model aims to provide improved predictive performance. The results demonstrate that GNNs effectively capture hidden dependencies, enhancing forecasting accuracy over traditional deep learning approaches.</w:t>
      </w:r>
    </w:p>
    <w:p w14:paraId="0E06035F" w14:textId="77777777" w:rsidR="0062131E" w:rsidRPr="002D67F8" w:rsidRDefault="0062131E" w:rsidP="002D67F8"/>
    <w:sectPr w:rsidR="0062131E" w:rsidRPr="002D6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21BE"/>
    <w:rsid w:val="002D67F8"/>
    <w:rsid w:val="003B02D8"/>
    <w:rsid w:val="00441F83"/>
    <w:rsid w:val="005B1089"/>
    <w:rsid w:val="0062131E"/>
    <w:rsid w:val="00AB0FF7"/>
    <w:rsid w:val="00BB21BE"/>
    <w:rsid w:val="00DB6D35"/>
    <w:rsid w:val="00F2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C199"/>
  <w15:chartTrackingRefBased/>
  <w15:docId w15:val="{70766BF9-A0AF-41A7-B2B0-936C51C4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B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B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B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B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1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4</cp:revision>
  <dcterms:created xsi:type="dcterms:W3CDTF">2025-02-03T16:37:00Z</dcterms:created>
  <dcterms:modified xsi:type="dcterms:W3CDTF">2025-02-28T11:10:00Z</dcterms:modified>
</cp:coreProperties>
</file>