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150" w:lineRule="exact" w:before="0" w:after="0"/>
        <w:ind w:left="0" w:right="0"/>
      </w:pPr>
    </w:p>
    <w:p>
      <w:pPr>
        <w:autoSpaceDN w:val="0"/>
        <w:autoSpaceDE w:val="0"/>
        <w:widowControl/>
        <w:spacing w:line="211" w:lineRule="auto" w:before="612" w:after="0"/>
        <w:ind w:left="240" w:right="0" w:firstLine="0"/>
        <w:jc w:val="left"/>
      </w:pPr>
      <w:r>
        <w:rPr>
          <w:rFonts w:ascii="Barlow" w:hAnsi="Barlow" w:eastAsia="Barlow"/>
          <w:b/>
          <w:i w:val="0"/>
          <w:color w:val="2C3E50"/>
          <w:sz w:val="42"/>
        </w:rPr>
        <w:t>Intelligent LLM Mediation Layer: Token-Optimized, ESG-</w:t>
      </w:r>
    </w:p>
    <w:p>
      <w:pPr>
        <w:autoSpaceDN w:val="0"/>
        <w:autoSpaceDE w:val="0"/>
        <w:widowControl/>
        <w:spacing w:line="211" w:lineRule="auto" w:before="166" w:after="0"/>
        <w:ind w:left="240" w:right="0" w:firstLine="0"/>
        <w:jc w:val="left"/>
      </w:pPr>
      <w:r>
        <w:rPr>
          <w:rFonts w:ascii="Barlow" w:hAnsi="Barlow" w:eastAsia="Barlow"/>
          <w:b/>
          <w:i w:val="0"/>
          <w:color w:val="2C3E50"/>
          <w:sz w:val="42"/>
        </w:rPr>
        <w:t>Aware, SLM-Routed Architecture for Enterprise AI</w:t>
      </w:r>
    </w:p>
    <w:p>
      <w:pPr>
        <w:autoSpaceDN w:val="0"/>
        <w:autoSpaceDE w:val="0"/>
        <w:widowControl/>
        <w:spacing w:line="245" w:lineRule="auto" w:before="542" w:after="0"/>
        <w:ind w:left="240" w:right="10224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 xml:space="preserve">Sudheer </w:t>
      </w:r>
      <w:r>
        <w:br/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Madhulika</w:t>
      </w:r>
    </w:p>
    <w:p>
      <w:pPr>
        <w:autoSpaceDN w:val="0"/>
        <w:autoSpaceDE w:val="0"/>
        <w:widowControl/>
        <w:spacing w:line="240" w:lineRule="auto" w:before="23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2159000</wp:posOffset>
            </wp:positionV>
            <wp:extent cx="6870700" cy="254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1" w:lineRule="auto" w:before="344" w:after="0"/>
        <w:ind w:left="240" w:right="0" w:firstLine="0"/>
        <w:jc w:val="left"/>
      </w:pPr>
      <w:r>
        <w:rPr>
          <w:rFonts w:ascii="Barlow" w:hAnsi="Barlow" w:eastAsia="Barlow"/>
          <w:b/>
          <w:i w:val="0"/>
          <w:color w:val="34495E"/>
          <w:sz w:val="35"/>
        </w:rPr>
        <w:t>1. Executive Overview</w:t>
      </w:r>
    </w:p>
    <w:p>
      <w:pPr>
        <w:autoSpaceDN w:val="0"/>
        <w:autoSpaceDE w:val="0"/>
        <w:widowControl/>
        <w:spacing w:line="245" w:lineRule="auto" w:before="400" w:after="0"/>
        <w:ind w:left="240" w:right="432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Enterprise adoption of Large Language Models has crossed the threshold from experimentation to operational dependency. Over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80% of enterprises are expected to have deployed generative AI APIs or models by 2026, up from less than 5% in 2023 (Gartner).</w:t>
      </w:r>
    </w:p>
    <w:p>
      <w:pPr>
        <w:autoSpaceDN w:val="0"/>
        <w:autoSpaceDE w:val="0"/>
        <w:widowControl/>
        <w:spacing w:line="250" w:lineRule="auto" w:before="82" w:after="0"/>
        <w:ind w:left="240" w:right="288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LLM budgets are growing at approximately 75% year-over-year (a16z, 2025 CIO survey), with the share classified as "innovation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spend" collapsing from 25% to just 7% — meaning LLM consumption is now a core operating expense, not a discretionary line item.</w:t>
      </w:r>
    </w:p>
    <w:p>
      <w:pPr>
        <w:autoSpaceDN w:val="0"/>
        <w:autoSpaceDE w:val="0"/>
        <w:widowControl/>
        <w:spacing w:line="266" w:lineRule="auto" w:before="262" w:after="0"/>
        <w:ind w:left="240" w:right="288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Yet the infrastructure governing this consumption remains dangerously immature. Most enterprises route every request — from a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simple ticket classification to a complex multi-document analysis — through the same frontier model, at the same cost, with no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visibility into token economics, carbon impact, or SLA compliance. The result is a compounding governance deficit: costs spiral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without attribution, carbon footprints grow without measurement, and SLA violations propagate without detection.</w:t>
      </w:r>
    </w:p>
    <w:p>
      <w:pPr>
        <w:autoSpaceDN w:val="0"/>
        <w:autoSpaceDE w:val="0"/>
        <w:widowControl/>
        <w:spacing w:line="211" w:lineRule="auto" w:before="274" w:after="226"/>
        <w:ind w:left="240" w:right="0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This whitepaper proposes an </w:t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Intelligent LLM Mediation Layer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— a control plane architecture built on four interdependent pillars: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7.99999999999997" w:type="dxa"/>
      </w:tblPr>
      <w:tblGrid>
        <w:gridCol w:w="5659"/>
        <w:gridCol w:w="5659"/>
      </w:tblGrid>
      <w:tr>
        <w:trPr>
          <w:trHeight w:hRule="exact" w:val="434"/>
        </w:trPr>
        <w:tc>
          <w:tcPr>
            <w:tcW w:type="dxa" w:w="1986"/>
            <w:tcBorders>
              <w:start w:sz="4.0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Pillar</w:t>
            </w:r>
          </w:p>
        </w:tc>
        <w:tc>
          <w:tcPr>
            <w:tcW w:type="dxa" w:w="8820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Function</w:t>
            </w:r>
          </w:p>
        </w:tc>
      </w:tr>
      <w:tr>
        <w:trPr>
          <w:trHeight w:hRule="exact" w:val="662"/>
        </w:trPr>
        <w:tc>
          <w:tcPr>
            <w:tcW w:type="dxa" w:w="1986"/>
            <w:tcBorders>
              <w:start w:sz="4.0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Token Optimization</w:t>
            </w:r>
          </w:p>
        </w:tc>
        <w:tc>
          <w:tcPr>
            <w:tcW w:type="dxa" w:w="8820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Ingress/egress metering, cost attribution, prompt compression, and budget enforcement at the token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level</w:t>
            </w:r>
          </w:p>
        </w:tc>
      </w:tr>
      <w:tr>
        <w:trPr>
          <w:trHeight w:hRule="exact" w:val="892"/>
        </w:trPr>
        <w:tc>
          <w:tcPr>
            <w:tcW w:type="dxa" w:w="1986"/>
            <w:tcBorders>
              <w:start w:sz="4.0" w:val="single" w:color="#DDDDDD"/>
              <w:top w:sz="4.800000000000182" w:val="single" w:color="#DDDDDD"/>
              <w:end w:sz="4.7999999999999545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SLM-First Routing 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with Dynamic Multi-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Provider Selection</w:t>
            </w:r>
          </w:p>
        </w:tc>
        <w:tc>
          <w:tcPr>
            <w:tcW w:type="dxa" w:w="8820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Classifying request complexity; routing domain-specific queries to fine-tuned SLMs; dynamically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selecting the optimal provider and model (GPT, Claude, Gemini, DeepSeek, open-source) for LLM-tier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requests based on task fit, cost, latency, and compliance constraints</w:t>
            </w:r>
          </w:p>
        </w:tc>
      </w:tr>
      <w:tr>
        <w:trPr>
          <w:trHeight w:hRule="exact" w:val="662"/>
        </w:trPr>
        <w:tc>
          <w:tcPr>
            <w:tcW w:type="dxa" w:w="1986"/>
            <w:tcBorders>
              <w:start w:sz="4.0" w:val="single" w:color="#DDDDDD"/>
              <w:top w:sz="4.799999999999727" w:val="single" w:color="#DDDDDD"/>
              <w:end w:sz="4.7999999999999545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Guardrails &amp; </w:t>
            </w:r>
            <w:r>
              <w:br/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Response Evaluation</w:t>
            </w:r>
          </w:p>
        </w:tc>
        <w:tc>
          <w:tcPr>
            <w:tcW w:type="dxa" w:w="8820"/>
            <w:tcBorders>
              <w:start w:sz="4.7999999999999545" w:val="single" w:color="#DDDDDD"/>
              <w:top w:sz="4.799999999999727" w:val="single" w:color="#DDDDDD"/>
              <w:end w:sz="4.800000000000182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Input validation, output quality scoring, hallucination detection, toxicity filtering, schema enforcement,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and confidence-based escalation — applied at both ingress and egress</w:t>
            </w:r>
          </w:p>
        </w:tc>
      </w:tr>
      <w:tr>
        <w:trPr>
          <w:trHeight w:hRule="exact" w:val="662"/>
        </w:trPr>
        <w:tc>
          <w:tcPr>
            <w:tcW w:type="dxa" w:w="1986"/>
            <w:tcBorders>
              <w:start w:sz="4.0" w:val="single" w:color="#DDDDDD"/>
              <w:top w:sz="4.79999999999927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720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ESG Metrics 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Computation</w:t>
            </w:r>
          </w:p>
        </w:tc>
        <w:tc>
          <w:tcPr>
            <w:tcW w:type="dxa" w:w="8820"/>
            <w:tcBorders>
              <w:start w:sz="4.7999999999999545" w:val="single" w:color="#DDDDDD"/>
              <w:top w:sz="4.79999999999927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100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Real-time carbon footprint estimation per inference request, aligned with Scope 3 reporting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frameworks</w:t>
            </w:r>
          </w:p>
        </w:tc>
      </w:tr>
      <w:tr>
        <w:trPr>
          <w:trHeight w:hRule="exact" w:val="664"/>
        </w:trPr>
        <w:tc>
          <w:tcPr>
            <w:tcW w:type="dxa" w:w="1986"/>
            <w:tcBorders>
              <w:start w:sz="4.0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576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Observability &amp; 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Monitoring</w:t>
            </w:r>
          </w:p>
        </w:tc>
        <w:tc>
          <w:tcPr>
            <w:tcW w:type="dxa" w:w="8820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End-to-end SLA tracking, non-functional requirement enforcement, latency/throughput dashboards,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and compliance audit trails</w:t>
            </w:r>
          </w:p>
        </w:tc>
      </w:tr>
    </w:tbl>
    <w:p>
      <w:pPr>
        <w:autoSpaceDN w:val="0"/>
        <w:autoSpaceDE w:val="0"/>
        <w:widowControl/>
        <w:spacing w:line="250" w:lineRule="auto" w:before="228" w:after="0"/>
        <w:ind w:left="240" w:right="1008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Together, these five pillars transform LLM usage from an unbounded, opaque API expense into governed, measurable, and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optimizable enterprise infrastructure.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8191500</wp:posOffset>
            </wp:positionV>
            <wp:extent cx="6870700" cy="254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4" w:lineRule="auto" w:before="336" w:after="0"/>
        <w:ind w:left="240" w:right="0" w:firstLine="0"/>
        <w:jc w:val="left"/>
      </w:pPr>
      <w:r>
        <w:rPr>
          <w:rFonts w:ascii="Barlow" w:hAnsi="Barlow" w:eastAsia="Barlow"/>
          <w:b/>
          <w:i w:val="0"/>
          <w:color w:val="34495E"/>
          <w:sz w:val="35"/>
        </w:rPr>
        <w:t>2. Historical Parallel: The Cloud Evolution Playbook</w:t>
      </w:r>
    </w:p>
    <w:p>
      <w:pPr>
        <w:autoSpaceDN w:val="0"/>
        <w:autoSpaceDE w:val="0"/>
        <w:widowControl/>
        <w:spacing w:line="269" w:lineRule="auto" w:before="400" w:after="0"/>
        <w:ind w:left="240" w:right="144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Enterprise AI in 2025–2026 is reliving the cloud computing journey of 2008–2018 — at 3× the speed and 10× the stakes. Every pain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point, governance failure, and architectural resolution that defined the cloud era is now repeating in the AI era, often with the same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organizational actors, the same denial patterns, and the same eventual solutions. Understanding this parallel is not an academic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exercise — it is a strategic shortcut. The organizations that recognize the pattern early will compress years of painful learning into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months of deliberate architecture.</w:t>
      </w:r>
    </w:p>
    <w:p>
      <w:pPr>
        <w:autoSpaceDN w:val="0"/>
        <w:autoSpaceDE w:val="0"/>
        <w:widowControl/>
        <w:spacing w:line="211" w:lineRule="auto" w:before="354" w:after="0"/>
        <w:ind w:left="240" w:right="0" w:firstLine="0"/>
        <w:jc w:val="left"/>
      </w:pPr>
      <w:r>
        <w:rPr>
          <w:rFonts w:ascii="Barlow" w:hAnsi="Barlow" w:eastAsia="Barlow"/>
          <w:b/>
          <w:i w:val="0"/>
          <w:color w:val="455A64"/>
          <w:sz w:val="27"/>
        </w:rPr>
        <w:t>2.1 The Six-Phase Parallel</w:t>
      </w:r>
    </w:p>
    <w:p>
      <w:pPr>
        <w:sectPr>
          <w:pgSz w:w="11899" w:h="16838"/>
          <w:pgMar w:top="150" w:right="280" w:bottom="0" w:left="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7.99999999999997" w:type="dxa"/>
      </w:tblPr>
      <w:tblGrid>
        <w:gridCol w:w="2830"/>
        <w:gridCol w:w="2830"/>
        <w:gridCol w:w="2830"/>
        <w:gridCol w:w="2830"/>
      </w:tblGrid>
      <w:tr>
        <w:trPr>
          <w:trHeight w:hRule="exact" w:val="662"/>
        </w:trPr>
        <w:tc>
          <w:tcPr>
            <w:tcW w:type="dxa" w:w="1638"/>
            <w:tcBorders>
              <w:start w:sz="4.0" w:val="single" w:color="#DDDDDD"/>
              <w:top w:sz="4.799999999999997" w:val="single" w:color="#DDDDDD"/>
              <w:end w:sz="4.7999999999999545" w:val="single" w:color="#DDDDDD"/>
              <w:bottom w:sz="4.80000000000001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Phase</w:t>
            </w:r>
          </w:p>
        </w:tc>
        <w:tc>
          <w:tcPr>
            <w:tcW w:type="dxa" w:w="3806"/>
            <w:tcBorders>
              <w:start w:sz="4.7999999999999545" w:val="single" w:color="#DDDDDD"/>
              <w:top w:sz="4.799999999999997" w:val="single" w:color="#DDDDDD"/>
              <w:end w:sz="4.799999999999727" w:val="single" w:color="#DDDDDD"/>
              <w:bottom w:sz="4.80000000000001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Cloud Era (2006–2024)</w:t>
            </w:r>
          </w:p>
        </w:tc>
        <w:tc>
          <w:tcPr>
            <w:tcW w:type="dxa" w:w="3710"/>
            <w:tcBorders>
              <w:start w:sz="4.799999999999727" w:val="single" w:color="#DDDDDD"/>
              <w:top w:sz="4.799999999999997" w:val="single" w:color="#DDDDDD"/>
              <w:end w:sz="4.799999999999727" w:val="single" w:color="#DDDDDD"/>
              <w:bottom w:sz="4.80000000000001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AI/LLM Era (2022–2028)</w:t>
            </w:r>
          </w:p>
        </w:tc>
        <w:tc>
          <w:tcPr>
            <w:tcW w:type="dxa" w:w="1652"/>
            <w:tcBorders>
              <w:start w:sz="4.799999999999727" w:val="single" w:color="#DDDDDD"/>
              <w:top w:sz="4.799999999999997" w:val="single" w:color="#DDDDDD"/>
              <w:end w:sz="4.800000000000182" w:val="single" w:color="#DDDDDD"/>
              <w:bottom w:sz="4.80000000000001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144" w:right="144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The Recurring 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Pattern</w:t>
            </w:r>
          </w:p>
        </w:tc>
      </w:tr>
      <w:tr>
        <w:trPr>
          <w:trHeight w:hRule="exact" w:val="2036"/>
        </w:trPr>
        <w:tc>
          <w:tcPr>
            <w:tcW w:type="dxa" w:w="1638"/>
            <w:tcBorders>
              <w:start w:sz="4.0" w:val="single" w:color="#DDDDDD"/>
              <w:top w:sz="4.800000000000011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784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1.</w:t>
            </w:r>
          </w:p>
          <w:p>
            <w:pPr>
              <w:autoSpaceDN w:val="0"/>
              <w:autoSpaceDE w:val="0"/>
              <w:widowControl/>
              <w:spacing w:line="211" w:lineRule="auto" w:before="0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Experimentation</w:t>
            </w:r>
          </w:p>
        </w:tc>
        <w:tc>
          <w:tcPr>
            <w:tcW w:type="dxa" w:w="3806"/>
            <w:tcBorders>
              <w:start w:sz="4.7999999999999545" w:val="single" w:color="#DDDDDD"/>
              <w:top w:sz="4.800000000000011" w:val="single" w:color="#DDDDDD"/>
              <w:end w:sz="4.799999999999727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554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2006–2010: AWS EC2 launches (2006).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Developers spin up instances with personal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credit cards. IT has no visibility. No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budgets, no policies, no governance.</w:t>
            </w:r>
          </w:p>
        </w:tc>
        <w:tc>
          <w:tcPr>
            <w:tcW w:type="dxa" w:w="3710"/>
            <w:tcBorders>
              <w:start w:sz="4.799999999999727" w:val="single" w:color="#DDDDDD"/>
              <w:top w:sz="4.800000000000011" w:val="single" w:color="#DDDDDD"/>
              <w:end w:sz="4.799999999999727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34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2022–2023: ChatGPT launches.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96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Employees sign up with personal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accounts. 78% use unapproved AI tools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(WalkMe/IDC, 2025). Only 5% of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enterprises have deployed GenAI APIs.</w:t>
            </w:r>
          </w:p>
        </w:tc>
        <w:tc>
          <w:tcPr>
            <w:tcW w:type="dxa" w:w="1652"/>
            <w:tcBorders>
              <w:start w:sz="4.799999999999727" w:val="single" w:color="#DDDDDD"/>
              <w:top w:sz="4.800000000000011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98" w:right="432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Grassroots </w:t>
            </w:r>
            <w:r>
              <w:br/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adoption </w:t>
            </w:r>
            <w:r>
              <w:br/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outpaces </w:t>
            </w:r>
            <w:r>
              <w:br/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governance.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98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Innovation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happens at the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edges, invisible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to central IT.</w:t>
            </w:r>
          </w:p>
        </w:tc>
      </w:tr>
      <w:tr>
        <w:trPr>
          <w:trHeight w:hRule="exact" w:val="2724"/>
        </w:trPr>
        <w:tc>
          <w:tcPr>
            <w:tcW w:type="dxa" w:w="1638"/>
            <w:tcBorders>
              <w:start w:sz="4.0" w:val="single" w:color="#DDDDDD"/>
              <w:top w:sz="4.7999999999999545" w:val="single" w:color="#DDDDDD"/>
              <w:end w:sz="4.7999999999999545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20" w:after="0"/>
              <w:ind w:left="98" w:right="432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2. Shadow </w:t>
            </w:r>
            <w:r>
              <w:br/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Proliferation</w:t>
            </w:r>
          </w:p>
        </w:tc>
        <w:tc>
          <w:tcPr>
            <w:tcW w:type="dxa" w:w="3806"/>
            <w:tcBorders>
              <w:start w:sz="4.7999999999999545" w:val="single" w:color="#DDDDDD"/>
              <w:top w:sz="4.7999999999999545" w:val="single" w:color="#DDDDDD"/>
              <w:end w:sz="4.799999999999727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54" w:after="0"/>
              <w:ind w:left="96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2010–2014: Shadow IT explodes. By 2015,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Gartner reports 35% of enterprise IT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expenditure is managed outside central IT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budgets. Departments run unsanctioned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SaaS, storage, and compute. BankAmerica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discovered unauthorized PC purchases in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1982 — the pattern is ancient.</w:t>
            </w:r>
          </w:p>
        </w:tc>
        <w:tc>
          <w:tcPr>
            <w:tcW w:type="dxa" w:w="3710"/>
            <w:tcBorders>
              <w:start w:sz="4.799999999999727" w:val="single" w:color="#DDDDDD"/>
              <w:top w:sz="4.7999999999999545" w:val="single" w:color="#DDDDDD"/>
              <w:end w:sz="4.799999999999727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54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2023–2025: Shadow AI becomes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systemic. 44% of orgs deploy AI without IT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involvement (Delinea). 69% have no formal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AI policy (ISACA). The average enterprise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hosts 1,200 unauthorized applications.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96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77% of employees share sensitive data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with ChatGPT (Proofpoint).</w:t>
            </w:r>
          </w:p>
        </w:tc>
        <w:tc>
          <w:tcPr>
            <w:tcW w:type="dxa" w:w="1652"/>
            <w:tcBorders>
              <w:start w:sz="4.799999999999727" w:val="single" w:color="#DDDDDD"/>
              <w:top w:sz="4.7999999999999545" w:val="single" w:color="#DDDDDD"/>
              <w:end w:sz="4.800000000000182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Convenience </w:t>
            </w:r>
            <w:r>
              <w:br/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always beats </w:t>
            </w:r>
            <w:r>
              <w:br/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control — until </w:t>
            </w:r>
            <w:r>
              <w:br/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something </w:t>
            </w:r>
            <w:r>
              <w:br/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breaks.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 Users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adopt tools that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solve immediate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problems;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governance is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perceived as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friction.</w:t>
            </w:r>
          </w:p>
        </w:tc>
      </w:tr>
      <w:tr>
        <w:trPr>
          <w:trHeight w:hRule="exact" w:val="2492"/>
        </w:trPr>
        <w:tc>
          <w:tcPr>
            <w:tcW w:type="dxa" w:w="1638"/>
            <w:tcBorders>
              <w:start w:sz="4.0" w:val="single" w:color="#DDDDDD"/>
              <w:top w:sz="4.799999999999727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12" w:after="0"/>
              <w:ind w:left="98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3. Bill Shock &amp; 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Cost Crisis</w:t>
            </w:r>
          </w:p>
        </w:tc>
        <w:tc>
          <w:tcPr>
            <w:tcW w:type="dxa" w:w="3806"/>
            <w:tcBorders>
              <w:start w:sz="4.7999999999999545" w:val="single" w:color="#DDDDDD"/>
              <w:top w:sz="4.799999999999727" w:val="single" w:color="#DDDDDD"/>
              <w:end w:sz="4.799999999999727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96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2014–2018: Enterprises discover cloud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costs are unpredictable and escalating.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Sky Group spends a full year's cloud budget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in six months. Flexera reports 27–30% of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cloud spend is wasted. "Cloud First"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directives produce massive bills without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proportionate business value. $45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billion/year wasted on underutilized cloud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infrastructure by 2025.</w:t>
            </w:r>
          </w:p>
        </w:tc>
        <w:tc>
          <w:tcPr>
            <w:tcW w:type="dxa" w:w="3710"/>
            <w:tcBorders>
              <w:start w:sz="4.799999999999727" w:val="single" w:color="#DDDDDD"/>
              <w:top w:sz="4.799999999999727" w:val="single" w:color="#DDDDDD"/>
              <w:end w:sz="4.799999999999727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4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2024–2026: AI spending doubles annually.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Zylo reports $1.2M average AI-native app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spending (+108% YoY). A developer's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overnight loop costs $3,000.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Consumption-based token pricing creates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volatility that traditional IT budgets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cannot absorb. Enterprise CIOs report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75% YoY LLM budget growth (a16z).</w:t>
            </w:r>
          </w:p>
        </w:tc>
        <w:tc>
          <w:tcPr>
            <w:tcW w:type="dxa" w:w="1652"/>
            <w:tcBorders>
              <w:start w:sz="4.799999999999727" w:val="single" w:color="#DDDDDD"/>
              <w:top w:sz="4.799999999999727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Pay-as-you-go 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pricing creates 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invisible cost </w:t>
            </w:r>
            <w:r>
              <w:br/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accumulation.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Without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metering and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attribution, costs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are discovered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only when the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invoice arrives.</w:t>
            </w:r>
          </w:p>
        </w:tc>
      </w:tr>
      <w:tr>
        <w:trPr>
          <w:trHeight w:hRule="exact" w:val="2266"/>
        </w:trPr>
        <w:tc>
          <w:tcPr>
            <w:tcW w:type="dxa" w:w="1638"/>
            <w:tcBorders>
              <w:start w:sz="4.0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92" w:after="0"/>
              <w:ind w:left="98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4. Governance 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Awakening</w:t>
            </w:r>
          </w:p>
        </w:tc>
        <w:tc>
          <w:tcPr>
            <w:tcW w:type="dxa" w:w="3806"/>
            <w:tcBorders>
              <w:start w:sz="4.7999999999999545" w:val="single" w:color="#DDDDDD"/>
              <w:top w:sz="4.800000000000182" w:val="single" w:color="#DDDDDD"/>
              <w:end w:sz="4.799999999999727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2016–2020: Cloud governance frameworks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emerge. CASBs (Cloud Access Security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Brokers) address shadow IT. Tagging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standards, cost allocation, and chargeback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models are developed. Multi-cloud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strategies emerge to reduce vendor lock-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in. Cloud Centers of Excellence are formed.</w:t>
            </w:r>
          </w:p>
        </w:tc>
        <w:tc>
          <w:tcPr>
            <w:tcW w:type="dxa" w:w="3710"/>
            <w:tcBorders>
              <w:start w:sz="4.799999999999727" w:val="single" w:color="#DDDDDD"/>
              <w:top w:sz="4.800000000000182" w:val="single" w:color="#DDDDDD"/>
              <w:end w:sz="4.799999999999727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96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2025–2026: AI governance tools market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explodes ($227M </w:t>
            </w:r>
            <w:r>
              <w:rPr>
                <w:w w:val="101.44764749627365"/>
                <w:rFonts w:ascii="Arial" w:hAnsi="Arial" w:eastAsia="Arial"/>
                <w:b w:val="0"/>
                <w:i w:val="0"/>
                <w:color w:val="000000"/>
                <w:sz w:val="19"/>
              </w:rPr>
              <w:t>→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 $4.83B projected by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2034). Gartner recognizes AI Gateways as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a market category (2025). EU AI Act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enforcement begins. Only 27% of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enterprises govern their AI usage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(CloudSphere). The governance gap is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structural, not incidental.</w:t>
            </w:r>
          </w:p>
        </w:tc>
        <w:tc>
          <w:tcPr>
            <w:tcW w:type="dxa" w:w="1652"/>
            <w:tcBorders>
              <w:start w:sz="4.799999999999727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Governance lags 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adoption by 2–4 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years.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98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Centralized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control emerges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only after cost,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security, or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regulatory pain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becomes acute.</w:t>
            </w:r>
          </w:p>
        </w:tc>
      </w:tr>
      <w:tr>
        <w:trPr>
          <w:trHeight w:hRule="exact" w:val="2952"/>
        </w:trPr>
        <w:tc>
          <w:tcPr>
            <w:tcW w:type="dxa" w:w="1638"/>
            <w:tcBorders>
              <w:start w:sz="4.0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40" w:after="0"/>
              <w:ind w:left="98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5. FinOps / Cost 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Discipline</w:t>
            </w:r>
          </w:p>
        </w:tc>
        <w:tc>
          <w:tcPr>
            <w:tcW w:type="dxa" w:w="3806"/>
            <w:tcBorders>
              <w:start w:sz="4.7999999999999545" w:val="single" w:color="#DDDDDD"/>
              <w:top w:sz="4.800000000000182" w:val="single" w:color="#DDDDDD"/>
              <w:end w:sz="4.799999999999727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34" w:after="0"/>
              <w:ind w:left="96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2018–2024: FinOps emerges as a formal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discipline. FinOps Foundation founded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(2019). By 2024, 75% of Forbes Global 2000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adopt FinOps practices. 96 of the Fortune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100 participate in FinOps Foundation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programs. FOCUS specification (2023)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standardizes billing data across providers.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The mission evolves from "cost of cloud" to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"value of technology."</w:t>
            </w:r>
          </w:p>
        </w:tc>
        <w:tc>
          <w:tcPr>
            <w:tcW w:type="dxa" w:w="3710"/>
            <w:tcBorders>
              <w:start w:sz="4.799999999999727" w:val="single" w:color="#DDDDDD"/>
              <w:top w:sz="4.800000000000182" w:val="single" w:color="#DDDDDD"/>
              <w:end w:sz="4.799999999999727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34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2025–2027 (emerging): AI FinOps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coalesces. 63% of FinOps teams now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manage AI-related spend — up from 31%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the prior year. Token-level metering, per-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request cost attribution, and model-tier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routing emerge as the AI equivalent of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cloud right-sizing and reserved instances.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No FOCUS-equivalent standard exists yet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for AI inference billing.</w:t>
            </w:r>
          </w:p>
        </w:tc>
        <w:tc>
          <w:tcPr>
            <w:tcW w:type="dxa" w:w="1652"/>
            <w:tcBorders>
              <w:start w:sz="4.799999999999727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Cost </w:t>
            </w:r>
            <w:r>
              <w:br/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management </w:t>
            </w:r>
            <w:r>
              <w:br/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becomes a </w:t>
            </w:r>
            <w:r>
              <w:br/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strategic </w:t>
            </w:r>
            <w:r>
              <w:br/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capability, not a 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reactive </w:t>
            </w:r>
            <w:r>
              <w:br/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exercise.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 The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discipline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matures from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"find waste" to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"optimize unit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economics."</w:t>
            </w:r>
          </w:p>
        </w:tc>
      </w:tr>
      <w:tr>
        <w:trPr>
          <w:trHeight w:hRule="exact" w:val="2244"/>
        </w:trPr>
        <w:tc>
          <w:tcPr>
            <w:tcW w:type="dxa" w:w="1638"/>
            <w:tcBorders>
              <w:start w:sz="4.0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90" w:after="0"/>
              <w:ind w:left="98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6. Architectural 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Maturity</w:t>
            </w:r>
          </w:p>
        </w:tc>
        <w:tc>
          <w:tcPr>
            <w:tcW w:type="dxa" w:w="3806"/>
            <w:tcBorders>
              <w:start w:sz="4.7999999999999545" w:val="single" w:color="#DDDDDD"/>
              <w:top w:sz="4.800000000000182" w:val="single" w:color="#DDDDDD"/>
              <w:end w:sz="4.799999999999727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96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2020–2024: "Cloud Smart" replaces "Cloud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First." Multi-cloud and hybrid strategies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become standard. Kubernetes enables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portability. Service meshes govern inter-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service communication. Observability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platforms (Datadog, New Relic) unify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visibility. Cloud evolves from utility to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governed infrastructure.</w:t>
            </w:r>
          </w:p>
        </w:tc>
        <w:tc>
          <w:tcPr>
            <w:tcW w:type="dxa" w:w="3710"/>
            <w:tcBorders>
              <w:start w:sz="4.799999999999727" w:val="single" w:color="#DDDDDD"/>
              <w:top w:sz="4.800000000000182" w:val="single" w:color="#DDDDDD"/>
              <w:end w:sz="4.799999999999727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2026–2028 (projected): "AI Smart"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replaces "AI First." Multi-provider model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selection becomes standard. LLM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Gateways govern all inference traffic.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96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SLM-first routing optimizes unit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economics. Unified observability covers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cost + carbon + SLA + quality. AI evolves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from API consumption to governed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infrastructure.</w:t>
            </w:r>
          </w:p>
        </w:tc>
        <w:tc>
          <w:tcPr>
            <w:tcW w:type="dxa" w:w="1652"/>
            <w:tcBorders>
              <w:start w:sz="4.799999999999727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304" w:firstLine="0"/>
              <w:jc w:val="both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The mediation 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layer becomes 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mandatory.</w:t>
            </w:r>
          </w:p>
          <w:p>
            <w:pPr>
              <w:autoSpaceDN w:val="0"/>
              <w:autoSpaceDE w:val="0"/>
              <w:widowControl/>
              <w:spacing w:line="245" w:lineRule="auto" w:before="0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Maturity is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defined by the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governance layer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between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consumers and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providers.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280" w:bottom="0" w:left="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1" w:lineRule="auto" w:before="344" w:after="0"/>
        <w:ind w:left="240" w:right="0" w:firstLine="0"/>
        <w:jc w:val="left"/>
      </w:pPr>
      <w:r>
        <w:rPr>
          <w:rFonts w:ascii="Barlow" w:hAnsi="Barlow" w:eastAsia="Barlow"/>
          <w:b/>
          <w:i w:val="0"/>
          <w:color w:val="455A64"/>
          <w:sz w:val="27"/>
        </w:rPr>
        <w:t>2.2 The Recurring Lessons</w:t>
      </w:r>
    </w:p>
    <w:p>
      <w:pPr>
        <w:autoSpaceDN w:val="0"/>
        <w:autoSpaceDE w:val="0"/>
        <w:widowControl/>
        <w:spacing w:line="211" w:lineRule="auto" w:before="366" w:after="0"/>
        <w:ind w:left="24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Lesson 1: The Shadow-to-Governance Arc is Inevitable</w:t>
      </w:r>
    </w:p>
    <w:p>
      <w:pPr>
        <w:autoSpaceDN w:val="0"/>
        <w:autoSpaceDE w:val="0"/>
        <w:widowControl/>
        <w:spacing w:line="257" w:lineRule="auto" w:before="274" w:after="0"/>
        <w:ind w:left="240" w:right="288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In cloud, employees adopted Dropbox, Slack, and personal AWS accounts because corporate IT was too slow. The response wasn't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to block usage — it was to provide governed alternatives and centralized visibility. CASBs didn't replace cloud adoption; they made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it visible and controllable.</w:t>
      </w:r>
    </w:p>
    <w:p>
      <w:pPr>
        <w:autoSpaceDN w:val="0"/>
        <w:autoSpaceDE w:val="0"/>
        <w:widowControl/>
        <w:spacing w:line="257" w:lineRule="auto" w:before="276" w:after="0"/>
        <w:ind w:left="240" w:right="720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In AI, the same arc is playing out. 78% of workers use unapproved AI tools. The solution is not prohibition (which drives usage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underground) — it is a governed mediation layer that provides approved, monitored access while surfacing shadow usage for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integration. Every cloud-era CASB pattern has an AI-era gateway equivalent.</w:t>
      </w:r>
    </w:p>
    <w:p>
      <w:pPr>
        <w:autoSpaceDN w:val="0"/>
        <w:autoSpaceDE w:val="0"/>
        <w:widowControl/>
        <w:spacing w:line="211" w:lineRule="auto" w:before="264" w:after="0"/>
        <w:ind w:left="24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Lesson 2: Bill Shock Creates the Business Case for Governance</w:t>
      </w:r>
    </w:p>
    <w:p>
      <w:pPr>
        <w:autoSpaceDN w:val="0"/>
        <w:autoSpaceDE w:val="0"/>
        <w:widowControl/>
        <w:spacing w:line="250" w:lineRule="auto" w:before="276" w:after="0"/>
        <w:ind w:left="240" w:right="864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Cloud governance rarely got budget before the cost crisis hit. Sky Group's "full year's budget in six months" moment, or Lyft's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realization that cloud costs per ride were unsustainable, created executive urgency that years of security arguments hadn't.</w:t>
      </w:r>
    </w:p>
    <w:p>
      <w:pPr>
        <w:autoSpaceDN w:val="0"/>
        <w:autoSpaceDE w:val="0"/>
        <w:widowControl/>
        <w:spacing w:line="257" w:lineRule="auto" w:before="262" w:after="0"/>
        <w:ind w:left="240" w:right="432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In AI, the same pattern is accelerating. A developer's $3,000 overnight loop, or the realization that $881K/year is being spent on a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single over-tokenized use case, creates the "bill shock" moment. FinOps for AI is emerging on the same curve — but compressed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from a decade to 2–3 years because the cost velocity is higher and the executive visibility is greater.</w:t>
      </w:r>
    </w:p>
    <w:p>
      <w:pPr>
        <w:autoSpaceDN w:val="0"/>
        <w:autoSpaceDE w:val="0"/>
        <w:widowControl/>
        <w:spacing w:line="211" w:lineRule="auto" w:before="274" w:after="0"/>
        <w:ind w:left="24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Lesson 3: Multi-Provider Flexibility is Non-Negotiable</w:t>
      </w:r>
    </w:p>
    <w:p>
      <w:pPr>
        <w:autoSpaceDN w:val="0"/>
        <w:autoSpaceDE w:val="0"/>
        <w:widowControl/>
        <w:spacing w:line="245" w:lineRule="auto" w:before="274" w:after="0"/>
        <w:ind w:left="240" w:right="720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Cloud taught enterprises that single-provider lock-in is a strategic risk. Kubernetes, Terraform, and multi-cloud architectures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emerged because organizations needed portability, failover, and cost arbitrage across AWS, Azure, and GCP.</w:t>
      </w:r>
    </w:p>
    <w:p>
      <w:pPr>
        <w:autoSpaceDN w:val="0"/>
        <w:autoSpaceDE w:val="0"/>
        <w:widowControl/>
        <w:spacing w:line="257" w:lineRule="auto" w:before="274" w:after="0"/>
        <w:ind w:left="240" w:right="144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AI is learning the same lesson. No single model dominates every task. Compliance constraints (GDPR, data sovereignty, CLOUD Act)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restrict provider choice for specific data types. Price competition is intense and volatile. The mediation layer must be provider-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agnostic — just as Kubernetes abstracts infrastructure, the AI gateway must abstract model providers.</w:t>
      </w:r>
    </w:p>
    <w:p>
      <w:pPr>
        <w:autoSpaceDN w:val="0"/>
        <w:autoSpaceDE w:val="0"/>
        <w:widowControl/>
        <w:spacing w:line="211" w:lineRule="auto" w:before="262" w:after="0"/>
        <w:ind w:left="24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Lesson 4: The Control Plane Becomes the Strategic Asset</w:t>
      </w:r>
    </w:p>
    <w:p>
      <w:pPr>
        <w:autoSpaceDN w:val="0"/>
        <w:autoSpaceDE w:val="0"/>
        <w:widowControl/>
        <w:spacing w:line="257" w:lineRule="auto" w:before="274" w:after="0"/>
        <w:ind w:left="240" w:right="288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In cloud, the most valuable infrastructure isn't the compute — it's the control plane (Kubernetes, service mesh, observability).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Organizations that invested in the governance layer gained portability, cost control, and operational resilience. Those that coupled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directly to a single provider's native services found migration prohibitively expensive.</w:t>
      </w:r>
    </w:p>
    <w:p>
      <w:pPr>
        <w:autoSpaceDN w:val="0"/>
        <w:autoSpaceDE w:val="0"/>
        <w:widowControl/>
        <w:spacing w:line="266" w:lineRule="auto" w:before="274" w:after="0"/>
        <w:ind w:left="240" w:right="144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In AI, the same principle applies. The most valuable asset isn't the model (models commoditize rapidly) — it's the mediation layer: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the routing intelligence, the guardrail policies, the fine-tuned SLMs, the cost/carbon/SLA data. Organizations that build the control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plane own the optionality. Those that couple directly to a single model API will find themselves locked into a provider whose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pricing, capabilities, and compliance posture may not match their needs in 12 months.</w:t>
      </w:r>
    </w:p>
    <w:p>
      <w:pPr>
        <w:autoSpaceDN w:val="0"/>
        <w:autoSpaceDE w:val="0"/>
        <w:widowControl/>
        <w:spacing w:line="211" w:lineRule="auto" w:before="262" w:after="0"/>
        <w:ind w:left="24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Lesson 5: FinOps Maturity Follows a "Crawl-Walk-Run" Progression</w:t>
      </w:r>
    </w:p>
    <w:p>
      <w:pPr>
        <w:autoSpaceDN w:val="0"/>
        <w:autoSpaceDE w:val="0"/>
        <w:widowControl/>
        <w:spacing w:line="257" w:lineRule="auto" w:before="274" w:after="0"/>
        <w:ind w:left="240" w:right="576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Cloud FinOps didn't start with unit economics and AI-driven forecasting. It started with tagging, basic dashboards, and monthly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reports. The "crawl-walk-run" maturity model — from reactive cost discovery to proactive optimization to continuous value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engineering — is now the industry standard.</w:t>
      </w:r>
    </w:p>
    <w:p>
      <w:pPr>
        <w:autoSpaceDN w:val="0"/>
        <w:autoSpaceDE w:val="0"/>
        <w:widowControl/>
        <w:spacing w:line="262" w:lineRule="auto" w:before="274" w:after="0"/>
        <w:ind w:left="240" w:right="288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AI FinOps will follow the same path. "Crawl" means basic token metering and monthly cost reports. "Walk" means per-department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attribution, model-tier routing, and budget enforcement. "Run" means real-time cost-carbon-SLA optimization, SLM-first routing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with continuous fine-tuning, and AI-driven inference path optimization. This whitepaper's architecture targets the "Run" state but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is designed for incremental adoption.</w:t>
      </w:r>
    </w:p>
    <w:p>
      <w:pPr>
        <w:autoSpaceDN w:val="0"/>
        <w:autoSpaceDE w:val="0"/>
        <w:widowControl/>
        <w:spacing w:line="211" w:lineRule="auto" w:before="274" w:after="0"/>
        <w:ind w:left="24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Lesson 6: Sustainability Pressure Arrives Later but Hits Harder</w:t>
      </w:r>
    </w:p>
    <w:p>
      <w:pPr>
        <w:autoSpaceDN w:val="0"/>
        <w:autoSpaceDE w:val="0"/>
        <w:widowControl/>
        <w:spacing w:line="245" w:lineRule="auto" w:before="274" w:after="0"/>
        <w:ind w:left="240" w:right="432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In cloud, environmental impact wasn't part of the initial adoption conversation. Carbon accounting for data centers emerged 5–10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years after mass adoption, driven by ESG reporting mandates and shareholder pressure.</w:t>
      </w:r>
    </w:p>
    <w:p>
      <w:pPr>
        <w:sectPr>
          <w:pgSz w:w="11899" w:h="16838"/>
          <w:pgMar w:top="0" w:right="280" w:bottom="0" w:left="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</w:p>
    <w:p>
      <w:pPr>
        <w:autoSpaceDN w:val="0"/>
        <w:autoSpaceDE w:val="0"/>
        <w:widowControl/>
        <w:spacing w:line="257" w:lineRule="auto" w:before="0" w:after="0"/>
        <w:ind w:left="0" w:right="432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In AI, the timeline is compressed. Google's 13% emissions increase, Cornell's </w:t>
      </w:r>
      <w:r>
        <w:rPr>
          <w:w w:val="101.44764749627365"/>
          <w:rFonts w:ascii="Barlow" w:hAnsi="Barlow" w:eastAsia="Barlow"/>
          <w:b w:val="0"/>
          <w:i/>
          <w:color w:val="000000"/>
          <w:sz w:val="19"/>
        </w:rPr>
        <w:t>Nature Sustainability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study, and 2025 shareholder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proposals at Amazon/Meta/Alphabet are creating carbon accountability demands </w:t>
      </w:r>
      <w:r>
        <w:rPr>
          <w:w w:val="101.44764749627365"/>
          <w:rFonts w:ascii="Barlow" w:hAnsi="Barlow" w:eastAsia="Barlow"/>
          <w:b w:val="0"/>
          <w:i/>
          <w:color w:val="000000"/>
          <w:sz w:val="19"/>
        </w:rPr>
        <w:t>during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the adoption wave — not after it.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Organizations that build carbon-aware routing from the start will avoid the costly retrofitting that cloud operators now face.</w:t>
      </w:r>
    </w:p>
    <w:p>
      <w:pPr>
        <w:autoSpaceDN w:val="0"/>
        <w:autoSpaceDE w:val="0"/>
        <w:widowControl/>
        <w:spacing w:line="211" w:lineRule="auto" w:before="354" w:after="0"/>
        <w:ind w:left="0" w:right="0" w:firstLine="0"/>
        <w:jc w:val="left"/>
      </w:pPr>
      <w:r>
        <w:rPr>
          <w:rFonts w:ascii="Barlow" w:hAnsi="Barlow" w:eastAsia="Barlow"/>
          <w:b/>
          <w:i w:val="0"/>
          <w:color w:val="455A64"/>
          <w:sz w:val="27"/>
        </w:rPr>
        <w:t>2.3 The Opportunity: Compressing a Decade of Cloud Lessons into 18 Months</w:t>
      </w:r>
    </w:p>
    <w:p>
      <w:pPr>
        <w:autoSpaceDN w:val="0"/>
        <w:autoSpaceDE w:val="0"/>
        <w:widowControl/>
        <w:spacing w:line="250" w:lineRule="auto" w:before="368" w:after="0"/>
        <w:ind w:left="0" w:right="144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The cloud era took 12–15 years to move from experimentation to architectural maturity. The AI era is compressing that timeline to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3–5 years because: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274" w:after="0"/>
        <w:ind w:left="260" w:right="144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1993900</wp:posOffset>
            </wp:positionV>
            <wp:extent cx="50800" cy="508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Executive visibility is higher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: CEOs and boards are actively engaged in AI strategy in a way they never were with early cloud 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migration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82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2387600</wp:posOffset>
            </wp:positionV>
            <wp:extent cx="50800" cy="508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Cost velocity is faster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: Cloud costs accumulated gradually; AI token costs can spiral in hours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70" w:after="0"/>
        <w:ind w:left="260" w:right="432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2578100</wp:posOffset>
            </wp:positionV>
            <wp:extent cx="50800" cy="508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Regulatory pressure is immediate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: The EU AI Act is enforcing compliance during the adoption wave, not after it (unlike 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GDPR, which arrived years after cloud adoption was mature)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82" w:after="0"/>
        <w:ind w:left="260" w:right="28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2971800</wp:posOffset>
            </wp:positionV>
            <wp:extent cx="50800" cy="508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The playbook already exists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: Every governance pattern — multi-provider abstraction, cost attribution, shadow discovery, 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FinOps discipline, observability platforms — has a proven cloud-era precedent that can be adapted rather than invented</w:t>
      </w:r>
    </w:p>
    <w:p>
      <w:pPr>
        <w:autoSpaceDN w:val="0"/>
        <w:autoSpaceDE w:val="0"/>
        <w:widowControl/>
        <w:spacing w:line="264" w:lineRule="auto" w:before="274" w:after="0"/>
        <w:ind w:left="0" w:right="288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The Intelligent LLM Mediation Layer proposed in this whitepaper is architecturally analogous to the cloud control plane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(Kubernetes + service mesh + FinOps + observability). It applies the hard-won lessons of the cloud era to the AI era — before the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cost, security, and sustainability crises force reactive solutions that are more expensive and less effective than proactive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architecture.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4305300</wp:posOffset>
            </wp:positionV>
            <wp:extent cx="6870700" cy="254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1" w:lineRule="auto" w:before="338" w:after="0"/>
        <w:ind w:left="0" w:right="0" w:firstLine="0"/>
        <w:jc w:val="left"/>
      </w:pPr>
      <w:r>
        <w:rPr>
          <w:rFonts w:ascii="Barlow" w:hAnsi="Barlow" w:eastAsia="Barlow"/>
          <w:b/>
          <w:i w:val="0"/>
          <w:color w:val="34495E"/>
          <w:sz w:val="35"/>
        </w:rPr>
        <w:t>3. Problem Statement</w:t>
      </w:r>
    </w:p>
    <w:p>
      <w:pPr>
        <w:autoSpaceDN w:val="0"/>
        <w:autoSpaceDE w:val="0"/>
        <w:widowControl/>
        <w:spacing w:line="211" w:lineRule="auto" w:before="408" w:after="0"/>
        <w:ind w:left="0" w:right="0" w:firstLine="0"/>
        <w:jc w:val="left"/>
      </w:pPr>
      <w:r>
        <w:rPr>
          <w:rFonts w:ascii="Barlow" w:hAnsi="Barlow" w:eastAsia="Barlow"/>
          <w:b/>
          <w:i w:val="0"/>
          <w:color w:val="455A64"/>
          <w:sz w:val="27"/>
        </w:rPr>
        <w:t>3.1 The Inference Governance Crisis</w:t>
      </w:r>
    </w:p>
    <w:p>
      <w:pPr>
        <w:autoSpaceDN w:val="0"/>
        <w:autoSpaceDE w:val="0"/>
        <w:widowControl/>
        <w:spacing w:line="250" w:lineRule="auto" w:before="368" w:after="0"/>
        <w:ind w:left="0" w:right="0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Enterprise LLMs are treated as simple HTTP utilities — applications call model APIs directly, with no mediation, metering, or policy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enforcement. This direct-to-API pattern creates five cascading failures:</w:t>
      </w:r>
    </w:p>
    <w:p>
      <w:pPr>
        <w:autoSpaceDN w:val="0"/>
        <w:autoSpaceDE w:val="0"/>
        <w:widowControl/>
        <w:spacing w:line="211" w:lineRule="auto" w:before="274" w:after="0"/>
        <w:ind w:left="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Failure 1: Cost Blindness</w:t>
      </w:r>
    </w:p>
    <w:p>
      <w:pPr>
        <w:autoSpaceDN w:val="0"/>
        <w:autoSpaceDE w:val="0"/>
        <w:widowControl/>
        <w:spacing w:line="264" w:lineRule="auto" w:before="262" w:after="0"/>
        <w:ind w:left="0" w:right="0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Organizations lack visibility into what they spend, where, and why. According to Zylo's 2026 SaaS Management Index, enterprises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spent an average of $1.2 million on AI-native applications — a 108% year-over-year increase. Token-based and consumption-based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pricing creates extreme volatility: a single misconfigured agent loop can accumulate thousands of dollars in hours. Yet most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enterprises have no per-request cost attribution, no department-level budgets, and no real-time spend alerts.</w:t>
      </w:r>
    </w:p>
    <w:p>
      <w:pPr>
        <w:autoSpaceDN w:val="0"/>
        <w:autoSpaceDE w:val="0"/>
        <w:widowControl/>
        <w:spacing w:line="257" w:lineRule="auto" w:before="276" w:after="0"/>
        <w:ind w:left="0" w:right="144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The underlying economics are stark. API pricing ranges from $0.25 to $15 per million input tokens across model tiers — a 60×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spread. When every query, regardless of complexity, routes to a $15/million-token frontier model, enterprises pay frontier prices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for tasks a $0.25 model could handle.</w:t>
      </w:r>
    </w:p>
    <w:p>
      <w:pPr>
        <w:autoSpaceDN w:val="0"/>
        <w:autoSpaceDE w:val="0"/>
        <w:widowControl/>
        <w:spacing w:line="211" w:lineRule="auto" w:before="264" w:after="0"/>
        <w:ind w:left="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Failure 2: Model Overuse (The Frontier Default)</w:t>
      </w:r>
    </w:p>
    <w:p>
      <w:pPr>
        <w:autoSpaceDN w:val="0"/>
        <w:autoSpaceDE w:val="0"/>
        <w:widowControl/>
        <w:spacing w:line="264" w:lineRule="auto" w:before="276" w:after="0"/>
        <w:ind w:left="0" w:right="0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Industry analysis consistently finds that 70–80% of enterprise LLM queries are sent to frontier models, even though only 10–20% of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those queries actually require frontier-level reasoning. Classification tasks, FAQ responses, ticket routing, simple summarization,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and structured extraction — these high-volume, low-complexity tasks consume the majority of enterprise LLM traffic, yet they're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processed by models designed for complex multi-step reasoning.</w:t>
      </w:r>
    </w:p>
    <w:p>
      <w:pPr>
        <w:autoSpaceDN w:val="0"/>
        <w:autoSpaceDE w:val="0"/>
        <w:widowControl/>
        <w:spacing w:line="257" w:lineRule="auto" w:before="264" w:after="0"/>
        <w:ind w:left="0" w:right="0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This isn't just a cost problem. Frontier models are slower (higher latency), consume more energy (higher carbon), and often produce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unnecessarily verbose outputs for simple tasks. The mismatch between task complexity and model capability is the single largest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source of waste in enterprise AI operations.</w:t>
      </w:r>
    </w:p>
    <w:p>
      <w:pPr>
        <w:autoSpaceDN w:val="0"/>
        <w:autoSpaceDE w:val="0"/>
        <w:widowControl/>
        <w:spacing w:line="211" w:lineRule="auto" w:before="276" w:after="0"/>
        <w:ind w:left="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Failure 3: Token Amplification</w:t>
      </w:r>
    </w:p>
    <w:p>
      <w:pPr>
        <w:autoSpaceDN w:val="0"/>
        <w:autoSpaceDE w:val="0"/>
        <w:widowControl/>
        <w:spacing w:line="211" w:lineRule="auto" w:before="276" w:after="0"/>
        <w:ind w:left="0" w:right="0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A single user query can trigger 20–40× more token consumption than intended. The causes compound:</w:t>
      </w:r>
    </w:p>
    <w:p>
      <w:pPr>
        <w:sectPr>
          <w:pgSz w:w="11899" w:h="16838"/>
          <w:pgMar w:top="168" w:right="520" w:bottom="264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</w:p>
    <w:p>
      <w:pPr>
        <w:autoSpaceDN w:val="0"/>
        <w:tabs>
          <w:tab w:pos="482" w:val="left"/>
        </w:tabs>
        <w:autoSpaceDE w:val="0"/>
        <w:widowControl/>
        <w:spacing w:line="240" w:lineRule="auto" w:before="0" w:after="0"/>
        <w:ind w:left="260" w:right="576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279400</wp:posOffset>
            </wp:positionV>
            <wp:extent cx="50800" cy="508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Context overextension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: RAG pipelines retrieve entire document chunks rather than targeted passages, inflating input 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tokens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70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673100</wp:posOffset>
            </wp:positionV>
            <wp:extent cx="50800" cy="381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Verbose system prompts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: Repeated across every request in a session, accumulating thousands of redundant tokens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82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863600</wp:posOffset>
            </wp:positionV>
            <wp:extent cx="50800" cy="508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Retry loops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: Failed requests retry with full context, multiplying consumption without visibility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68" w:after="0"/>
        <w:ind w:left="260" w:right="144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1054100</wp:posOffset>
            </wp:positionV>
            <wp:extent cx="50800" cy="508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Multi-agent cascades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: Agentic workflows pass full conversation history between agents, with each step inheriting and 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expanding the token payload. Research shows multi-agent systems consume 4–15× more tokens than optimized single calls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82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1460500</wp:posOffset>
            </wp:positionV>
            <wp:extent cx="50800" cy="381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Uncompressed outputs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: Models generate exhaustive responses when a concise answer would suffice</w:t>
      </w:r>
    </w:p>
    <w:p>
      <w:pPr>
        <w:autoSpaceDN w:val="0"/>
        <w:autoSpaceDE w:val="0"/>
        <w:widowControl/>
        <w:spacing w:line="257" w:lineRule="auto" w:before="264" w:after="0"/>
        <w:ind w:left="0" w:right="144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Real example: A 14-word analyst query processed through a typical RAG + agent pipeline consumes approximately 47,000 tokens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versus an optimized 2,000 — a 23.5× amplification. At enterprise scale (thousands of analysts, millions of queries), this single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pattern can cost over $880,000 per year.</w:t>
      </w:r>
    </w:p>
    <w:p>
      <w:pPr>
        <w:autoSpaceDN w:val="0"/>
        <w:autoSpaceDE w:val="0"/>
        <w:widowControl/>
        <w:spacing w:line="211" w:lineRule="auto" w:before="276" w:after="0"/>
        <w:ind w:left="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Failure 4: Carbon Opacity</w:t>
      </w:r>
    </w:p>
    <w:p>
      <w:pPr>
        <w:autoSpaceDN w:val="0"/>
        <w:autoSpaceDE w:val="0"/>
        <w:widowControl/>
        <w:spacing w:line="266" w:lineRule="auto" w:before="276" w:after="0"/>
        <w:ind w:left="0" w:right="0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Data centers already produce 1% of global energy-related greenhouse gas emissions (IEA), and data center electricity consumption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is expected to double by 2026. AI workloads are a primary driver: a single ChatGPT query consumes roughly 10× the electricity of a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standard web search. Cornell researchers (published in </w:t>
      </w:r>
      <w:r>
        <w:rPr>
          <w:w w:val="101.44764749627365"/>
          <w:rFonts w:ascii="Barlow" w:hAnsi="Barlow" w:eastAsia="Barlow"/>
          <w:b w:val="0"/>
          <w:i/>
          <w:color w:val="000000"/>
          <w:sz w:val="19"/>
        </w:rPr>
        <w:t>Nature Sustainability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, November 2025) estimate that U.S. AI servers alone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could generate 24–44 million metric tons of CO</w:t>
      </w:r>
      <w:r>
        <w:rPr>
          <w:w w:val="101.44764749627365"/>
          <w:rFonts w:ascii="Times New Roman" w:hAnsi="Times New Roman" w:eastAsia="Times New Roman"/>
          <w:b w:val="0"/>
          <w:i w:val="0"/>
          <w:color w:val="000000"/>
          <w:sz w:val="19"/>
        </w:rPr>
        <w:t>₂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-equivalent annually by 2030 — equivalent to adding 5–10 million cars to American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roadways.</w:t>
      </w:r>
    </w:p>
    <w:p>
      <w:pPr>
        <w:autoSpaceDN w:val="0"/>
        <w:autoSpaceDE w:val="0"/>
        <w:widowControl/>
        <w:spacing w:line="262" w:lineRule="auto" w:before="274" w:after="0"/>
        <w:ind w:left="0" w:right="0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Yet virtually no enterprise today tracks the carbon footprint of individual LLM API calls. Emissions from third-party model APIs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classify as Scope 3 (Purchased Goods and Services), which enterprises are increasingly required to report under GRI, TCFD, CDP,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and emerging EU CSRD mandates. Without token-to-carbon computation, enterprises cannot report, cannot optimize, and cannot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meet their own Net Zero commitments.</w:t>
      </w:r>
    </w:p>
    <w:p>
      <w:pPr>
        <w:autoSpaceDN w:val="0"/>
        <w:autoSpaceDE w:val="0"/>
        <w:widowControl/>
        <w:spacing w:line="264" w:lineRule="auto" w:before="274" w:after="0"/>
        <w:ind w:left="0" w:right="0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The irony is compounded: some of the highest-emitting companies (Google, Meta, Amazon) are simultaneously the ones providing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the AI APIs. Google's emissions rose 13% in 2023 alone, driven by AI workloads outpacing renewable energy additions. Shareholder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proposals at all three companies in the 2025 proxy season demanded credible reconciliation of climate goals with surging AI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energy demands.</w:t>
      </w:r>
    </w:p>
    <w:p>
      <w:pPr>
        <w:autoSpaceDN w:val="0"/>
        <w:autoSpaceDE w:val="0"/>
        <w:widowControl/>
        <w:spacing w:line="211" w:lineRule="auto" w:before="264" w:after="0"/>
        <w:ind w:left="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Failure 5: SLA and NFR Blindness</w:t>
      </w:r>
    </w:p>
    <w:p>
      <w:pPr>
        <w:autoSpaceDN w:val="0"/>
        <w:autoSpaceDE w:val="0"/>
        <w:widowControl/>
        <w:spacing w:line="257" w:lineRule="auto" w:before="276" w:after="0"/>
        <w:ind w:left="0" w:right="0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Enterprise applications depend on AI inference meeting specific latency, throughput, availability, and compliance requirements —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yet most organizations have no mechanism to enforce these. Provider uptime is typically 99.5–99.9%, but without a mediation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layer, failures propagate directly to applications with no failover, no circuit breaking, and no degradation strategy.</w:t>
      </w:r>
    </w:p>
    <w:p>
      <w:pPr>
        <w:autoSpaceDN w:val="0"/>
        <w:autoSpaceDE w:val="0"/>
        <w:widowControl/>
        <w:spacing w:line="262" w:lineRule="auto" w:before="274" w:after="0"/>
        <w:ind w:left="0" w:right="0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Non-functional requirements (security, data sovereignty, PII handling, audit logging) are enforced inconsistently or not at all. Only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52% of global organizations have comprehensive AI controls (Delinea, 2025). Just 48% enforce identity governance for AI entities.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The result: 90% of enterprises with 1,000+ employees report concern about AI-related privacy and security risks, and nearly 80%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have already experienced negative AI-related data incidents (Komprise, 2025).</w:t>
      </w:r>
    </w:p>
    <w:p>
      <w:pPr>
        <w:autoSpaceDN w:val="0"/>
        <w:autoSpaceDE w:val="0"/>
        <w:widowControl/>
        <w:spacing w:line="211" w:lineRule="auto" w:before="354" w:after="0"/>
        <w:ind w:left="0" w:right="0" w:firstLine="0"/>
        <w:jc w:val="left"/>
      </w:pPr>
      <w:r>
        <w:rPr>
          <w:rFonts w:ascii="Barlow" w:hAnsi="Barlow" w:eastAsia="Barlow"/>
          <w:b/>
          <w:i w:val="0"/>
          <w:color w:val="455A64"/>
          <w:sz w:val="27"/>
        </w:rPr>
        <w:t>3.2 The Shadow AI Multiplier</w:t>
      </w:r>
    </w:p>
    <w:p>
      <w:pPr>
        <w:autoSpaceDN w:val="0"/>
        <w:autoSpaceDE w:val="0"/>
        <w:widowControl/>
        <w:spacing w:line="262" w:lineRule="auto" w:before="380" w:after="0"/>
        <w:ind w:left="0" w:right="0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These five failures are amplified by shadow AI — the unauthorized use of AI tools outside IT governance. Seventy-eight percent of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U.S. workers use AI tools their employer hasn't approved (WalkMe/IDC, 2025). Forty-four percent of organizations admit business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units deploy AI without IT involvement (Delinea). IBM's 2025 Cost of Data Breach Report found shadow AI incidents now account for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20% of all breaches, at a cost premium of $4.63 million versus $3.96 million for standard breaches.</w:t>
      </w:r>
    </w:p>
    <w:p>
      <w:pPr>
        <w:autoSpaceDN w:val="0"/>
        <w:autoSpaceDE w:val="0"/>
        <w:widowControl/>
        <w:spacing w:line="250" w:lineRule="auto" w:before="274" w:after="0"/>
        <w:ind w:left="0" w:right="0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The governance gap is structural: 78% of enterprises use AI, but only 27% govern it (CloudSphere). Without a centralized mediation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layer, enterprises cannot even </w:t>
      </w:r>
      <w:r>
        <w:rPr>
          <w:w w:val="101.44764749627365"/>
          <w:rFonts w:ascii="Barlow" w:hAnsi="Barlow" w:eastAsia="Barlow"/>
          <w:b w:val="0"/>
          <w:i/>
          <w:color w:val="000000"/>
          <w:sz w:val="19"/>
        </w:rPr>
        <w:t>discover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the scope of their AI consumption, let alone optimize it.</w:t>
      </w:r>
    </w:p>
    <w:p>
      <w:pPr>
        <w:autoSpaceDN w:val="0"/>
        <w:autoSpaceDE w:val="0"/>
        <w:widowControl/>
        <w:spacing w:line="211" w:lineRule="auto" w:before="354" w:after="0"/>
        <w:ind w:left="0" w:right="0" w:firstLine="0"/>
        <w:jc w:val="left"/>
      </w:pPr>
      <w:r>
        <w:rPr>
          <w:rFonts w:ascii="Barlow" w:hAnsi="Barlow" w:eastAsia="Barlow"/>
          <w:b/>
          <w:i w:val="0"/>
          <w:color w:val="455A64"/>
          <w:sz w:val="27"/>
        </w:rPr>
        <w:t>3.3 The Regulatory Forcing Function</w:t>
      </w:r>
    </w:p>
    <w:p>
      <w:pPr>
        <w:autoSpaceDN w:val="0"/>
        <w:autoSpaceDE w:val="0"/>
        <w:widowControl/>
        <w:spacing w:line="245" w:lineRule="auto" w:before="368" w:after="0"/>
        <w:ind w:left="0" w:right="0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The EU AI Act (Regulation 2024/1689) creates enforceable compliance deadlines. High-risk AI system requirements — covering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employment screening, credit scoring, education, law enforcement, and biometric applications — become mandatory on August 2,</w:t>
      </w:r>
    </w:p>
    <w:p>
      <w:pPr>
        <w:sectPr>
          <w:pgSz w:w="11899" w:h="16838"/>
          <w:pgMar w:top="168" w:right="534" w:bottom="288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1" w:lineRule="auto" w:before="336" w:after="0"/>
        <w:ind w:left="240" w:right="0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2026. Penalties reach €35 million or 7% of global annual revenue.</w:t>
      </w:r>
    </w:p>
    <w:p>
      <w:pPr>
        <w:autoSpaceDN w:val="0"/>
        <w:autoSpaceDE w:val="0"/>
        <w:widowControl/>
        <w:spacing w:line="257" w:lineRule="auto" w:before="274" w:after="0"/>
        <w:ind w:left="240" w:right="288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Compliance requires capabilities that direct API integration cannot provide: AI system inventory with risk classification, versioned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technical documentation, human oversight mechanisms, conformity assessments, and comprehensive audit trails. Over half of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organizations still lack systematic AI inventories, and most lack the design history documentation regulators demand.</w:t>
      </w:r>
    </w:p>
    <w:p>
      <w:pPr>
        <w:autoSpaceDN w:val="0"/>
        <w:autoSpaceDE w:val="0"/>
        <w:widowControl/>
        <w:spacing w:line="211" w:lineRule="auto" w:before="354" w:after="332"/>
        <w:ind w:left="240" w:right="0" w:firstLine="0"/>
        <w:jc w:val="left"/>
      </w:pPr>
      <w:r>
        <w:rPr>
          <w:rFonts w:ascii="Barlow" w:hAnsi="Barlow" w:eastAsia="Barlow"/>
          <w:b/>
          <w:i w:val="0"/>
          <w:color w:val="455A64"/>
          <w:sz w:val="27"/>
        </w:rPr>
        <w:t>3.4 Problem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7.99999999999997" w:type="dxa"/>
      </w:tblPr>
      <w:tblGrid>
        <w:gridCol w:w="3773"/>
        <w:gridCol w:w="3773"/>
        <w:gridCol w:w="3773"/>
      </w:tblGrid>
      <w:tr>
        <w:trPr>
          <w:trHeight w:hRule="exact" w:val="434"/>
        </w:trPr>
        <w:tc>
          <w:tcPr>
            <w:tcW w:type="dxa" w:w="1770"/>
            <w:tcBorders>
              <w:start w:sz="4.0" w:val="single" w:color="#DDDDDD"/>
              <w:top w:sz="4.7999999999999545" w:val="single" w:color="#DDDDDD"/>
              <w:end w:sz="4.800000000000068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Dimension</w:t>
            </w:r>
          </w:p>
        </w:tc>
        <w:tc>
          <w:tcPr>
            <w:tcW w:type="dxa" w:w="4084"/>
            <w:tcBorders>
              <w:start w:sz="4.800000000000068" w:val="single" w:color="#DDDDDD"/>
              <w:top w:sz="4.7999999999999545" w:val="single" w:color="#DDDDDD"/>
              <w:end w:sz="4.799999999999727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Current State</w:t>
            </w:r>
          </w:p>
        </w:tc>
        <w:tc>
          <w:tcPr>
            <w:tcW w:type="dxa" w:w="4952"/>
            <w:tcBorders>
              <w:start w:sz="4.799999999999727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Impact</w:t>
            </w:r>
          </w:p>
        </w:tc>
      </w:tr>
      <w:tr>
        <w:trPr>
          <w:trHeight w:hRule="exact" w:val="662"/>
        </w:trPr>
        <w:tc>
          <w:tcPr>
            <w:tcW w:type="dxa" w:w="1770"/>
            <w:tcBorders>
              <w:start w:sz="4.0" w:val="single" w:color="#DDDDDD"/>
              <w:top w:sz="4.7999999999999545" w:val="single" w:color="#DDDDDD"/>
              <w:end w:sz="4.800000000000068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Token Economics</w:t>
            </w:r>
          </w:p>
        </w:tc>
        <w:tc>
          <w:tcPr>
            <w:tcW w:type="dxa" w:w="4084"/>
            <w:tcBorders>
              <w:start w:sz="4.800000000000068" w:val="single" w:color="#DDDDDD"/>
              <w:top w:sz="4.7999999999999545" w:val="single" w:color="#DDDDDD"/>
              <w:end w:sz="4.799999999999727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1152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No per-request cost visibility; no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ingress/egress metering</w:t>
            </w:r>
          </w:p>
        </w:tc>
        <w:tc>
          <w:tcPr>
            <w:tcW w:type="dxa" w:w="4952"/>
            <w:tcBorders>
              <w:start w:sz="4.799999999999727" w:val="single" w:color="#DDDDDD"/>
              <w:top w:sz="4.7999999999999545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432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Unbounded cost; $1.2M average AI-native spend with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108% YoY growth</w:t>
            </w:r>
          </w:p>
        </w:tc>
      </w:tr>
      <w:tr>
        <w:trPr>
          <w:trHeight w:hRule="exact" w:val="662"/>
        </w:trPr>
        <w:tc>
          <w:tcPr>
            <w:tcW w:type="dxa" w:w="1770"/>
            <w:tcBorders>
              <w:start w:sz="4.0" w:val="single" w:color="#DDDDDD"/>
              <w:top w:sz="4.800000000000182" w:val="single" w:color="#DDDDDD"/>
              <w:end w:sz="4.800000000000068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Model Selection</w:t>
            </w:r>
          </w:p>
        </w:tc>
        <w:tc>
          <w:tcPr>
            <w:tcW w:type="dxa" w:w="4084"/>
            <w:tcBorders>
              <w:start w:sz="4.800000000000068" w:val="single" w:color="#DDDDDD"/>
              <w:top w:sz="4.800000000000182" w:val="single" w:color="#DDDDDD"/>
              <w:end w:sz="4.799999999999727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70–80% of queries default to frontier models</w:t>
            </w:r>
          </w:p>
        </w:tc>
        <w:tc>
          <w:tcPr>
            <w:tcW w:type="dxa" w:w="4952"/>
            <w:tcBorders>
              <w:start w:sz="4.799999999999727" w:val="single" w:color="#DDDDDD"/>
              <w:top w:sz="4.800000000000182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10–30× overspend on simple tasks; unnecessary latency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and carbon</w:t>
            </w:r>
          </w:p>
        </w:tc>
      </w:tr>
      <w:tr>
        <w:trPr>
          <w:trHeight w:hRule="exact" w:val="662"/>
        </w:trPr>
        <w:tc>
          <w:tcPr>
            <w:tcW w:type="dxa" w:w="1770"/>
            <w:tcBorders>
              <w:start w:sz="4.0" w:val="single" w:color="#DDDDDD"/>
              <w:top w:sz="4.7999999999999545" w:val="single" w:color="#DDDDDD"/>
              <w:end w:sz="4.800000000000068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576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Carbon </w:t>
            </w:r>
            <w:r>
              <w:br/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Accounting</w:t>
            </w:r>
          </w:p>
        </w:tc>
        <w:tc>
          <w:tcPr>
            <w:tcW w:type="dxa" w:w="4084"/>
            <w:tcBorders>
              <w:start w:sz="4.800000000000068" w:val="single" w:color="#DDDDDD"/>
              <w:top w:sz="4.7999999999999545" w:val="single" w:color="#DDDDDD"/>
              <w:end w:sz="4.799999999999727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Zero tracking of per-inference emissions</w:t>
            </w:r>
          </w:p>
        </w:tc>
        <w:tc>
          <w:tcPr>
            <w:tcW w:type="dxa" w:w="4952"/>
            <w:tcBorders>
              <w:start w:sz="4.799999999999727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86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Scope 3 reporting gaps; Net Zero commitments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undermined</w:t>
            </w:r>
          </w:p>
        </w:tc>
      </w:tr>
      <w:tr>
        <w:trPr>
          <w:trHeight w:hRule="exact" w:val="664"/>
        </w:trPr>
        <w:tc>
          <w:tcPr>
            <w:tcW w:type="dxa" w:w="1770"/>
            <w:tcBorders>
              <w:start w:sz="4.0" w:val="single" w:color="#DDDDDD"/>
              <w:top w:sz="4.7999999999999545" w:val="single" w:color="#DDDDDD"/>
              <w:end w:sz="4.800000000000068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98" w:right="432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SLA/NFR </w:t>
            </w:r>
            <w:r>
              <w:br/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Enforcement</w:t>
            </w:r>
          </w:p>
        </w:tc>
        <w:tc>
          <w:tcPr>
            <w:tcW w:type="dxa" w:w="4084"/>
            <w:tcBorders>
              <w:start w:sz="4.800000000000068" w:val="single" w:color="#DDDDDD"/>
              <w:top w:sz="4.7999999999999545" w:val="single" w:color="#DDDDDD"/>
              <w:end w:sz="4.799999999999727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No centralized policy layer; no failover</w:t>
            </w:r>
          </w:p>
        </w:tc>
        <w:tc>
          <w:tcPr>
            <w:tcW w:type="dxa" w:w="4952"/>
            <w:tcBorders>
              <w:start w:sz="4.799999999999727" w:val="single" w:color="#DDDDDD"/>
              <w:top w:sz="4.7999999999999545" w:val="single" w:color="#DDDDDD"/>
              <w:end w:sz="4.800000000000182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96" w:right="86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Cascading failures; compliance violations; data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sovereignty risks</w:t>
            </w:r>
          </w:p>
        </w:tc>
      </w:tr>
      <w:tr>
        <w:trPr>
          <w:trHeight w:hRule="exact" w:val="434"/>
        </w:trPr>
        <w:tc>
          <w:tcPr>
            <w:tcW w:type="dxa" w:w="1770"/>
            <w:tcBorders>
              <w:start w:sz="4.0" w:val="single" w:color="#DDDDDD"/>
              <w:top w:sz="4.799999999999727" w:val="single" w:color="#DDDDDD"/>
              <w:end w:sz="4.800000000000068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Shadow AI</w:t>
            </w:r>
          </w:p>
        </w:tc>
        <w:tc>
          <w:tcPr>
            <w:tcW w:type="dxa" w:w="4084"/>
            <w:tcBorders>
              <w:start w:sz="4.800000000000068" w:val="single" w:color="#DDDDDD"/>
              <w:top w:sz="4.799999999999727" w:val="single" w:color="#DDDDDD"/>
              <w:end w:sz="4.799999999999727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78% of workers use unapproved AI tools</w:t>
            </w:r>
          </w:p>
        </w:tc>
        <w:tc>
          <w:tcPr>
            <w:tcW w:type="dxa" w:w="4952"/>
            <w:tcBorders>
              <w:start w:sz="4.799999999999727" w:val="single" w:color="#DDDDDD"/>
              <w:top w:sz="4.799999999999727" w:val="single" w:color="#DDDDDD"/>
              <w:end w:sz="4.800000000000182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20% of breaches; $4.63M average cost per incident</w:t>
            </w:r>
          </w:p>
        </w:tc>
      </w:tr>
      <w:tr>
        <w:trPr>
          <w:trHeight w:hRule="exact" w:val="662"/>
        </w:trPr>
        <w:tc>
          <w:tcPr>
            <w:tcW w:type="dxa" w:w="1770"/>
            <w:tcBorders>
              <w:start w:sz="4.0" w:val="single" w:color="#DDDDDD"/>
              <w:top w:sz="4.799999999999727" w:val="single" w:color="#DDDDDD"/>
              <w:end w:sz="4.800000000000068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0" w:right="72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Regulatory 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Readiness</w:t>
            </w:r>
          </w:p>
        </w:tc>
        <w:tc>
          <w:tcPr>
            <w:tcW w:type="dxa" w:w="4084"/>
            <w:tcBorders>
              <w:start w:sz="4.800000000000068" w:val="single" w:color="#DDDDDD"/>
              <w:top w:sz="4.799999999999727" w:val="single" w:color="#DDDDDD"/>
              <w:end w:sz="4.799999999999727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50%+ lack AI system inventories</w:t>
            </w:r>
          </w:p>
        </w:tc>
        <w:tc>
          <w:tcPr>
            <w:tcW w:type="dxa" w:w="4952"/>
            <w:tcBorders>
              <w:start w:sz="4.799999999999727" w:val="single" w:color="#DDDDDD"/>
              <w:top w:sz="4.799999999999727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EU AI Act penalties up to 7% of global revenue (Aug 2026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deadline)</w:t>
            </w:r>
          </w:p>
        </w:tc>
      </w:tr>
    </w:tbl>
    <w:p>
      <w:pPr>
        <w:autoSpaceDN w:val="0"/>
        <w:autoSpaceDE w:val="0"/>
        <w:widowControl/>
        <w:spacing w:line="240" w:lineRule="auto" w:before="19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4495800</wp:posOffset>
            </wp:positionV>
            <wp:extent cx="6870700" cy="25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1" w:lineRule="auto" w:before="338" w:after="0"/>
        <w:ind w:left="240" w:right="0" w:firstLine="0"/>
        <w:jc w:val="left"/>
      </w:pPr>
      <w:r>
        <w:rPr>
          <w:rFonts w:ascii="Barlow" w:hAnsi="Barlow" w:eastAsia="Barlow"/>
          <w:b/>
          <w:i w:val="0"/>
          <w:color w:val="34495E"/>
          <w:sz w:val="35"/>
        </w:rPr>
        <w:t>4. Current Industry Approaches</w:t>
      </w:r>
    </w:p>
    <w:p>
      <w:pPr>
        <w:autoSpaceDN w:val="0"/>
        <w:autoSpaceDE w:val="0"/>
        <w:widowControl/>
        <w:spacing w:line="250" w:lineRule="auto" w:before="402" w:after="0"/>
        <w:ind w:left="240" w:right="432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The industry has begun responding to these challenges through several parallel strategies. Each addresses part of the problem;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none provides a unified solution across all four pillars.</w:t>
      </w:r>
    </w:p>
    <w:p>
      <w:pPr>
        <w:autoSpaceDN w:val="0"/>
        <w:autoSpaceDE w:val="0"/>
        <w:widowControl/>
        <w:spacing w:line="211" w:lineRule="auto" w:before="354" w:after="0"/>
        <w:ind w:left="240" w:right="0" w:firstLine="0"/>
        <w:jc w:val="left"/>
      </w:pPr>
      <w:r>
        <w:rPr>
          <w:rFonts w:ascii="Barlow" w:hAnsi="Barlow" w:eastAsia="Barlow"/>
          <w:b/>
          <w:i w:val="0"/>
          <w:color w:val="455A64"/>
          <w:sz w:val="27"/>
        </w:rPr>
        <w:t>4.1 LLM Gateway Platforms</w:t>
      </w:r>
    </w:p>
    <w:p>
      <w:pPr>
        <w:autoSpaceDN w:val="0"/>
        <w:autoSpaceDE w:val="0"/>
        <w:widowControl/>
        <w:spacing w:line="257" w:lineRule="auto" w:before="368" w:after="0"/>
        <w:ind w:left="240" w:right="576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The most significant architectural response has been the emergence of the LLM gateway as a distinct infrastructure category.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Gartner recognized AI Gateways in its 2025 Market Guide, signaling the transition from optional middleware to core enterprise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architecture.</w:t>
      </w:r>
    </w:p>
    <w:p>
      <w:pPr>
        <w:autoSpaceDN w:val="0"/>
        <w:autoSpaceDE w:val="0"/>
        <w:widowControl/>
        <w:spacing w:line="257" w:lineRule="auto" w:before="276" w:after="0"/>
        <w:ind w:left="240" w:right="602" w:firstLine="0"/>
        <w:jc w:val="both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How they work: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A gateway sits between applications and model providers, providing a unified API, policy enforcement, request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routing, and centralized observability. All LLM traffic flows through the gateway, which enforces security, cost, and governance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rules before forwarding requests to the appropriate model endpoint.</w:t>
      </w:r>
    </w:p>
    <w:p>
      <w:pPr>
        <w:autoSpaceDN w:val="0"/>
        <w:autoSpaceDE w:val="0"/>
        <w:widowControl/>
        <w:spacing w:line="211" w:lineRule="auto" w:before="262" w:after="238"/>
        <w:ind w:left="24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Key players and capabilities: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7.99999999999997" w:type="dxa"/>
      </w:tblPr>
      <w:tblGrid>
        <w:gridCol w:w="2830"/>
        <w:gridCol w:w="2830"/>
        <w:gridCol w:w="2830"/>
        <w:gridCol w:w="2830"/>
      </w:tblGrid>
      <w:tr>
        <w:trPr>
          <w:trHeight w:hRule="exact" w:val="434"/>
        </w:trPr>
        <w:tc>
          <w:tcPr>
            <w:tcW w:type="dxa" w:w="1288"/>
            <w:tcBorders>
              <w:start w:sz="4.0" w:val="single" w:color="#DDDDDD"/>
              <w:top w:sz="4.79999999999927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Gateway</w:t>
            </w:r>
          </w:p>
        </w:tc>
        <w:tc>
          <w:tcPr>
            <w:tcW w:type="dxa" w:w="1530"/>
            <w:tcBorders>
              <w:start w:sz="4.7999999999999545" w:val="single" w:color="#DDDDDD"/>
              <w:top w:sz="4.79999999999927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Approach</w:t>
            </w:r>
          </w:p>
        </w:tc>
        <w:tc>
          <w:tcPr>
            <w:tcW w:type="dxa" w:w="4276"/>
            <w:tcBorders>
              <w:start w:sz="4.7999999999999545" w:val="single" w:color="#DDDDDD"/>
              <w:top w:sz="4.799999999999272" w:val="single" w:color="#DDDDDD"/>
              <w:end w:sz="4.799999999999727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Key Strength</w:t>
            </w:r>
          </w:p>
        </w:tc>
        <w:tc>
          <w:tcPr>
            <w:tcW w:type="dxa" w:w="3712"/>
            <w:tcBorders>
              <w:start w:sz="4.799999999999727" w:val="single" w:color="#DDDDDD"/>
              <w:top w:sz="4.79999999999927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Limitation</w:t>
            </w:r>
          </w:p>
        </w:tc>
      </w:tr>
      <w:tr>
        <w:trPr>
          <w:trHeight w:hRule="exact" w:val="662"/>
        </w:trPr>
        <w:tc>
          <w:tcPr>
            <w:tcW w:type="dxa" w:w="1288"/>
            <w:tcBorders>
              <w:start w:sz="4.0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Bifrost </w:t>
            </w:r>
            <w:r>
              <w:br/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(Maxim AI)</w:t>
            </w:r>
          </w:p>
        </w:tc>
        <w:tc>
          <w:tcPr>
            <w:tcW w:type="dxa" w:w="1530"/>
            <w:tcBorders>
              <w:start w:sz="4.7999999999999545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Open-source,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Go-based</w:t>
            </w:r>
          </w:p>
        </w:tc>
        <w:tc>
          <w:tcPr>
            <w:tcW w:type="dxa" w:w="4276"/>
            <w:tcBorders>
              <w:start w:sz="4.7999999999999545" w:val="single" w:color="#DDDDDD"/>
              <w:top w:sz="4.800000000000182" w:val="single" w:color="#DDDDDD"/>
              <w:end w:sz="4.799999999999727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432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11µs overhead at 5K RPS; automatic failover;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semantic caching</w:t>
            </w:r>
          </w:p>
        </w:tc>
        <w:tc>
          <w:tcPr>
            <w:tcW w:type="dxa" w:w="3712"/>
            <w:tcBorders>
              <w:start w:sz="4.799999999999727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432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Requires self-hosting and operational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investment</w:t>
            </w:r>
          </w:p>
        </w:tc>
      </w:tr>
      <w:tr>
        <w:trPr>
          <w:trHeight w:hRule="exact" w:val="892"/>
        </w:trPr>
        <w:tc>
          <w:tcPr>
            <w:tcW w:type="dxa" w:w="1288"/>
            <w:tcBorders>
              <w:start w:sz="4.0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0" w:right="432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Kong AI </w:t>
            </w:r>
            <w:r>
              <w:br/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Gateway</w:t>
            </w:r>
          </w:p>
        </w:tc>
        <w:tc>
          <w:tcPr>
            <w:tcW w:type="dxa" w:w="1530"/>
            <w:tcBorders>
              <w:start w:sz="4.7999999999999545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API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management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extension</w:t>
            </w:r>
          </w:p>
        </w:tc>
        <w:tc>
          <w:tcPr>
            <w:tcW w:type="dxa" w:w="4276"/>
            <w:tcBorders>
              <w:start w:sz="4.7999999999999545" w:val="single" w:color="#DDDDDD"/>
              <w:top w:sz="4.800000000000182" w:val="single" w:color="#DDDDDD"/>
              <w:end w:sz="4.799999999999727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PII sanitization (12+ languages); MCP governance;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semantic routing</w:t>
            </w:r>
          </w:p>
        </w:tc>
        <w:tc>
          <w:tcPr>
            <w:tcW w:type="dxa" w:w="3712"/>
            <w:tcBorders>
              <w:start w:sz="4.799999999999727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96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AI-native features are plugin-based, not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core</w:t>
            </w:r>
          </w:p>
        </w:tc>
      </w:tr>
      <w:tr>
        <w:trPr>
          <w:trHeight w:hRule="exact" w:val="662"/>
        </w:trPr>
        <w:tc>
          <w:tcPr>
            <w:tcW w:type="dxa" w:w="1288"/>
            <w:tcBorders>
              <w:start w:sz="4.0" w:val="single" w:color="#DDDDDD"/>
              <w:top w:sz="4.800000000000182" w:val="single" w:color="#DDDDDD"/>
              <w:end w:sz="4.7999999999999545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TrueFoundry</w:t>
            </w:r>
          </w:p>
        </w:tc>
        <w:tc>
          <w:tcPr>
            <w:tcW w:type="dxa" w:w="1530"/>
            <w:tcBorders>
              <w:start w:sz="4.7999999999999545" w:val="single" w:color="#DDDDDD"/>
              <w:top w:sz="4.800000000000182" w:val="single" w:color="#DDDDDD"/>
              <w:end w:sz="4.7999999999999545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Full AI platform</w:t>
            </w:r>
          </w:p>
        </w:tc>
        <w:tc>
          <w:tcPr>
            <w:tcW w:type="dxa" w:w="4276"/>
            <w:tcBorders>
              <w:start w:sz="4.7999999999999545" w:val="single" w:color="#DDDDDD"/>
              <w:top w:sz="4.800000000000182" w:val="single" w:color="#DDDDDD"/>
              <w:end w:sz="4.799999999999727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576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SOC 2 / HIPAA compliance; air-gapped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deployment; model deployment + gateway</w:t>
            </w:r>
          </w:p>
        </w:tc>
        <w:tc>
          <w:tcPr>
            <w:tcW w:type="dxa" w:w="3712"/>
            <w:tcBorders>
              <w:start w:sz="4.799999999999727" w:val="single" w:color="#DDDDDD"/>
              <w:top w:sz="4.800000000000182" w:val="single" w:color="#DDDDDD"/>
              <w:end w:sz="4.800000000000182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Tighter platform coupling</w:t>
            </w:r>
          </w:p>
        </w:tc>
      </w:tr>
      <w:tr>
        <w:trPr>
          <w:trHeight w:hRule="exact" w:val="662"/>
        </w:trPr>
        <w:tc>
          <w:tcPr>
            <w:tcW w:type="dxa" w:w="1288"/>
            <w:tcBorders>
              <w:start w:sz="4.0" w:val="single" w:color="#DDDDDD"/>
              <w:top w:sz="4.79999999999927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432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Azure AI 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Gateway</w:t>
            </w:r>
          </w:p>
        </w:tc>
        <w:tc>
          <w:tcPr>
            <w:tcW w:type="dxa" w:w="1530"/>
            <w:tcBorders>
              <w:start w:sz="4.7999999999999545" w:val="single" w:color="#DDDDDD"/>
              <w:top w:sz="4.79999999999927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Cloud-native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(Microsoft)</w:t>
            </w:r>
          </w:p>
        </w:tc>
        <w:tc>
          <w:tcPr>
            <w:tcW w:type="dxa" w:w="4276"/>
            <w:tcBorders>
              <w:start w:sz="4.7999999999999545" w:val="single" w:color="#DDDDDD"/>
              <w:top w:sz="4.799999999999272" w:val="single" w:color="#DDDDDD"/>
              <w:end w:sz="4.799999999999727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576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Deep Azure ecosystem integration; familiar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operational model</w:t>
            </w:r>
          </w:p>
        </w:tc>
        <w:tc>
          <w:tcPr>
            <w:tcW w:type="dxa" w:w="3712"/>
            <w:tcBorders>
              <w:start w:sz="4.799999999999727" w:val="single" w:color="#DDDDDD"/>
              <w:top w:sz="4.79999999999927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576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Limited multi-cloud flexibility; lacks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semantic caching natively</w:t>
            </w:r>
          </w:p>
        </w:tc>
      </w:tr>
    </w:tbl>
    <w:p>
      <w:pPr>
        <w:autoSpaceDN w:val="0"/>
        <w:autoSpaceDE w:val="0"/>
        <w:widowControl/>
        <w:spacing w:line="50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7.99999999999997" w:type="dxa"/>
      </w:tblPr>
      <w:tblGrid>
        <w:gridCol w:w="2830"/>
        <w:gridCol w:w="2830"/>
        <w:gridCol w:w="2830"/>
        <w:gridCol w:w="2830"/>
      </w:tblGrid>
      <w:tr>
        <w:trPr>
          <w:trHeight w:hRule="exact" w:val="418"/>
        </w:trPr>
        <w:tc>
          <w:tcPr>
            <w:tcW w:type="dxa" w:w="1288"/>
            <w:tcBorders>
              <w:start w:sz="4.0" w:val="single" w:color="#DDDDDD"/>
              <w:top w:sz="4.799999999999272" w:val="single" w:color="#DDDDDD"/>
              <w:end w:sz="4.7999999999999545" w:val="single" w:color="#DDDDD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30"/>
            <w:tcBorders>
              <w:start w:sz="4.7999999999999545" w:val="single" w:color="#DDDDDD"/>
              <w:top w:sz="4.799999999999272" w:val="single" w:color="#DDDDDD"/>
              <w:end w:sz="4.7999999999999545" w:val="single" w:color="#DDDDD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4276"/>
            <w:tcBorders>
              <w:start w:sz="4.7999999999999545" w:val="single" w:color="#DDDDDD"/>
              <w:top w:sz="4.799999999999272" w:val="single" w:color="#DDDDDD"/>
              <w:end w:sz="4.799999999999727" w:val="single" w:color="#DDDDD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12"/>
            <w:tcBorders>
              <w:start w:sz="4.799999999999727" w:val="single" w:color="#DDDDDD"/>
              <w:top w:sz="4.799999999999272" w:val="single" w:color="#DDDDDD"/>
              <w:end w:sz="4.800000000000182" w:val="single" w:color="#DDDDDD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280" w:bottom="0" w:left="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7.99999999999997" w:type="dxa"/>
      </w:tblPr>
      <w:tblGrid>
        <w:gridCol w:w="2830"/>
        <w:gridCol w:w="2830"/>
        <w:gridCol w:w="2830"/>
        <w:gridCol w:w="2830"/>
      </w:tblGrid>
      <w:tr>
        <w:trPr>
          <w:trHeight w:hRule="exact" w:val="435"/>
        </w:trPr>
        <w:tc>
          <w:tcPr>
            <w:tcW w:type="dxa" w:w="1288"/>
            <w:tcBorders>
              <w:start w:sz="4.0" w:val="single" w:color="#DDDDDD"/>
              <w:top w:sz="4.799999999999997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Gateway</w:t>
            </w:r>
          </w:p>
        </w:tc>
        <w:tc>
          <w:tcPr>
            <w:tcW w:type="dxa" w:w="1530"/>
            <w:tcBorders>
              <w:start w:sz="4.7999999999999545" w:val="single" w:color="#DDDDDD"/>
              <w:top w:sz="4.799999999999997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Approach</w:t>
            </w:r>
          </w:p>
        </w:tc>
        <w:tc>
          <w:tcPr>
            <w:tcW w:type="dxa" w:w="4276"/>
            <w:tcBorders>
              <w:start w:sz="4.7999999999999545" w:val="single" w:color="#DDDDDD"/>
              <w:top w:sz="4.799999999999997" w:val="single" w:color="#DDDDDD"/>
              <w:end w:sz="4.799999999999727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Key Strength</w:t>
            </w:r>
          </w:p>
        </w:tc>
        <w:tc>
          <w:tcPr>
            <w:tcW w:type="dxa" w:w="3712"/>
            <w:tcBorders>
              <w:start w:sz="4.799999999999727" w:val="single" w:color="#DDDDDD"/>
              <w:top w:sz="4.799999999999997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Limitation</w:t>
            </w:r>
          </w:p>
        </w:tc>
      </w:tr>
      <w:tr>
        <w:trPr>
          <w:trHeight w:hRule="exact" w:val="673"/>
        </w:trPr>
        <w:tc>
          <w:tcPr>
            <w:tcW w:type="dxa" w:w="1288"/>
            <w:tcBorders>
              <w:start w:sz="4.0" w:val="single" w:color="#DDDDDD"/>
              <w:top w:sz="4.7999999999999545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0" w:right="144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Cloudflare </w:t>
            </w:r>
            <w:r>
              <w:br/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AI Gateway</w:t>
            </w:r>
          </w:p>
        </w:tc>
        <w:tc>
          <w:tcPr>
            <w:tcW w:type="dxa" w:w="1530"/>
            <w:tcBorders>
              <w:start w:sz="4.7999999999999545" w:val="single" w:color="#DDDDDD"/>
              <w:top w:sz="4.7999999999999545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96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Managed CDN-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integrated</w:t>
            </w:r>
          </w:p>
        </w:tc>
        <w:tc>
          <w:tcPr>
            <w:tcW w:type="dxa" w:w="4276"/>
            <w:tcBorders>
              <w:start w:sz="4.7999999999999545" w:val="single" w:color="#DDDDDD"/>
              <w:top w:sz="4.7999999999999545" w:val="single" w:color="#DDDDDD"/>
              <w:end w:sz="4.799999999999727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1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Simple setup; 350+ models; analytics</w:t>
            </w:r>
          </w:p>
        </w:tc>
        <w:tc>
          <w:tcPr>
            <w:tcW w:type="dxa" w:w="3712"/>
            <w:tcBorders>
              <w:start w:sz="4.799999999999727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96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Limited governance depth; less suited for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complex enterprise policies</w:t>
            </w:r>
          </w:p>
        </w:tc>
      </w:tr>
    </w:tbl>
    <w:p>
      <w:pPr>
        <w:autoSpaceDN w:val="0"/>
        <w:autoSpaceDE w:val="0"/>
        <w:widowControl/>
        <w:spacing w:line="211" w:lineRule="auto" w:before="230" w:after="0"/>
        <w:ind w:left="24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What gateways solve: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Unified provider interface, basic cost tracking, failover, rate limiting, and centralized logging.</w:t>
      </w:r>
    </w:p>
    <w:p>
      <w:pPr>
        <w:autoSpaceDN w:val="0"/>
        <w:autoSpaceDE w:val="0"/>
        <w:widowControl/>
        <w:spacing w:line="262" w:lineRule="auto" w:before="276" w:after="0"/>
        <w:ind w:left="240" w:right="432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What they leave unaddressed: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Most gateways focus on routing and reliability. They do not perform intelligent complexity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classification (to determine </w:t>
      </w:r>
      <w:r>
        <w:rPr>
          <w:w w:val="101.44764749627365"/>
          <w:rFonts w:ascii="Barlow" w:hAnsi="Barlow" w:eastAsia="Barlow"/>
          <w:b w:val="0"/>
          <w:i/>
          <w:color w:val="000000"/>
          <w:sz w:val="19"/>
        </w:rPr>
        <w:t>which tier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of model should handle a request), do not compute ESG metrics per inference, and do not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include SLM fine-tuning or prompt uplift pipelines. Cost optimization is typically limited to caching and provider arbitrage rather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than structural model-tier routing based on query analysis.</w:t>
      </w:r>
    </w:p>
    <w:p>
      <w:pPr>
        <w:autoSpaceDN w:val="0"/>
        <w:autoSpaceDE w:val="0"/>
        <w:widowControl/>
        <w:spacing w:line="211" w:lineRule="auto" w:before="354" w:after="0"/>
        <w:ind w:left="240" w:right="0" w:firstLine="0"/>
        <w:jc w:val="left"/>
      </w:pPr>
      <w:r>
        <w:rPr>
          <w:rFonts w:ascii="Barlow" w:hAnsi="Barlow" w:eastAsia="Barlow"/>
          <w:b/>
          <w:i w:val="0"/>
          <w:color w:val="455A64"/>
          <w:sz w:val="27"/>
        </w:rPr>
        <w:t>4.2 Semantic Caching</w:t>
      </w:r>
    </w:p>
    <w:p>
      <w:pPr>
        <w:autoSpaceDN w:val="0"/>
        <w:autoSpaceDE w:val="0"/>
        <w:widowControl/>
        <w:spacing w:line="245" w:lineRule="auto" w:before="380" w:after="0"/>
        <w:ind w:left="240" w:right="576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Semantic caching uses vector embeddings to identify when new queries are semantically similar to previously answered ones,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serving cached responses without invoking the model.</w:t>
      </w:r>
    </w:p>
    <w:p>
      <w:pPr>
        <w:autoSpaceDN w:val="0"/>
        <w:autoSpaceDE w:val="0"/>
        <w:widowControl/>
        <w:spacing w:line="211" w:lineRule="auto" w:before="274" w:after="0"/>
        <w:ind w:left="24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Evidence of impact:</w:t>
      </w:r>
    </w:p>
    <w:p>
      <w:pPr>
        <w:autoSpaceDN w:val="0"/>
        <w:tabs>
          <w:tab w:pos="722" w:val="left"/>
        </w:tabs>
        <w:autoSpaceDE w:val="0"/>
        <w:widowControl/>
        <w:spacing w:line="240" w:lineRule="auto" w:before="262" w:after="0"/>
        <w:ind w:left="5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3657600</wp:posOffset>
            </wp:positionV>
            <wp:extent cx="50800" cy="508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Redis LangCache achieves up to 73% cost reduction in high-repetition workloads</w:t>
      </w:r>
    </w:p>
    <w:p>
      <w:pPr>
        <w:autoSpaceDN w:val="0"/>
        <w:tabs>
          <w:tab w:pos="722" w:val="left"/>
        </w:tabs>
        <w:autoSpaceDE w:val="0"/>
        <w:widowControl/>
        <w:spacing w:line="240" w:lineRule="auto" w:before="82" w:after="0"/>
        <w:ind w:left="5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3860800</wp:posOffset>
            </wp:positionV>
            <wp:extent cx="50800" cy="508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Cache hits return in under 50ms versus 1.5–4 seconds for live inference (96.9% latency reduction)</w:t>
      </w:r>
    </w:p>
    <w:p>
      <w:pPr>
        <w:autoSpaceDN w:val="0"/>
        <w:tabs>
          <w:tab w:pos="722" w:val="left"/>
        </w:tabs>
        <w:autoSpaceDE w:val="0"/>
        <w:widowControl/>
        <w:spacing w:line="240" w:lineRule="auto" w:before="82" w:after="0"/>
        <w:ind w:left="500" w:right="576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4051300</wp:posOffset>
            </wp:positionV>
            <wp:extent cx="50800" cy="508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Production systems report 20–40% hit rates generally, and 60–85% for high-repetition domains (customer support, FAQ, 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documentation)</w:t>
      </w:r>
    </w:p>
    <w:p>
      <w:pPr>
        <w:autoSpaceDN w:val="0"/>
        <w:autoSpaceDE w:val="0"/>
        <w:widowControl/>
        <w:spacing w:line="245" w:lineRule="auto" w:before="274" w:after="0"/>
        <w:ind w:left="240" w:right="288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Dual-layer implementation: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Best-in-class systems combine exact hash matching (for identical requests) with semantic similarity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search (for paraphrased queries), using configurable similarity thresholds (typically 0.8–0.9).</w:t>
      </w:r>
    </w:p>
    <w:p>
      <w:pPr>
        <w:autoSpaceDN w:val="0"/>
        <w:autoSpaceDE w:val="0"/>
        <w:widowControl/>
        <w:spacing w:line="257" w:lineRule="auto" w:before="276" w:after="0"/>
        <w:ind w:left="240" w:right="288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Limitation: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Semantic caching is effective for repetitive query patterns but does not help with novel or complex queries, which still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need intelligent routing. It also introduces staleness risk — cached responses can become outdated if underlying data changes. It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addresses </w:t>
      </w:r>
      <w:r>
        <w:rPr>
          <w:w w:val="101.44764749627365"/>
          <w:rFonts w:ascii="Barlow" w:hAnsi="Barlow" w:eastAsia="Barlow"/>
          <w:b w:val="0"/>
          <w:i/>
          <w:color w:val="000000"/>
          <w:sz w:val="19"/>
        </w:rPr>
        <w:t>what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to cache, but not </w:t>
      </w:r>
      <w:r>
        <w:rPr>
          <w:w w:val="101.44764749627365"/>
          <w:rFonts w:ascii="Barlow" w:hAnsi="Barlow" w:eastAsia="Barlow"/>
          <w:b w:val="0"/>
          <w:i/>
          <w:color w:val="000000"/>
          <w:sz w:val="19"/>
        </w:rPr>
        <w:t>which model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should answer the uncached requests.</w:t>
      </w:r>
    </w:p>
    <w:p>
      <w:pPr>
        <w:autoSpaceDN w:val="0"/>
        <w:autoSpaceDE w:val="0"/>
        <w:widowControl/>
        <w:spacing w:line="211" w:lineRule="auto" w:before="354" w:after="0"/>
        <w:ind w:left="240" w:right="0" w:firstLine="0"/>
        <w:jc w:val="left"/>
      </w:pPr>
      <w:r>
        <w:rPr>
          <w:rFonts w:ascii="Barlow" w:hAnsi="Barlow" w:eastAsia="Barlow"/>
          <w:b/>
          <w:i w:val="0"/>
          <w:color w:val="455A64"/>
          <w:sz w:val="27"/>
        </w:rPr>
        <w:t>4.3 Model Routing and Cascading</w:t>
      </w:r>
    </w:p>
    <w:p>
      <w:pPr>
        <w:autoSpaceDN w:val="0"/>
        <w:autoSpaceDE w:val="0"/>
        <w:widowControl/>
        <w:spacing w:line="250" w:lineRule="auto" w:before="366" w:after="0"/>
        <w:ind w:left="240" w:right="432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Model routing directs requests to different model tiers based on estimated complexity. Simple tasks (classification, extraction,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yes/no) route to cheaper, smaller models; complex tasks (multi-step reasoning, nuanced generation) escalate to frontier models.</w:t>
      </w:r>
    </w:p>
    <w:p>
      <w:pPr>
        <w:autoSpaceDN w:val="0"/>
        <w:autoSpaceDE w:val="0"/>
        <w:widowControl/>
        <w:spacing w:line="211" w:lineRule="auto" w:before="262" w:after="0"/>
        <w:ind w:left="24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Evidence of impact:</w:t>
      </w:r>
    </w:p>
    <w:p>
      <w:pPr>
        <w:autoSpaceDN w:val="0"/>
        <w:tabs>
          <w:tab w:pos="722" w:val="left"/>
        </w:tabs>
        <w:autoSpaceDE w:val="0"/>
        <w:widowControl/>
        <w:spacing w:line="240" w:lineRule="auto" w:before="274" w:after="0"/>
        <w:ind w:left="500" w:right="28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7112000</wp:posOffset>
            </wp:positionV>
            <wp:extent cx="50800" cy="508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UC Berkeley and Canva research demonstrates intelligent routing delivers 85% cost reduction while maintaining 95% of GPT-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4-level quality</w:t>
      </w:r>
    </w:p>
    <w:p>
      <w:pPr>
        <w:autoSpaceDN w:val="0"/>
        <w:tabs>
          <w:tab w:pos="722" w:val="left"/>
        </w:tabs>
        <w:autoSpaceDE w:val="0"/>
        <w:widowControl/>
        <w:spacing w:line="240" w:lineRule="auto" w:before="70" w:after="0"/>
        <w:ind w:left="500" w:right="576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7505700</wp:posOffset>
            </wp:positionV>
            <wp:extent cx="50800" cy="508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Well-implemented cascade systems achieve up to 87% cost reduction by ensuring frontier models handle only the 10% of 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queries that truly require their capabilities</w:t>
      </w:r>
    </w:p>
    <w:p>
      <w:pPr>
        <w:autoSpaceDN w:val="0"/>
        <w:tabs>
          <w:tab w:pos="722" w:val="left"/>
        </w:tabs>
        <w:autoSpaceDE w:val="0"/>
        <w:widowControl/>
        <w:spacing w:line="240" w:lineRule="auto" w:before="70" w:after="0"/>
        <w:ind w:left="500" w:right="28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7899400</wp:posOffset>
            </wp:positionV>
            <wp:extent cx="50800" cy="508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RouterBench benchmarks show multi-LLM routers matching or exceeding the best single model's quality while substantially 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reducing average inference cost</w:t>
      </w:r>
    </w:p>
    <w:p>
      <w:pPr>
        <w:autoSpaceDN w:val="0"/>
        <w:autoSpaceDE w:val="0"/>
        <w:widowControl/>
        <w:spacing w:line="211" w:lineRule="auto" w:before="274" w:after="0"/>
        <w:ind w:left="24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Common implementation patterns:</w:t>
      </w:r>
    </w:p>
    <w:p>
      <w:pPr>
        <w:autoSpaceDN w:val="0"/>
        <w:tabs>
          <w:tab w:pos="722" w:val="left"/>
        </w:tabs>
        <w:autoSpaceDE w:val="0"/>
        <w:widowControl/>
        <w:spacing w:line="269" w:lineRule="auto" w:before="262" w:after="0"/>
        <w:ind w:left="530" w:right="432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1. </w:t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Classifier-based routing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: A lightweight model or rule engine scores query complexity before routing </w:t>
      </w:r>
      <w:r>
        <w:br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2. </w:t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Confidence-based cascading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: Start with the cheapest model; escalate to a more capable one only if the confidence score 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falls below threshold </w:t>
      </w:r>
      <w:r>
        <w:br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3. </w:t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Task-type routing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: Categorize queries (FAQ, classification, summarization, reasoning) and map each category to an 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appropriate model tier</w:t>
      </w:r>
    </w:p>
    <w:p>
      <w:pPr>
        <w:autoSpaceDN w:val="0"/>
        <w:autoSpaceDE w:val="0"/>
        <w:widowControl/>
        <w:spacing w:line="250" w:lineRule="auto" w:before="262" w:after="0"/>
        <w:ind w:left="240" w:right="288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Limitation: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Most routing implementations today select among </w:t>
      </w:r>
      <w:r>
        <w:rPr>
          <w:w w:val="101.44764749627365"/>
          <w:rFonts w:ascii="Barlow" w:hAnsi="Barlow" w:eastAsia="Barlow"/>
          <w:b w:val="0"/>
          <w:i/>
          <w:color w:val="000000"/>
          <w:sz w:val="19"/>
        </w:rPr>
        <w:t>external API models of different sizes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(e.g., GPT-4o-mini vs. GPT-4o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vs. GPT-4). They do not incorporate </w:t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enterprise-specific fine-tuned SLMs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as a routing target. This means they optimize cost </w:t>
      </w:r>
      <w:r>
        <w:rPr>
          <w:w w:val="101.44764749627365"/>
          <w:rFonts w:ascii="Barlow" w:hAnsi="Barlow" w:eastAsia="Barlow"/>
          <w:b w:val="0"/>
          <w:i/>
          <w:color w:val="000000"/>
          <w:sz w:val="19"/>
        </w:rPr>
        <w:t>within</w:t>
      </w:r>
    </w:p>
    <w:p>
      <w:pPr>
        <w:sectPr>
          <w:pgSz w:w="11899" w:h="16838"/>
          <w:pgMar w:top="0" w:right="280" w:bottom="0" w:left="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</w:p>
    <w:p>
      <w:pPr>
        <w:autoSpaceDN w:val="0"/>
        <w:autoSpaceDE w:val="0"/>
        <w:widowControl/>
        <w:spacing w:line="250" w:lineRule="auto" w:before="0" w:after="0"/>
        <w:ind w:left="0" w:right="0" w:firstLine="0"/>
        <w:jc w:val="left"/>
      </w:pPr>
      <w:r>
        <w:rPr>
          <w:w w:val="101.44764749627365"/>
          <w:rFonts w:ascii="Barlow" w:hAnsi="Barlow" w:eastAsia="Barlow"/>
          <w:b w:val="0"/>
          <w:i/>
          <w:color w:val="000000"/>
          <w:sz w:val="19"/>
        </w:rPr>
        <w:t>the provider's menu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but miss the transformative economics of routing high-frequency domain queries to self-hosted, domain-fine-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tuned small models — which can be 10–30× cheaper per token and deliver higher accuracy on specialized tasks.</w:t>
      </w:r>
    </w:p>
    <w:p>
      <w:pPr>
        <w:autoSpaceDN w:val="0"/>
        <w:autoSpaceDE w:val="0"/>
        <w:widowControl/>
        <w:spacing w:line="211" w:lineRule="auto" w:before="354" w:after="0"/>
        <w:ind w:left="0" w:right="0" w:firstLine="0"/>
        <w:jc w:val="left"/>
      </w:pPr>
      <w:r>
        <w:rPr>
          <w:rFonts w:ascii="Barlow" w:hAnsi="Barlow" w:eastAsia="Barlow"/>
          <w:b/>
          <w:i w:val="0"/>
          <w:color w:val="455A64"/>
          <w:sz w:val="27"/>
        </w:rPr>
        <w:t>4.4 Small Language Model (SLM) Deployment</w:t>
      </w:r>
    </w:p>
    <w:p>
      <w:pPr>
        <w:autoSpaceDN w:val="0"/>
        <w:autoSpaceDE w:val="0"/>
        <w:widowControl/>
        <w:spacing w:line="245" w:lineRule="auto" w:before="368" w:after="0"/>
        <w:ind w:left="0" w:right="0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A parallel trend is the rise of SLMs — models with 1–13 billion parameters — as enterprise workhorses. The SLM market reached $6.5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billion in 2024 and is projected to hit $20.71 billion by 2030.</w:t>
      </w:r>
    </w:p>
    <w:p>
      <w:pPr>
        <w:autoSpaceDN w:val="0"/>
        <w:autoSpaceDE w:val="0"/>
        <w:widowControl/>
        <w:spacing w:line="211" w:lineRule="auto" w:before="276" w:after="0"/>
        <w:ind w:left="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Why SLMs matter for enterprise: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276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2120900</wp:posOffset>
            </wp:positionV>
            <wp:extent cx="50800" cy="508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Cost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: Serving a 7B SLM is 10–30× cheaper than a 175B+ frontier model, cutting GPU, cloud, and energy costs by up to 75%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70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2311400</wp:posOffset>
            </wp:positionV>
            <wp:extent cx="50800" cy="508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Accuracy on domain tasks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: The LoRA Land study (arXiv:2405.00732) tested 310 fine-tuned models across 31 tasks and found 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they outperformed GPT-4 on roughly 25 of 31 tasks, with an average improvement of 10 points. Separate research shows 25–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50% improvement on specialized tasks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82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2895600</wp:posOffset>
            </wp:positionV>
            <wp:extent cx="50800" cy="508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Latency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: Sub-200ms inference on modest hardware versus multi-second responses from frontier APIs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82" w:after="0"/>
        <w:ind w:left="260" w:right="72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3098800</wp:posOffset>
            </wp:positionV>
            <wp:extent cx="50800" cy="508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Privacy/compliance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: Self-hosted SLMs keep data within enterprise boundaries — critical for GDPR, HIPAA, and data 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sovereignty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82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3492500</wp:posOffset>
            </wp:positionV>
            <wp:extent cx="50800" cy="508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Fine-tuning agility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: SLMs can be re-fine-tuned weekly or monthly for policy updates, product changes, or regulatory shifts —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a cadence prohibitively expensive with frontier models</w:t>
      </w:r>
    </w:p>
    <w:p>
      <w:pPr>
        <w:autoSpaceDN w:val="0"/>
        <w:autoSpaceDE w:val="0"/>
        <w:widowControl/>
        <w:spacing w:line="211" w:lineRule="auto" w:before="274" w:after="0"/>
        <w:ind w:left="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Real-world patterns emerging: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274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4318000</wp:posOffset>
            </wp:positionV>
            <wp:extent cx="50800" cy="508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Healthcare networks deploying 7B medical variants on edge servers for HIPAA compliance, with complex cases escalating to 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cloud LLMs (monthly cost: ~$2,000 hybrid vs. ~$40,000 cloud-only)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82" w:after="0"/>
        <w:ind w:left="260" w:right="28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4711700</wp:posOffset>
            </wp:positionV>
            <wp:extent cx="50800" cy="508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E-commerce retailers using hybrid architectures where a classifier routes 95% of queries to a fine-tuned SLM and 5% to a 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frontier LLM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82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5105400</wp:posOffset>
            </wp:positionV>
            <wp:extent cx="50800" cy="508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Compliance teams using domain-specific SLMs as "regulation assistants," refreshed monthly with new guidance — a cadence 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impossible with frontier models</w:t>
      </w:r>
    </w:p>
    <w:p>
      <w:pPr>
        <w:autoSpaceDN w:val="0"/>
        <w:autoSpaceDE w:val="0"/>
        <w:widowControl/>
        <w:spacing w:line="266" w:lineRule="auto" w:before="274" w:after="0"/>
        <w:ind w:left="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Limitation: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SLM deployment today is typically a standalone initiative — a team fine-tunes a model for one use case. It is not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integrated into a centralized routing architecture that dynamically classifies incoming queries and routes them to the appropriate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SLM (or LLM) based on real-time complexity assessment, query-topic matching, and cost-carbon optimization. The fine-tuning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pipeline, the routing logic, and the observability layer are disconnected.</w:t>
      </w:r>
    </w:p>
    <w:p>
      <w:pPr>
        <w:autoSpaceDN w:val="0"/>
        <w:autoSpaceDE w:val="0"/>
        <w:widowControl/>
        <w:spacing w:line="211" w:lineRule="auto" w:before="354" w:after="0"/>
        <w:ind w:left="0" w:right="0" w:firstLine="0"/>
        <w:jc w:val="left"/>
      </w:pPr>
      <w:r>
        <w:rPr>
          <w:rFonts w:ascii="Barlow" w:hAnsi="Barlow" w:eastAsia="Barlow"/>
          <w:b/>
          <w:i w:val="0"/>
          <w:color w:val="455A64"/>
          <w:sz w:val="27"/>
        </w:rPr>
        <w:t>4.5 Prompt Compression and Context Engineering</w:t>
      </w:r>
    </w:p>
    <w:p>
      <w:pPr>
        <w:autoSpaceDN w:val="0"/>
        <w:autoSpaceDE w:val="0"/>
        <w:widowControl/>
        <w:spacing w:line="211" w:lineRule="auto" w:before="368" w:after="0"/>
        <w:ind w:left="0" w:right="0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Techniques to reduce token consumption without reducing quality: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276" w:after="0"/>
        <w:ind w:left="260" w:right="144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7340600</wp:posOffset>
            </wp:positionV>
            <wp:extent cx="50800" cy="508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LLMLingua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: Compresses prompts by up to 20× while preserving semantic meaning. An 800-token prompt can compress to 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40 tokens — 95% input cost reduction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82" w:after="0"/>
        <w:ind w:left="260" w:right="432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7721600</wp:posOffset>
            </wp:positionV>
            <wp:extent cx="50800" cy="508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Anthropic's automatic compaction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(late 2025): Automatically summarizes conversation history when context limits are 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reached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82" w:after="0"/>
        <w:ind w:left="260" w:right="144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8115300</wp:posOffset>
            </wp:positionV>
            <wp:extent cx="50800" cy="508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Provider prompt caching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: Anthropic's cache_control delivers up to 90% reduction on cached input tokens; OpenAI's Batch 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API offers 50% flat discount for async processing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70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8509000</wp:posOffset>
            </wp:positionV>
            <wp:extent cx="50800" cy="508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Context engineering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(emerging discipline for 2026): Dynamically adjusting context size to query complexity; using vector 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databases for on-demand retrieval rather than stuffing everything into the prompt; masking irrelevant tool outputs in agentic 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workflows</w:t>
      </w:r>
    </w:p>
    <w:p>
      <w:pPr>
        <w:autoSpaceDN w:val="0"/>
        <w:autoSpaceDE w:val="0"/>
        <w:widowControl/>
        <w:spacing w:line="250" w:lineRule="auto" w:before="274" w:after="0"/>
        <w:ind w:left="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Limitation: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These techniques optimize the </w:t>
      </w:r>
      <w:r>
        <w:rPr>
          <w:w w:val="101.44764749627365"/>
          <w:rFonts w:ascii="Barlow" w:hAnsi="Barlow" w:eastAsia="Barlow"/>
          <w:b w:val="0"/>
          <w:i/>
          <w:color w:val="000000"/>
          <w:sz w:val="19"/>
        </w:rPr>
        <w:t>content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of each request but do not address </w:t>
      </w:r>
      <w:r>
        <w:rPr>
          <w:w w:val="101.44764749627365"/>
          <w:rFonts w:ascii="Barlow" w:hAnsi="Barlow" w:eastAsia="Barlow"/>
          <w:b w:val="0"/>
          <w:i/>
          <w:color w:val="000000"/>
          <w:sz w:val="19"/>
        </w:rPr>
        <w:t>which model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processes it or how the carbon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and SLA implications are tracked and enforced.</w:t>
      </w:r>
    </w:p>
    <w:p>
      <w:pPr>
        <w:autoSpaceDN w:val="0"/>
        <w:autoSpaceDE w:val="0"/>
        <w:widowControl/>
        <w:spacing w:line="211" w:lineRule="auto" w:before="354" w:after="0"/>
        <w:ind w:left="0" w:right="0" w:firstLine="0"/>
        <w:jc w:val="left"/>
      </w:pPr>
      <w:r>
        <w:rPr>
          <w:rFonts w:ascii="Barlow" w:hAnsi="Barlow" w:eastAsia="Barlow"/>
          <w:b/>
          <w:i w:val="0"/>
          <w:color w:val="455A64"/>
          <w:sz w:val="27"/>
        </w:rPr>
        <w:t>4.6 AI Governance Frameworks and Tooling</w:t>
      </w:r>
    </w:p>
    <w:p>
      <w:pPr>
        <w:sectPr>
          <w:pgSz w:w="11899" w:h="16838"/>
          <w:pgMar w:top="168" w:right="532" w:bottom="598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7" w:lineRule="auto" w:before="336" w:after="0"/>
        <w:ind w:left="240" w:right="144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The governance tools market is growing from $227–340 million (2024–2025) to a projected $4.83 billion by 2034, at a 35–45% CAGR.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Platforms like Monitaur, Lumenova AI, Databricks Unity Catalog, and others provide model inventory, bias detection, drift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management, and regulatory compliance automation.</w:t>
      </w:r>
    </w:p>
    <w:p>
      <w:pPr>
        <w:autoSpaceDN w:val="0"/>
        <w:autoSpaceDE w:val="0"/>
        <w:widowControl/>
        <w:spacing w:line="257" w:lineRule="auto" w:before="274" w:after="0"/>
        <w:ind w:left="240" w:right="288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Deloitte's 2026 State of AI survey (3,235 leaders) confirms that enterprises where senior leadership actively shapes AI governance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achieve significantly greater business value. CSA research shows organizations with comprehensive AI governance are nearly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twice as likely to successfully adopt agentic AI (46% vs. 12–25%).</w:t>
      </w:r>
    </w:p>
    <w:p>
      <w:pPr>
        <w:autoSpaceDN w:val="0"/>
        <w:autoSpaceDE w:val="0"/>
        <w:widowControl/>
        <w:spacing w:line="257" w:lineRule="auto" w:before="274" w:after="0"/>
        <w:ind w:left="240" w:right="72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Limitation: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Governance frameworks operate at the policy and audit layer. They do not sit in the inference path. They cannot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enforce real-time token budgets, perform per-request model routing, compute per-inference carbon metrics, or provide SLA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guarantees. They answer "are we compliant?" but not "is this specific request being handled optimally?"</w:t>
      </w:r>
    </w:p>
    <w:p>
      <w:pPr>
        <w:autoSpaceDN w:val="0"/>
        <w:autoSpaceDE w:val="0"/>
        <w:widowControl/>
        <w:spacing w:line="211" w:lineRule="auto" w:before="354" w:after="0"/>
        <w:ind w:left="240" w:right="0" w:firstLine="0"/>
        <w:jc w:val="left"/>
      </w:pPr>
      <w:r>
        <w:rPr>
          <w:rFonts w:ascii="Barlow" w:hAnsi="Barlow" w:eastAsia="Barlow"/>
          <w:b/>
          <w:i w:val="0"/>
          <w:color w:val="455A64"/>
          <w:sz w:val="27"/>
        </w:rPr>
        <w:t>4.7 Carbon-Aware Infrastructure</w:t>
      </w:r>
    </w:p>
    <w:p>
      <w:pPr>
        <w:autoSpaceDN w:val="0"/>
        <w:autoSpaceDE w:val="0"/>
        <w:widowControl/>
        <w:spacing w:line="250" w:lineRule="auto" w:before="368" w:after="0"/>
        <w:ind w:left="240" w:right="144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Some organizations pursue geographic workload scheduling — routing batch AI jobs to low-carbon grid regions (e.g., Norway at ~20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gCO</w:t>
      </w:r>
      <w:r>
        <w:rPr>
          <w:w w:val="101.44764749627365"/>
          <w:rFonts w:ascii="Times New Roman" w:hAnsi="Times New Roman" w:eastAsia="Times New Roman"/>
          <w:b w:val="0"/>
          <w:i w:val="0"/>
          <w:color w:val="000000"/>
          <w:sz w:val="19"/>
        </w:rPr>
        <w:t>₂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/kWh vs. U.S. East at ~400 gCO</w:t>
      </w:r>
      <w:r>
        <w:rPr>
          <w:w w:val="101.44764749627365"/>
          <w:rFonts w:ascii="Times New Roman" w:hAnsi="Times New Roman" w:eastAsia="Times New Roman"/>
          <w:b w:val="0"/>
          <w:i w:val="0"/>
          <w:color w:val="000000"/>
          <w:sz w:val="19"/>
        </w:rPr>
        <w:t>₂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/kWh) and timing flexible jobs during renewable energy surplus windows.</w:t>
      </w:r>
    </w:p>
    <w:p>
      <w:pPr>
        <w:autoSpaceDN w:val="0"/>
        <w:autoSpaceDE w:val="0"/>
        <w:widowControl/>
        <w:spacing w:line="257" w:lineRule="auto" w:before="260" w:after="0"/>
        <w:ind w:left="240" w:right="288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Data center operators like NTT DATA have deployed direct-to-chip liquid cooling (improving PUE to 1.2–1.25) and waste heat reuse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(providing heating to 1,000+ buildings). Hyperscalers are investing in renewable energy procurement, though investors increasingly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question whether these claims are credible as demand accelerates.</w:t>
      </w:r>
    </w:p>
    <w:p>
      <w:pPr>
        <w:autoSpaceDN w:val="0"/>
        <w:autoSpaceDE w:val="0"/>
        <w:widowControl/>
        <w:spacing w:line="266" w:lineRule="auto" w:before="274" w:after="0"/>
        <w:ind w:left="240" w:right="288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Limitation: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Carbon-aware infrastructure operates at the data center and workload level. It does not provide </w:t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 xml:space="preserve">per-inference carbon </w:t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estimation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— the ability to compute and log the CO</w:t>
      </w:r>
      <w:r>
        <w:rPr>
          <w:w w:val="101.44764749627365"/>
          <w:rFonts w:ascii="Times New Roman" w:hAnsi="Times New Roman" w:eastAsia="Times New Roman"/>
          <w:b w:val="0"/>
          <w:i w:val="0"/>
          <w:color w:val="000000"/>
          <w:sz w:val="19"/>
        </w:rPr>
        <w:t>₂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e footprint of each individual LLM API call as a function of tokens consumed,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model size, and grid carbon intensity at the time and location of inference. Without per-request granularity, enterprises cannot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attribute AI carbon costs to departments, applications, or use cases — making Scope 3 reporting incomplete and optimization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impossible.</w:t>
      </w:r>
    </w:p>
    <w:p>
      <w:pPr>
        <w:autoSpaceDN w:val="0"/>
        <w:autoSpaceDE w:val="0"/>
        <w:widowControl/>
        <w:spacing w:line="211" w:lineRule="auto" w:before="354" w:after="332"/>
        <w:ind w:left="240" w:right="0" w:firstLine="0"/>
        <w:jc w:val="left"/>
      </w:pPr>
      <w:r>
        <w:rPr>
          <w:rFonts w:ascii="Barlow" w:hAnsi="Barlow" w:eastAsia="Barlow"/>
          <w:b/>
          <w:i w:val="0"/>
          <w:color w:val="455A64"/>
          <w:sz w:val="27"/>
        </w:rPr>
        <w:t>4.8 Gap Analysis: What's Missing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7.99999999999997" w:type="dxa"/>
      </w:tblPr>
      <w:tblGrid>
        <w:gridCol w:w="1258"/>
        <w:gridCol w:w="1258"/>
        <w:gridCol w:w="1258"/>
        <w:gridCol w:w="1258"/>
        <w:gridCol w:w="1258"/>
        <w:gridCol w:w="1258"/>
        <w:gridCol w:w="1258"/>
        <w:gridCol w:w="1258"/>
        <w:gridCol w:w="1258"/>
      </w:tblGrid>
      <w:tr>
        <w:trPr>
          <w:trHeight w:hRule="exact" w:val="662"/>
        </w:trPr>
        <w:tc>
          <w:tcPr>
            <w:tcW w:type="dxa" w:w="2456"/>
            <w:tcBorders>
              <w:start w:sz="4.0" w:val="single" w:color="#DDDDDD"/>
              <w:top w:sz="4.799999999999727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Capability</w:t>
            </w:r>
          </w:p>
        </w:tc>
        <w:tc>
          <w:tcPr>
            <w:tcW w:type="dxa" w:w="1036"/>
            <w:tcBorders>
              <w:start w:sz="4.7999999999999545" w:val="single" w:color="#DDDDDD"/>
              <w:top w:sz="4.799999999999727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Gateways</w:t>
            </w:r>
          </w:p>
        </w:tc>
        <w:tc>
          <w:tcPr>
            <w:tcW w:type="dxa" w:w="904"/>
            <w:tcBorders>
              <w:start w:sz="4.800000000000182" w:val="single" w:color="#DDDDDD"/>
              <w:top w:sz="4.799999999999727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Caching</w:t>
            </w:r>
          </w:p>
        </w:tc>
        <w:tc>
          <w:tcPr>
            <w:tcW w:type="dxa" w:w="880"/>
            <w:tcBorders>
              <w:start w:sz="4.7999999999999545" w:val="single" w:color="#DDDDDD"/>
              <w:top w:sz="4.799999999999727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Routing</w:t>
            </w:r>
          </w:p>
        </w:tc>
        <w:tc>
          <w:tcPr>
            <w:tcW w:type="dxa" w:w="1156"/>
            <w:tcBorders>
              <w:start w:sz="4.800000000000182" w:val="single" w:color="#DDDDDD"/>
              <w:top w:sz="4.799999999999727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SLMs</w:t>
            </w:r>
          </w:p>
        </w:tc>
        <w:tc>
          <w:tcPr>
            <w:tcW w:type="dxa" w:w="1338"/>
            <w:tcBorders>
              <w:start w:sz="4.800000000000182" w:val="single" w:color="#DDDDDD"/>
              <w:top w:sz="4.799999999999727" w:val="single" w:color="#DDDDDD"/>
              <w:end w:sz="4.799999999999727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Compression</w:t>
            </w:r>
          </w:p>
        </w:tc>
        <w:tc>
          <w:tcPr>
            <w:tcW w:type="dxa" w:w="1228"/>
            <w:tcBorders>
              <w:start w:sz="4.799999999999727" w:val="single" w:color="#DDDDDD"/>
              <w:top w:sz="4.799999999999727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Governance</w:t>
            </w:r>
          </w:p>
        </w:tc>
        <w:tc>
          <w:tcPr>
            <w:tcW w:type="dxa" w:w="820"/>
            <w:tcBorders>
              <w:start w:sz="4.800000000000182" w:val="single" w:color="#DDDDDD"/>
              <w:top w:sz="4.799999999999727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Carbon 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Infra</w:t>
            </w:r>
          </w:p>
        </w:tc>
        <w:tc>
          <w:tcPr>
            <w:tcW w:type="dxa" w:w="1228"/>
            <w:tcBorders>
              <w:start w:sz="4.800000000000182" w:val="single" w:color="#DDDDDD"/>
              <w:top w:sz="4.799999999999727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144" w:right="144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Guardrail 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Tools</w:t>
            </w:r>
          </w:p>
        </w:tc>
      </w:tr>
      <w:tr>
        <w:trPr>
          <w:trHeight w:hRule="exact" w:val="662"/>
        </w:trPr>
        <w:tc>
          <w:tcPr>
            <w:tcW w:type="dxa" w:w="2456"/>
            <w:tcBorders>
              <w:start w:sz="4.0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576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Token ingress/egress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metering</w:t>
            </w:r>
          </w:p>
        </w:tc>
        <w:tc>
          <w:tcPr>
            <w:tcW w:type="dxa" w:w="1036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Partial</w:t>
            </w:r>
          </w:p>
        </w:tc>
        <w:tc>
          <w:tcPr>
            <w:tcW w:type="dxa" w:w="904"/>
            <w:tcBorders>
              <w:start w:sz="4.800000000000182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880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156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338"/>
            <w:tcBorders>
              <w:start w:sz="4.800000000000182" w:val="single" w:color="#DDDDDD"/>
              <w:top w:sz="4.800000000000182" w:val="single" w:color="#DDDDDD"/>
              <w:end w:sz="4.799999999999727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228"/>
            <w:tcBorders>
              <w:start w:sz="4.799999999999727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820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228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</w:tr>
      <w:tr>
        <w:trPr>
          <w:trHeight w:hRule="exact" w:val="664"/>
        </w:trPr>
        <w:tc>
          <w:tcPr>
            <w:tcW w:type="dxa" w:w="2456"/>
            <w:tcBorders>
              <w:start w:sz="4.0" w:val="single" w:color="#DDDDDD"/>
              <w:top w:sz="4.800000000000182" w:val="single" w:color="#DDDDDD"/>
              <w:end w:sz="4.7999999999999545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86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Per-request cost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attribution</w:t>
            </w:r>
          </w:p>
        </w:tc>
        <w:tc>
          <w:tcPr>
            <w:tcW w:type="dxa" w:w="1036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Partial</w:t>
            </w:r>
          </w:p>
        </w:tc>
        <w:tc>
          <w:tcPr>
            <w:tcW w:type="dxa" w:w="904"/>
            <w:tcBorders>
              <w:start w:sz="4.800000000000182" w:val="single" w:color="#DDDDDD"/>
              <w:top w:sz="4.800000000000182" w:val="single" w:color="#DDDDDD"/>
              <w:end w:sz="4.7999999999999545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880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156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338"/>
            <w:tcBorders>
              <w:start w:sz="4.800000000000182" w:val="single" w:color="#DDDDDD"/>
              <w:top w:sz="4.800000000000182" w:val="single" w:color="#DDDDDD"/>
              <w:end w:sz="4.799999999999727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228"/>
            <w:tcBorders>
              <w:start w:sz="4.799999999999727" w:val="single" w:color="#DDDDDD"/>
              <w:top w:sz="4.800000000000182" w:val="single" w:color="#DDDDDD"/>
              <w:end w:sz="4.800000000000182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820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228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</w:tr>
      <w:tr>
        <w:trPr>
          <w:trHeight w:hRule="exact" w:val="662"/>
        </w:trPr>
        <w:tc>
          <w:tcPr>
            <w:tcW w:type="dxa" w:w="2456"/>
            <w:tcBorders>
              <w:start w:sz="4.0" w:val="single" w:color="#DDDDDD"/>
              <w:top w:sz="4.79999999999927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432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Complexity-based SLM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routing</w:t>
            </w:r>
          </w:p>
        </w:tc>
        <w:tc>
          <w:tcPr>
            <w:tcW w:type="dxa" w:w="1036"/>
            <w:tcBorders>
              <w:start w:sz="4.7999999999999545" w:val="single" w:color="#DDDDDD"/>
              <w:top w:sz="4.79999999999927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0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904"/>
            <w:tcBorders>
              <w:start w:sz="4.800000000000182" w:val="single" w:color="#DDDDDD"/>
              <w:top w:sz="4.79999999999927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0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880"/>
            <w:tcBorders>
              <w:start w:sz="4.7999999999999545" w:val="single" w:color="#DDDDDD"/>
              <w:top w:sz="4.79999999999927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Partial</w:t>
            </w:r>
          </w:p>
        </w:tc>
        <w:tc>
          <w:tcPr>
            <w:tcW w:type="dxa" w:w="1156"/>
            <w:tcBorders>
              <w:start w:sz="4.800000000000182" w:val="single" w:color="#DDDDDD"/>
              <w:top w:sz="4.79999999999927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0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338"/>
            <w:tcBorders>
              <w:start w:sz="4.800000000000182" w:val="single" w:color="#DDDDDD"/>
              <w:top w:sz="4.799999999999272" w:val="single" w:color="#DDDDDD"/>
              <w:end w:sz="4.799999999999727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0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228"/>
            <w:tcBorders>
              <w:start w:sz="4.799999999999727" w:val="single" w:color="#DDDDDD"/>
              <w:top w:sz="4.79999999999927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0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820"/>
            <w:tcBorders>
              <w:start w:sz="4.800000000000182" w:val="single" w:color="#DDDDDD"/>
              <w:top w:sz="4.79999999999927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0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228"/>
            <w:tcBorders>
              <w:start w:sz="4.800000000000182" w:val="single" w:color="#DDDDDD"/>
              <w:top w:sz="4.79999999999927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0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</w:tr>
      <w:tr>
        <w:trPr>
          <w:trHeight w:hRule="exact" w:val="662"/>
        </w:trPr>
        <w:tc>
          <w:tcPr>
            <w:tcW w:type="dxa" w:w="2456"/>
            <w:tcBorders>
              <w:start w:sz="4.0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Fine-tuned SLM as routing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target</w:t>
            </w:r>
          </w:p>
        </w:tc>
        <w:tc>
          <w:tcPr>
            <w:tcW w:type="dxa" w:w="1036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904"/>
            <w:tcBorders>
              <w:start w:sz="4.800000000000182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880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156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Standalone</w:t>
            </w:r>
          </w:p>
        </w:tc>
        <w:tc>
          <w:tcPr>
            <w:tcW w:type="dxa" w:w="1338"/>
            <w:tcBorders>
              <w:start w:sz="4.800000000000182" w:val="single" w:color="#DDDDDD"/>
              <w:top w:sz="4.800000000000182" w:val="single" w:color="#DDDDDD"/>
              <w:end w:sz="4.799999999999727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228"/>
            <w:tcBorders>
              <w:start w:sz="4.799999999999727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820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228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</w:tr>
      <w:tr>
        <w:trPr>
          <w:trHeight w:hRule="exact" w:val="662"/>
        </w:trPr>
        <w:tc>
          <w:tcPr>
            <w:tcW w:type="dxa" w:w="2456"/>
            <w:tcBorders>
              <w:start w:sz="4.0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432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Prompt uplift for SLM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handoff</w:t>
            </w:r>
          </w:p>
        </w:tc>
        <w:tc>
          <w:tcPr>
            <w:tcW w:type="dxa" w:w="1036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904"/>
            <w:tcBorders>
              <w:start w:sz="4.800000000000182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880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156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338"/>
            <w:tcBorders>
              <w:start w:sz="4.800000000000182" w:val="single" w:color="#DDDDDD"/>
              <w:top w:sz="4.800000000000182" w:val="single" w:color="#DDDDDD"/>
              <w:end w:sz="4.799999999999727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228"/>
            <w:tcBorders>
              <w:start w:sz="4.799999999999727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820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228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</w:tr>
      <w:tr>
        <w:trPr>
          <w:trHeight w:hRule="exact" w:val="664"/>
        </w:trPr>
        <w:tc>
          <w:tcPr>
            <w:tcW w:type="dxa" w:w="2456"/>
            <w:tcBorders>
              <w:start w:sz="4.0" w:val="single" w:color="#DDDDDD"/>
              <w:top w:sz="4.800000000000182" w:val="single" w:color="#DDDDDD"/>
              <w:end w:sz="4.7999999999999545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98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Dynamic multi-provider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selection</w:t>
            </w:r>
          </w:p>
        </w:tc>
        <w:tc>
          <w:tcPr>
            <w:tcW w:type="dxa" w:w="1036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Partial</w:t>
            </w:r>
          </w:p>
        </w:tc>
        <w:tc>
          <w:tcPr>
            <w:tcW w:type="dxa" w:w="904"/>
            <w:tcBorders>
              <w:start w:sz="4.800000000000182" w:val="single" w:color="#DDDDDD"/>
              <w:top w:sz="4.800000000000182" w:val="single" w:color="#DDDDDD"/>
              <w:end w:sz="4.7999999999999545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880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Partial</w:t>
            </w:r>
          </w:p>
        </w:tc>
        <w:tc>
          <w:tcPr>
            <w:tcW w:type="dxa" w:w="1156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338"/>
            <w:tcBorders>
              <w:start w:sz="4.800000000000182" w:val="single" w:color="#DDDDDD"/>
              <w:top w:sz="4.800000000000182" w:val="single" w:color="#DDDDDD"/>
              <w:end w:sz="4.799999999999727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228"/>
            <w:tcBorders>
              <w:start w:sz="4.799999999999727" w:val="single" w:color="#DDDDDD"/>
              <w:top w:sz="4.800000000000182" w:val="single" w:color="#DDDDDD"/>
              <w:end w:sz="4.800000000000182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820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228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</w:tr>
      <w:tr>
        <w:trPr>
          <w:trHeight w:hRule="exact" w:val="662"/>
        </w:trPr>
        <w:tc>
          <w:tcPr>
            <w:tcW w:type="dxa" w:w="2456"/>
            <w:tcBorders>
              <w:start w:sz="4.0" w:val="single" w:color="#DDDDDD"/>
              <w:top w:sz="4.79999999999927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Task-fit based provider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scoring</w:t>
            </w:r>
          </w:p>
        </w:tc>
        <w:tc>
          <w:tcPr>
            <w:tcW w:type="dxa" w:w="1036"/>
            <w:tcBorders>
              <w:start w:sz="4.7999999999999545" w:val="single" w:color="#DDDDDD"/>
              <w:top w:sz="4.79999999999927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0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904"/>
            <w:tcBorders>
              <w:start w:sz="4.800000000000182" w:val="single" w:color="#DDDDDD"/>
              <w:top w:sz="4.79999999999927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0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880"/>
            <w:tcBorders>
              <w:start w:sz="4.7999999999999545" w:val="single" w:color="#DDDDDD"/>
              <w:top w:sz="4.79999999999927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0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156"/>
            <w:tcBorders>
              <w:start w:sz="4.800000000000182" w:val="single" w:color="#DDDDDD"/>
              <w:top w:sz="4.79999999999927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0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338"/>
            <w:tcBorders>
              <w:start w:sz="4.800000000000182" w:val="single" w:color="#DDDDDD"/>
              <w:top w:sz="4.799999999999272" w:val="single" w:color="#DDDDDD"/>
              <w:end w:sz="4.799999999999727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0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228"/>
            <w:tcBorders>
              <w:start w:sz="4.799999999999727" w:val="single" w:color="#DDDDDD"/>
              <w:top w:sz="4.79999999999927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0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820"/>
            <w:tcBorders>
              <w:start w:sz="4.800000000000182" w:val="single" w:color="#DDDDDD"/>
              <w:top w:sz="4.79999999999927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0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228"/>
            <w:tcBorders>
              <w:start w:sz="4.800000000000182" w:val="single" w:color="#DDDDDD"/>
              <w:top w:sz="4.79999999999927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0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</w:tr>
      <w:tr>
        <w:trPr>
          <w:trHeight w:hRule="exact" w:val="662"/>
        </w:trPr>
        <w:tc>
          <w:tcPr>
            <w:tcW w:type="dxa" w:w="2456"/>
            <w:tcBorders>
              <w:start w:sz="4.0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Compliance-constrained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provider routing</w:t>
            </w:r>
          </w:p>
        </w:tc>
        <w:tc>
          <w:tcPr>
            <w:tcW w:type="dxa" w:w="1036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904"/>
            <w:tcBorders>
              <w:start w:sz="4.800000000000182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880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156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338"/>
            <w:tcBorders>
              <w:start w:sz="4.800000000000182" w:val="single" w:color="#DDDDDD"/>
              <w:top w:sz="4.800000000000182" w:val="single" w:color="#DDDDDD"/>
              <w:end w:sz="4.799999999999727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228"/>
            <w:tcBorders>
              <w:start w:sz="4.799999999999727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820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228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</w:tr>
      <w:tr>
        <w:trPr>
          <w:trHeight w:hRule="exact" w:val="688"/>
        </w:trPr>
        <w:tc>
          <w:tcPr>
            <w:tcW w:type="dxa" w:w="2456"/>
            <w:tcBorders>
              <w:start w:sz="4.0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10" w:after="0"/>
              <w:ind w:left="98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Input guardrails (injection,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jailbreak)</w:t>
            </w:r>
          </w:p>
        </w:tc>
        <w:tc>
          <w:tcPr>
            <w:tcW w:type="dxa" w:w="1036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18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Partial</w:t>
            </w:r>
          </w:p>
        </w:tc>
        <w:tc>
          <w:tcPr>
            <w:tcW w:type="dxa" w:w="904"/>
            <w:tcBorders>
              <w:start w:sz="4.800000000000182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4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880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4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156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4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338"/>
            <w:tcBorders>
              <w:start w:sz="4.800000000000182" w:val="single" w:color="#DDDDDD"/>
              <w:top w:sz="4.800000000000182" w:val="single" w:color="#DDDDDD"/>
              <w:end w:sz="4.799999999999727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4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228"/>
            <w:tcBorders>
              <w:start w:sz="4.799999999999727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4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820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4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228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✓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(standalone)</w:t>
            </w:r>
          </w:p>
        </w:tc>
      </w:tr>
      <w:tr>
        <w:trPr>
          <w:trHeight w:hRule="exact" w:val="686"/>
        </w:trPr>
        <w:tc>
          <w:tcPr>
            <w:tcW w:type="dxa" w:w="2456"/>
            <w:tcBorders>
              <w:start w:sz="4.0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8" w:after="0"/>
              <w:ind w:left="98" w:right="432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Output evaluation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(hallucination, quality)</w:t>
            </w:r>
          </w:p>
        </w:tc>
        <w:tc>
          <w:tcPr>
            <w:tcW w:type="dxa" w:w="1036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904"/>
            <w:tcBorders>
              <w:start w:sz="4.800000000000182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880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156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338"/>
            <w:tcBorders>
              <w:start w:sz="4.800000000000182" w:val="single" w:color="#DDDDDD"/>
              <w:top w:sz="4.800000000000182" w:val="single" w:color="#DDDDDD"/>
              <w:end w:sz="4.799999999999727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228"/>
            <w:tcBorders>
              <w:start w:sz="4.799999999999727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820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20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228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✓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(standalone)</w:t>
            </w:r>
          </w:p>
        </w:tc>
      </w:tr>
    </w:tbl>
    <w:p>
      <w:pPr>
        <w:autoSpaceDN w:val="0"/>
        <w:autoSpaceDE w:val="0"/>
        <w:widowControl/>
        <w:spacing w:line="1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7.99999999999997" w:type="dxa"/>
      </w:tblPr>
      <w:tblGrid>
        <w:gridCol w:w="1258"/>
        <w:gridCol w:w="1258"/>
        <w:gridCol w:w="1258"/>
        <w:gridCol w:w="1258"/>
        <w:gridCol w:w="1258"/>
        <w:gridCol w:w="1258"/>
        <w:gridCol w:w="1258"/>
        <w:gridCol w:w="1258"/>
        <w:gridCol w:w="1258"/>
      </w:tblGrid>
      <w:tr>
        <w:trPr>
          <w:trHeight w:hRule="exact" w:val="418"/>
        </w:trPr>
        <w:tc>
          <w:tcPr>
            <w:tcW w:type="dxa" w:w="2456"/>
            <w:tcBorders>
              <w:start w:sz="4.0" w:val="single" w:color="#DDDDDD"/>
              <w:top w:sz="4.799999999999272" w:val="single" w:color="#DDDDDD"/>
              <w:end w:sz="4.7999999999999545" w:val="single" w:color="#DDDDD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36"/>
            <w:tcBorders>
              <w:start w:sz="4.7999999999999545" w:val="single" w:color="#DDDDDD"/>
              <w:top w:sz="4.799999999999272" w:val="single" w:color="#DDDDDD"/>
              <w:end w:sz="4.800000000000182" w:val="single" w:color="#DDDDD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04"/>
            <w:tcBorders>
              <w:start w:sz="4.800000000000182" w:val="single" w:color="#DDDDDD"/>
              <w:top w:sz="4.799999999999272" w:val="single" w:color="#DDDDDD"/>
              <w:end w:sz="4.7999999999999545" w:val="single" w:color="#DDDDD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0"/>
            <w:tcBorders>
              <w:start w:sz="4.7999999999999545" w:val="single" w:color="#DDDDDD"/>
              <w:top w:sz="4.799999999999272" w:val="single" w:color="#DDDDDD"/>
              <w:end w:sz="4.800000000000182" w:val="single" w:color="#DDDDD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156"/>
            <w:tcBorders>
              <w:start w:sz="4.800000000000182" w:val="single" w:color="#DDDDDD"/>
              <w:top w:sz="4.799999999999272" w:val="single" w:color="#DDDDDD"/>
              <w:end w:sz="4.800000000000182" w:val="single" w:color="#DDDDD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38"/>
            <w:tcBorders>
              <w:start w:sz="4.800000000000182" w:val="single" w:color="#DDDDDD"/>
              <w:top w:sz="4.799999999999272" w:val="single" w:color="#DDDDDD"/>
              <w:end w:sz="4.799999999999727" w:val="single" w:color="#DDDDD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8"/>
            <w:tcBorders>
              <w:start w:sz="4.799999999999727" w:val="single" w:color="#DDDDDD"/>
              <w:top w:sz="4.799999999999272" w:val="single" w:color="#DDDDDD"/>
              <w:end w:sz="4.800000000000182" w:val="single" w:color="#DDDDD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20"/>
            <w:tcBorders>
              <w:start w:sz="4.800000000000182" w:val="single" w:color="#DDDDDD"/>
              <w:top w:sz="4.799999999999272" w:val="single" w:color="#DDDDDD"/>
              <w:end w:sz="4.800000000000182" w:val="single" w:color="#DDDDD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28"/>
            <w:tcBorders>
              <w:start w:sz="4.800000000000182" w:val="single" w:color="#DDDDDD"/>
              <w:top w:sz="4.799999999999272" w:val="single" w:color="#DDDDDD"/>
              <w:end w:sz="4.800000000000182" w:val="single" w:color="#DDDDDD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280" w:bottom="0" w:left="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7.99999999999997" w:type="dxa"/>
      </w:tblPr>
      <w:tblGrid>
        <w:gridCol w:w="1258"/>
        <w:gridCol w:w="1258"/>
        <w:gridCol w:w="1258"/>
        <w:gridCol w:w="1258"/>
        <w:gridCol w:w="1258"/>
        <w:gridCol w:w="1258"/>
        <w:gridCol w:w="1258"/>
        <w:gridCol w:w="1258"/>
        <w:gridCol w:w="1258"/>
      </w:tblGrid>
      <w:tr>
        <w:trPr>
          <w:trHeight w:hRule="exact" w:val="662"/>
        </w:trPr>
        <w:tc>
          <w:tcPr>
            <w:tcW w:type="dxa" w:w="2456"/>
            <w:tcBorders>
              <w:start w:sz="4.0" w:val="single" w:color="#DDDDDD"/>
              <w:top w:sz="4.799999999999997" w:val="single" w:color="#DDDDDD"/>
              <w:end w:sz="4.7999999999999545" w:val="single" w:color="#DDDDDD"/>
              <w:bottom w:sz="4.80000000000001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Capability</w:t>
            </w:r>
          </w:p>
        </w:tc>
        <w:tc>
          <w:tcPr>
            <w:tcW w:type="dxa" w:w="1036"/>
            <w:tcBorders>
              <w:start w:sz="4.7999999999999545" w:val="single" w:color="#DDDDDD"/>
              <w:top w:sz="4.799999999999997" w:val="single" w:color="#DDDDDD"/>
              <w:end w:sz="4.800000000000182" w:val="single" w:color="#DDDDDD"/>
              <w:bottom w:sz="4.80000000000001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Gateways</w:t>
            </w:r>
          </w:p>
        </w:tc>
        <w:tc>
          <w:tcPr>
            <w:tcW w:type="dxa" w:w="904"/>
            <w:tcBorders>
              <w:start w:sz="4.800000000000182" w:val="single" w:color="#DDDDDD"/>
              <w:top w:sz="4.799999999999997" w:val="single" w:color="#DDDDDD"/>
              <w:end w:sz="4.7999999999999545" w:val="single" w:color="#DDDDDD"/>
              <w:bottom w:sz="4.80000000000001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Caching</w:t>
            </w:r>
          </w:p>
        </w:tc>
        <w:tc>
          <w:tcPr>
            <w:tcW w:type="dxa" w:w="880"/>
            <w:tcBorders>
              <w:start w:sz="4.7999999999999545" w:val="single" w:color="#DDDDDD"/>
              <w:top w:sz="4.799999999999997" w:val="single" w:color="#DDDDDD"/>
              <w:end w:sz="4.800000000000182" w:val="single" w:color="#DDDDDD"/>
              <w:bottom w:sz="4.80000000000001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Routing</w:t>
            </w:r>
          </w:p>
        </w:tc>
        <w:tc>
          <w:tcPr>
            <w:tcW w:type="dxa" w:w="1156"/>
            <w:tcBorders>
              <w:start w:sz="4.800000000000182" w:val="single" w:color="#DDDDDD"/>
              <w:top w:sz="4.799999999999997" w:val="single" w:color="#DDDDDD"/>
              <w:end w:sz="4.800000000000182" w:val="single" w:color="#DDDDDD"/>
              <w:bottom w:sz="4.80000000000001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SLMs</w:t>
            </w:r>
          </w:p>
        </w:tc>
        <w:tc>
          <w:tcPr>
            <w:tcW w:type="dxa" w:w="1338"/>
            <w:tcBorders>
              <w:start w:sz="4.800000000000182" w:val="single" w:color="#DDDDDD"/>
              <w:top w:sz="4.799999999999997" w:val="single" w:color="#DDDDDD"/>
              <w:end w:sz="4.799999999999727" w:val="single" w:color="#DDDDDD"/>
              <w:bottom w:sz="4.80000000000001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Compression</w:t>
            </w:r>
          </w:p>
        </w:tc>
        <w:tc>
          <w:tcPr>
            <w:tcW w:type="dxa" w:w="1228"/>
            <w:tcBorders>
              <w:start w:sz="4.799999999999727" w:val="single" w:color="#DDDDDD"/>
              <w:top w:sz="4.799999999999997" w:val="single" w:color="#DDDDDD"/>
              <w:end w:sz="4.800000000000182" w:val="single" w:color="#DDDDDD"/>
              <w:bottom w:sz="4.80000000000001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Governance</w:t>
            </w:r>
          </w:p>
        </w:tc>
        <w:tc>
          <w:tcPr>
            <w:tcW w:type="dxa" w:w="820"/>
            <w:tcBorders>
              <w:start w:sz="4.800000000000182" w:val="single" w:color="#DDDDDD"/>
              <w:top w:sz="4.799999999999997" w:val="single" w:color="#DDDDDD"/>
              <w:end w:sz="4.800000000000182" w:val="single" w:color="#DDDDDD"/>
              <w:bottom w:sz="4.80000000000001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Carbon 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Infra</w:t>
            </w:r>
          </w:p>
        </w:tc>
        <w:tc>
          <w:tcPr>
            <w:tcW w:type="dxa" w:w="1228"/>
            <w:tcBorders>
              <w:start w:sz="4.800000000000182" w:val="single" w:color="#DDDDDD"/>
              <w:top w:sz="4.799999999999997" w:val="single" w:color="#DDDDDD"/>
              <w:end w:sz="4.800000000000182" w:val="single" w:color="#DDDDDD"/>
              <w:bottom w:sz="4.80000000000001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144" w:right="144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Guardrail 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Tools</w:t>
            </w:r>
          </w:p>
        </w:tc>
      </w:tr>
      <w:tr>
        <w:trPr>
          <w:trHeight w:hRule="exact" w:val="664"/>
        </w:trPr>
        <w:tc>
          <w:tcPr>
            <w:tcW w:type="dxa" w:w="2456"/>
            <w:tcBorders>
              <w:start w:sz="4.0" w:val="single" w:color="#DDDDDD"/>
              <w:top w:sz="4.800000000000011" w:val="single" w:color="#DDDDDD"/>
              <w:end w:sz="4.7999999999999545" w:val="single" w:color="#DDDDDD"/>
              <w:bottom w:sz="4.800000000000068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98" w:right="576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Guardrail-to-routing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escalation loop</w:t>
            </w:r>
          </w:p>
        </w:tc>
        <w:tc>
          <w:tcPr>
            <w:tcW w:type="dxa" w:w="1036"/>
            <w:tcBorders>
              <w:start w:sz="4.7999999999999545" w:val="single" w:color="#DDDDDD"/>
              <w:top w:sz="4.800000000000011" w:val="single" w:color="#DDDDDD"/>
              <w:end w:sz="4.800000000000182" w:val="single" w:color="#DDDDDD"/>
              <w:bottom w:sz="4.800000000000068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904"/>
            <w:tcBorders>
              <w:start w:sz="4.800000000000182" w:val="single" w:color="#DDDDDD"/>
              <w:top w:sz="4.800000000000011" w:val="single" w:color="#DDDDDD"/>
              <w:end w:sz="4.7999999999999545" w:val="single" w:color="#DDDDDD"/>
              <w:bottom w:sz="4.800000000000068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880"/>
            <w:tcBorders>
              <w:start w:sz="4.7999999999999545" w:val="single" w:color="#DDDDDD"/>
              <w:top w:sz="4.800000000000011" w:val="single" w:color="#DDDDDD"/>
              <w:end w:sz="4.800000000000182" w:val="single" w:color="#DDDDDD"/>
              <w:bottom w:sz="4.800000000000068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156"/>
            <w:tcBorders>
              <w:start w:sz="4.800000000000182" w:val="single" w:color="#DDDDDD"/>
              <w:top w:sz="4.800000000000011" w:val="single" w:color="#DDDDDD"/>
              <w:end w:sz="4.800000000000182" w:val="single" w:color="#DDDDDD"/>
              <w:bottom w:sz="4.800000000000068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338"/>
            <w:tcBorders>
              <w:start w:sz="4.800000000000182" w:val="single" w:color="#DDDDDD"/>
              <w:top w:sz="4.800000000000011" w:val="single" w:color="#DDDDDD"/>
              <w:end w:sz="4.799999999999727" w:val="single" w:color="#DDDDDD"/>
              <w:bottom w:sz="4.800000000000068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228"/>
            <w:tcBorders>
              <w:start w:sz="4.799999999999727" w:val="single" w:color="#DDDDDD"/>
              <w:top w:sz="4.800000000000011" w:val="single" w:color="#DDDDDD"/>
              <w:end w:sz="4.800000000000182" w:val="single" w:color="#DDDDDD"/>
              <w:bottom w:sz="4.800000000000068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820"/>
            <w:tcBorders>
              <w:start w:sz="4.800000000000182" w:val="single" w:color="#DDDDDD"/>
              <w:top w:sz="4.800000000000011" w:val="single" w:color="#DDDDDD"/>
              <w:end w:sz="4.800000000000182" w:val="single" w:color="#DDDDDD"/>
              <w:bottom w:sz="4.800000000000068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228"/>
            <w:tcBorders>
              <w:start w:sz="4.800000000000182" w:val="single" w:color="#DDDDDD"/>
              <w:top w:sz="4.800000000000011" w:val="single" w:color="#DDDDDD"/>
              <w:end w:sz="4.800000000000182" w:val="single" w:color="#DDDDDD"/>
              <w:bottom w:sz="4.800000000000068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</w:tr>
      <w:tr>
        <w:trPr>
          <w:trHeight w:hRule="exact" w:val="662"/>
        </w:trPr>
        <w:tc>
          <w:tcPr>
            <w:tcW w:type="dxa" w:w="2456"/>
            <w:tcBorders>
              <w:start w:sz="4.0" w:val="single" w:color="#DDDDDD"/>
              <w:top w:sz="4.800000000000068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576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Per-inference carbon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computation</w:t>
            </w:r>
          </w:p>
        </w:tc>
        <w:tc>
          <w:tcPr>
            <w:tcW w:type="dxa" w:w="1036"/>
            <w:tcBorders>
              <w:start w:sz="4.7999999999999545" w:val="single" w:color="#DDDDDD"/>
              <w:top w:sz="4.800000000000068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0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904"/>
            <w:tcBorders>
              <w:start w:sz="4.800000000000182" w:val="single" w:color="#DDDDDD"/>
              <w:top w:sz="4.800000000000068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0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880"/>
            <w:tcBorders>
              <w:start w:sz="4.7999999999999545" w:val="single" w:color="#DDDDDD"/>
              <w:top w:sz="4.800000000000068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0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156"/>
            <w:tcBorders>
              <w:start w:sz="4.800000000000182" w:val="single" w:color="#DDDDDD"/>
              <w:top w:sz="4.800000000000068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0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338"/>
            <w:tcBorders>
              <w:start w:sz="4.800000000000182" w:val="single" w:color="#DDDDDD"/>
              <w:top w:sz="4.800000000000068" w:val="single" w:color="#DDDDDD"/>
              <w:end w:sz="4.799999999999727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0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228"/>
            <w:tcBorders>
              <w:start w:sz="4.799999999999727" w:val="single" w:color="#DDDDDD"/>
              <w:top w:sz="4.800000000000068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0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820"/>
            <w:tcBorders>
              <w:start w:sz="4.800000000000182" w:val="single" w:color="#DDDDDD"/>
              <w:top w:sz="4.800000000000068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Partial</w:t>
            </w:r>
          </w:p>
        </w:tc>
        <w:tc>
          <w:tcPr>
            <w:tcW w:type="dxa" w:w="1228"/>
            <w:tcBorders>
              <w:start w:sz="4.800000000000182" w:val="single" w:color="#DDDDDD"/>
              <w:top w:sz="4.800000000000068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0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</w:tr>
      <w:tr>
        <w:trPr>
          <w:trHeight w:hRule="exact" w:val="662"/>
        </w:trPr>
        <w:tc>
          <w:tcPr>
            <w:tcW w:type="dxa" w:w="2456"/>
            <w:tcBorders>
              <w:start w:sz="4.0" w:val="single" w:color="#DDDDDD"/>
              <w:top w:sz="4.7999999999999545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100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Real-time SLA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enforcement</w:t>
            </w:r>
          </w:p>
        </w:tc>
        <w:tc>
          <w:tcPr>
            <w:tcW w:type="dxa" w:w="1036"/>
            <w:tcBorders>
              <w:start w:sz="4.7999999999999545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Partial</w:t>
            </w:r>
          </w:p>
        </w:tc>
        <w:tc>
          <w:tcPr>
            <w:tcW w:type="dxa" w:w="904"/>
            <w:tcBorders>
              <w:start w:sz="4.800000000000182" w:val="single" w:color="#DDDDDD"/>
              <w:top w:sz="4.7999999999999545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880"/>
            <w:tcBorders>
              <w:start w:sz="4.7999999999999545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156"/>
            <w:tcBorders>
              <w:start w:sz="4.800000000000182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338"/>
            <w:tcBorders>
              <w:start w:sz="4.800000000000182" w:val="single" w:color="#DDDDDD"/>
              <w:top w:sz="4.7999999999999545" w:val="single" w:color="#DDDDDD"/>
              <w:end w:sz="4.799999999999727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228"/>
            <w:tcBorders>
              <w:start w:sz="4.799999999999727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820"/>
            <w:tcBorders>
              <w:start w:sz="4.800000000000182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228"/>
            <w:tcBorders>
              <w:start w:sz="4.800000000000182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</w:tr>
      <w:tr>
        <w:trPr>
          <w:trHeight w:hRule="exact" w:val="662"/>
        </w:trPr>
        <w:tc>
          <w:tcPr>
            <w:tcW w:type="dxa" w:w="2456"/>
            <w:tcBorders>
              <w:start w:sz="4.0" w:val="single" w:color="#DDDDDD"/>
              <w:top w:sz="4.7999999999999545" w:val="single" w:color="#DDDDDD"/>
              <w:end w:sz="4.7999999999999545" w:val="single" w:color="#DDDDDD"/>
              <w:bottom w:sz="4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NFR policy enforcement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(PII, sovereignty)</w:t>
            </w:r>
          </w:p>
        </w:tc>
        <w:tc>
          <w:tcPr>
            <w:tcW w:type="dxa" w:w="1036"/>
            <w:tcBorders>
              <w:start w:sz="4.7999999999999545" w:val="single" w:color="#DDDDDD"/>
              <w:top w:sz="4.7999999999999545" w:val="single" w:color="#DDDDDD"/>
              <w:end w:sz="4.800000000000182" w:val="single" w:color="#DDDDDD"/>
              <w:bottom w:sz="4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Partial</w:t>
            </w:r>
          </w:p>
        </w:tc>
        <w:tc>
          <w:tcPr>
            <w:tcW w:type="dxa" w:w="904"/>
            <w:tcBorders>
              <w:start w:sz="4.800000000000182" w:val="single" w:color="#DDDDDD"/>
              <w:top w:sz="4.7999999999999545" w:val="single" w:color="#DDDDDD"/>
              <w:end w:sz="4.7999999999999545" w:val="single" w:color="#DDDDDD"/>
              <w:bottom w:sz="4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880"/>
            <w:tcBorders>
              <w:start w:sz="4.7999999999999545" w:val="single" w:color="#DDDDDD"/>
              <w:top w:sz="4.7999999999999545" w:val="single" w:color="#DDDDDD"/>
              <w:end w:sz="4.800000000000182" w:val="single" w:color="#DDDDDD"/>
              <w:bottom w:sz="4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156"/>
            <w:tcBorders>
              <w:start w:sz="4.800000000000182" w:val="single" w:color="#DDDDDD"/>
              <w:top w:sz="4.7999999999999545" w:val="single" w:color="#DDDDDD"/>
              <w:end w:sz="4.800000000000182" w:val="single" w:color="#DDDDDD"/>
              <w:bottom w:sz="4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338"/>
            <w:tcBorders>
              <w:start w:sz="4.800000000000182" w:val="single" w:color="#DDDDDD"/>
              <w:top w:sz="4.7999999999999545" w:val="single" w:color="#DDDDDD"/>
              <w:end w:sz="4.799999999999727" w:val="single" w:color="#DDDDDD"/>
              <w:bottom w:sz="4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228"/>
            <w:tcBorders>
              <w:start w:sz="4.799999999999727" w:val="single" w:color="#DDDDDD"/>
              <w:top w:sz="4.7999999999999545" w:val="single" w:color="#DDDDDD"/>
              <w:end w:sz="4.800000000000182" w:val="single" w:color="#DDDDDD"/>
              <w:bottom w:sz="4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Audit only</w:t>
            </w:r>
          </w:p>
        </w:tc>
        <w:tc>
          <w:tcPr>
            <w:tcW w:type="dxa" w:w="820"/>
            <w:tcBorders>
              <w:start w:sz="4.800000000000182" w:val="single" w:color="#DDDDDD"/>
              <w:top w:sz="4.7999999999999545" w:val="single" w:color="#DDDDDD"/>
              <w:end w:sz="4.800000000000182" w:val="single" w:color="#DDDDDD"/>
              <w:bottom w:sz="4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228"/>
            <w:tcBorders>
              <w:start w:sz="4.800000000000182" w:val="single" w:color="#DDDDDD"/>
              <w:top w:sz="4.7999999999999545" w:val="single" w:color="#DDDDDD"/>
              <w:end w:sz="4.800000000000182" w:val="single" w:color="#DDDDDD"/>
              <w:bottom w:sz="4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</w:tr>
      <w:tr>
        <w:trPr>
          <w:trHeight w:hRule="exact" w:val="664"/>
        </w:trPr>
        <w:tc>
          <w:tcPr>
            <w:tcW w:type="dxa" w:w="2456"/>
            <w:tcBorders>
              <w:start w:sz="4.0" w:val="single" w:color="#DDDDDD"/>
              <w:top w:sz="4.0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Unified observability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(cost+carbon+SLA+quality)</w:t>
            </w:r>
          </w:p>
        </w:tc>
        <w:tc>
          <w:tcPr>
            <w:tcW w:type="dxa" w:w="1036"/>
            <w:tcBorders>
              <w:start w:sz="4.7999999999999545" w:val="single" w:color="#DDDDDD"/>
              <w:top w:sz="4.0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904"/>
            <w:tcBorders>
              <w:start w:sz="4.800000000000182" w:val="single" w:color="#DDDDDD"/>
              <w:top w:sz="4.0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880"/>
            <w:tcBorders>
              <w:start w:sz="4.7999999999999545" w:val="single" w:color="#DDDDDD"/>
              <w:top w:sz="4.0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156"/>
            <w:tcBorders>
              <w:start w:sz="4.800000000000182" w:val="single" w:color="#DDDDDD"/>
              <w:top w:sz="4.0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338"/>
            <w:tcBorders>
              <w:start w:sz="4.800000000000182" w:val="single" w:color="#DDDDDD"/>
              <w:top w:sz="4.0" w:val="single" w:color="#DDDDDD"/>
              <w:end w:sz="4.799999999999727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228"/>
            <w:tcBorders>
              <w:start w:sz="4.799999999999727" w:val="single" w:color="#DDDDDD"/>
              <w:top w:sz="4.0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820"/>
            <w:tcBorders>
              <w:start w:sz="4.800000000000182" w:val="single" w:color="#DDDDDD"/>
              <w:top w:sz="4.0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  <w:tc>
          <w:tcPr>
            <w:tcW w:type="dxa" w:w="1228"/>
            <w:tcBorders>
              <w:start w:sz="4.800000000000182" w:val="single" w:color="#DDDDDD"/>
              <w:top w:sz="4.0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5" w:lineRule="auto" w:before="192" w:after="0"/>
              <w:ind w:left="96" w:right="0" w:firstLine="0"/>
              <w:jc w:val="left"/>
            </w:pPr>
            <w:r>
              <w:rPr>
                <w:w w:val="101.44764749627365"/>
                <w:rFonts w:ascii="Arial Unicode MS" w:hAnsi="Arial Unicode MS" w:eastAsia="Arial Unicode MS"/>
                <w:b w:val="0"/>
                <w:i w:val="0"/>
                <w:color w:val="000000"/>
                <w:sz w:val="19"/>
              </w:rPr>
              <w:t>✗</w:t>
            </w:r>
          </w:p>
        </w:tc>
      </w:tr>
    </w:tbl>
    <w:p>
      <w:pPr>
        <w:autoSpaceDN w:val="0"/>
        <w:autoSpaceDE w:val="0"/>
        <w:widowControl/>
        <w:spacing w:line="269" w:lineRule="auto" w:before="228" w:after="0"/>
        <w:ind w:left="240" w:right="288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The core gap: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No current approach unifies token-level cost optimization, SLM-first intelligent routing with fine-tuning and prompt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uplift, dynamic multi-provider model selection, dual-layer guardrails with escalation feedback, real-time ESG computation, and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SLA/NFR observability into a single mediation layer that sits in the inference path. Guardrail tools exist but operate as standalone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systems disconnected from routing decisions. Multi-provider gateways exist but lack task-fit scoring and compliance-constrained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selection. Each approach solves one or two dimensions; the compounding value comes from solving all six simultaneously.</w:t>
      </w:r>
    </w:p>
    <w:p>
      <w:pPr>
        <w:autoSpaceDN w:val="0"/>
        <w:autoSpaceDE w:val="0"/>
        <w:widowControl/>
        <w:spacing w:line="240" w:lineRule="auto" w:before="21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3937000</wp:posOffset>
            </wp:positionV>
            <wp:extent cx="6870700" cy="254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4" w:lineRule="auto" w:before="350" w:after="0"/>
        <w:ind w:left="240" w:right="0" w:firstLine="0"/>
        <w:jc w:val="left"/>
      </w:pPr>
      <w:r>
        <w:rPr>
          <w:rFonts w:ascii="Barlow" w:hAnsi="Barlow" w:eastAsia="Barlow"/>
          <w:b/>
          <w:i w:val="0"/>
          <w:color w:val="34495E"/>
          <w:sz w:val="35"/>
        </w:rPr>
        <w:t>5. Proposed Approach: The Intelligent LLM Mediation Layer</w:t>
      </w:r>
    </w:p>
    <w:p>
      <w:pPr>
        <w:autoSpaceDN w:val="0"/>
        <w:autoSpaceDE w:val="0"/>
        <w:widowControl/>
        <w:spacing w:line="262" w:lineRule="auto" w:before="412" w:after="0"/>
        <w:ind w:left="240" w:right="432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We propose a five-pillar architecture that combines token-level economics, SLM-first routing with dynamic multi-provider model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selection, runtime guardrails and response evaluation, ESG computation, and observability into a unified control plane. This is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architecturally analogous to the cloud-era control plane (Kubernetes + service mesh + FinOps + observability) — applying cloud's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hard-won governance lessons to the AI inference path.</w:t>
      </w:r>
    </w:p>
    <w:p>
      <w:pPr>
        <w:autoSpaceDN w:val="0"/>
        <w:autoSpaceDE w:val="0"/>
        <w:widowControl/>
        <w:spacing w:line="211" w:lineRule="auto" w:before="354" w:after="0"/>
        <w:ind w:left="240" w:right="0" w:firstLine="0"/>
        <w:jc w:val="left"/>
      </w:pPr>
      <w:r>
        <w:rPr>
          <w:rFonts w:ascii="Barlow" w:hAnsi="Barlow" w:eastAsia="Barlow"/>
          <w:b/>
          <w:i w:val="0"/>
          <w:color w:val="455A64"/>
          <w:sz w:val="27"/>
        </w:rPr>
        <w:t>5.1 Architecture Overview</w:t>
      </w:r>
    </w:p>
    <w:p>
      <w:pPr>
        <w:autoSpaceDN w:val="0"/>
        <w:tabs>
          <w:tab w:pos="1282" w:val="left"/>
          <w:tab w:pos="2554" w:val="left"/>
          <w:tab w:pos="2786" w:val="left"/>
          <w:tab w:pos="3942" w:val="left"/>
        </w:tabs>
        <w:autoSpaceDE w:val="0"/>
        <w:widowControl/>
        <w:spacing w:line="326" w:lineRule="auto" w:before="364" w:after="0"/>
        <w:ind w:left="240" w:right="2736" w:firstLine="0"/>
        <w:jc w:val="left"/>
      </w:pPr>
      <w:r>
        <w:tab/>
      </w:r>
      <w:r>
        <w:tab/>
      </w:r>
      <w:r>
        <w:tab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┌─────────────────────────────────────────────┐</w:t>
        <w:br/>
      </w:r>
      <w:r>
        <w:tab/>
      </w:r>
      <w:r>
        <w:tab/>
      </w:r>
      <w:r>
        <w:tab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     INTELLIGENT MEDIATION LAYER           │</w:t>
        <w:br/>
      </w:r>
      <w:r>
        <w:tab/>
      </w:r>
      <w:r>
        <w:tab/>
      </w:r>
      <w:r>
        <w:tab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                                          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>┌──────┐  ┌────────────▼───────────┐    ┌──────────────────────────┐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>│      │  │   INGRESS GATEWAY      │    │    TOKEN METERING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>│ App  │─</w:t>
      </w:r>
      <w:r>
        <w:rPr>
          <w:w w:val="101.44764749627365"/>
          <w:rFonts w:ascii="Arial Unicode MS" w:hAnsi="Arial Unicode MS" w:eastAsia="Arial Unicode MS"/>
          <w:b w:val="0"/>
          <w:i w:val="0"/>
          <w:color w:val="000000"/>
          <w:sz w:val="19"/>
        </w:rPr>
        <w:t>▶</w:t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>│  • Auth / RBAC         │───</w:t>
      </w:r>
      <w:r>
        <w:rPr>
          <w:w w:val="101.44764749627365"/>
          <w:rFonts w:ascii="Arial Unicode MS" w:hAnsi="Arial Unicode MS" w:eastAsia="Arial Unicode MS"/>
          <w:b w:val="0"/>
          <w:i w:val="0"/>
          <w:color w:val="000000"/>
          <w:sz w:val="19"/>
        </w:rPr>
        <w:t>▶</w:t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>│    • Input tokens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>│ Layer│  │  • PII Sanitization    │    │    • Cost estimate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>│      │  │  • Data Sovereignty    │    │    • Budget check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>└──────┘  └──────────┬─────────────┘    └───────────┬──────────────┘ │</w:t>
        <w:br/>
      </w:r>
      <w:r>
        <w:tab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                            │               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┌──────────▼──────────────────────────────▼──────────────┐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            INPUT GUARDRAILS                  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• Prompt injection detection                 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• Topic boundary enforcement                 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• Sensitive data masking                      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• Jailbreak pattern filtering                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• Schema &amp; format validation                 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└──────────────────────┬─────────────────────────────────┘ │</w:t>
        <w:br/>
      </w:r>
      <w:r>
        <w:tab/>
      </w:r>
      <w:r>
        <w:tab/>
      </w:r>
      <w:r>
        <w:tab/>
      </w:r>
      <w:r>
        <w:tab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                                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┌──────────────────────▼─────────────────────────────────┐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            SEMANTIC CACHE LAYER              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• Exact hash match → instant response                 │ │</w:t>
        <w:br/>
      </w:r>
    </w:p>
    <w:p>
      <w:pPr>
        <w:sectPr>
          <w:pgSz w:w="11899" w:h="16838"/>
          <w:pgMar w:top="0" w:right="280" w:bottom="0" w:left="300" w:header="720" w:footer="720" w:gutter="0"/>
          <w:cols/>
          <w:docGrid w:linePitch="360"/>
        </w:sectPr>
      </w:pPr>
    </w:p>
    <w:p>
      <w:pPr>
        <w:autoSpaceDN w:val="0"/>
        <w:tabs>
          <w:tab w:pos="1282" w:val="left"/>
          <w:tab w:pos="1514" w:val="left"/>
          <w:tab w:pos="1860" w:val="left"/>
          <w:tab w:pos="3942" w:val="left"/>
        </w:tabs>
        <w:autoSpaceDE w:val="0"/>
        <w:widowControl/>
        <w:spacing w:line="336" w:lineRule="auto" w:before="332" w:after="0"/>
        <w:ind w:left="704" w:right="2736" w:firstLine="0"/>
        <w:jc w:val="left"/>
      </w:pP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• Embedding similarity → cached response      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• Cache miss → proceed to classifier          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└──────────────────────┬─────────────────────────────────┘ │</w:t>
        <w:br/>
      </w:r>
      <w:r>
        <w:tab/>
      </w:r>
      <w:r>
        <w:tab/>
      </w:r>
      <w:r>
        <w:tab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                                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┌──────────────────────▼─────────────────────────────────┐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          COMPLEXITY CLASSIFIER               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• Task-type detection (classify/extract/summarize/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  reason/generate/multimodal)                 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• Topic matching (FAQ, domain, open-ended)    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• Confidence scoring                          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• Context length &amp; modality assessment        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• Provider capability matching                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└────┬─────────────────┬──────────────────┬──────────────┘ │</w:t>
        <w:br/>
      </w:r>
      <w:r>
        <w:tab/>
      </w:r>
      <w:r>
        <w:tab/>
      </w:r>
      <w:r>
        <w:tab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               │                  │               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┌─────────▼─────┐ ┌────────▼────────┐ ┌───────▼─────────┐    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SLM ROUTING   │ │ DYNAMIC MULTI-  │ │ FRONTIER LLM    │    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ENGINE        │ │ PROVIDER ENGINE │ │ ESCALATION      │    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             │ │                 │ │                  │    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│• Fine-tuned   │ │• GPT (OpenAI/   │ │• Complex         │    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domain SLMs  │ │  Azure)         │ │  reasoning       │    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│• Prompt uplift│ │• Claude         │ │• Multi-step      │    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&amp; adaptation │ │  (Anthropic)    │ │  agentic tasks   │    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│• Self-hosted  │ │• Gemini (Google)│ │• Confidence-     │    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/ edge       │ │• DeepSeek (self-│ │  based fallback  │    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│• Phi/Mistral/ │ │  hosted)        │ │  from SLM/mid-   │    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Llama        │ │• Mistral API    │ │  tier failures   │    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             │ │• Bedrock/Vertex │ │                  │    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             │ │                 │ │                  │    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             │ │• Task-fit score │ │                  │    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             │ │• Cost-optimized │ │                  │    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             │ │• Latency-aware  │ │                  │    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             │ │• Compliance-    │ │                  │    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             │ │  constrained    │ │                  │    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└──────┬────────┘ └───────┬─────────┘ └───────┬──────────┘     │</w:t>
        <w:br/>
      </w:r>
      <w:r>
        <w:tab/>
      </w:r>
      <w:r>
        <w:tab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                │                    │               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┌─▼──────────────────▼────────────────────▼──────────────┐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          OUTPUT GUARDRAILS &amp; EVALUATION      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• Hallucination detection (fact-check vs. reference)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• Confidence scoring (threshold-based escalation)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• Toxicity &amp; bias filtering                  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• Schema/format compliance validation        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• Domain boundary enforcement                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• Quality scoring (relevance, coherence, accuracy)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• Re-route trigger: if score &lt; threshold → escalate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  to higher-tier model or alternate provider  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└──────────────────────┬─────────────────────────────────┘ │</w:t>
        <w:br/>
      </w:r>
      <w:r>
        <w:tab/>
      </w:r>
      <w:r>
        <w:tab/>
      </w:r>
      <w:r>
        <w:tab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                                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┌──────────────────────▼─────────────────────────────────┐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          EGRESS PROCESSING                   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• Output token metering                       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• Carbon computation (tokens × FLOPs × energy × grid)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• SLA measurement (latency, throughput)                │ │</w:t>
        <w:br/>
      </w:r>
    </w:p>
    <w:p>
      <w:pPr>
        <w:sectPr>
          <w:pgSz w:w="11899" w:h="16838"/>
          <w:pgMar w:top="0" w:right="280" w:bottom="0" w:left="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</w:p>
    <w:p>
      <w:pPr>
        <w:autoSpaceDN w:val="0"/>
        <w:tabs>
          <w:tab w:pos="2546" w:val="left"/>
          <w:tab w:pos="3702" w:val="left"/>
        </w:tabs>
        <w:autoSpaceDE w:val="0"/>
        <w:widowControl/>
        <w:spacing w:line="334" w:lineRule="auto" w:before="0" w:after="0"/>
        <w:ind w:left="1042" w:right="2448" w:firstLine="0"/>
        <w:jc w:val="left"/>
      </w:pP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• Compliance audit record generation          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• Provider performance logging                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└──────────────────────┬─────────────────────────────────┘ │</w:t>
        <w:br/>
      </w:r>
      <w:r>
        <w:tab/>
      </w:r>
      <w:r>
        <w:tab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                                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┌──────────────────────▼─────────────────────────────────┐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          OBSERVABILITY &amp; REPORTING           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• Real-time dashboards (cost/carbon/SLA/quality)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• FinOps attribution (dept/team/app/user)     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• ESG reporting (Scope 3, GRI, TCFD, CDP)     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• NFR compliance (GDPR, HIPAA, EU AI Act)     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• Guardrail metrics (block rate, escalation rate,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  hallucination rate, quality trend)           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• Provider performance comparison             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• Alerting &amp; circuit breakers                         │ │</w:t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└────────────────────────────────────────────────────────┘ │</w:t>
        <w:br/>
      </w:r>
      <w:r>
        <w:tab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└─────────────────────────────────────────────┘</w:t>
        <w:br/>
      </w:r>
    </w:p>
    <w:p>
      <w:pPr>
        <w:autoSpaceDN w:val="0"/>
        <w:autoSpaceDE w:val="0"/>
        <w:widowControl/>
        <w:spacing w:line="211" w:lineRule="auto" w:before="372" w:after="0"/>
        <w:ind w:left="0" w:right="0" w:firstLine="0"/>
        <w:jc w:val="left"/>
      </w:pPr>
      <w:r>
        <w:rPr>
          <w:rFonts w:ascii="Barlow" w:hAnsi="Barlow" w:eastAsia="Barlow"/>
          <w:b/>
          <w:i w:val="0"/>
          <w:color w:val="455A64"/>
          <w:sz w:val="27"/>
        </w:rPr>
        <w:t>5.2 Pillar 1: Token Optimization (Ingress &amp; Egress Economics)</w:t>
      </w:r>
    </w:p>
    <w:p>
      <w:pPr>
        <w:autoSpaceDN w:val="0"/>
        <w:autoSpaceDE w:val="0"/>
        <w:widowControl/>
        <w:spacing w:line="250" w:lineRule="auto" w:before="368" w:after="0"/>
        <w:ind w:left="0" w:right="144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Every request is metered at both ingress (input tokens, system prompt, context, user query) and egress (output tokens, tool calls,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citations). This creates a complete unit-economic picture per inference:</w:t>
      </w:r>
    </w:p>
    <w:p>
      <w:pPr>
        <w:autoSpaceDN w:val="0"/>
        <w:autoSpaceDE w:val="0"/>
        <w:widowControl/>
        <w:spacing w:line="211" w:lineRule="auto" w:before="262" w:after="0"/>
        <w:ind w:left="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Ingress optimization: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274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4864100</wp:posOffset>
            </wp:positionV>
            <wp:extent cx="50800" cy="38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Prompt compression (LLMLingua-class techniques for 20–70% input reduction)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70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5054600</wp:posOffset>
            </wp:positionV>
            <wp:extent cx="50800" cy="508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Context pruning (semantic chunking to eliminate irrelevant RAG content)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82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5245100</wp:posOffset>
            </wp:positionV>
            <wp:extent cx="50800" cy="508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System prompt caching (reuse static instructions rather than re-tokenizing per request)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82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5448300</wp:posOffset>
            </wp:positionV>
            <wp:extent cx="50800" cy="508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Agent context management (mask irrelevant tool outputs; prune inter-agent history)</w:t>
      </w:r>
    </w:p>
    <w:p>
      <w:pPr>
        <w:autoSpaceDN w:val="0"/>
        <w:autoSpaceDE w:val="0"/>
        <w:widowControl/>
        <w:spacing w:line="211" w:lineRule="auto" w:before="262" w:after="0"/>
        <w:ind w:left="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Egress optimization: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274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6083300</wp:posOffset>
            </wp:positionV>
            <wp:extent cx="50800" cy="508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Output length caps (configurable max tokens per task type)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68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6273800</wp:posOffset>
            </wp:positionV>
            <wp:extent cx="50800" cy="508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Structured output enforcement (JSON schemas, constrained generation)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82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6477000</wp:posOffset>
            </wp:positionV>
            <wp:extent cx="50800" cy="508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Retry deduplication (detect and absorb duplicate retry attempts)</w:t>
      </w:r>
    </w:p>
    <w:p>
      <w:pPr>
        <w:autoSpaceDN w:val="0"/>
        <w:autoSpaceDE w:val="0"/>
        <w:widowControl/>
        <w:spacing w:line="211" w:lineRule="auto" w:before="274" w:after="0"/>
        <w:ind w:left="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Budget enforcement: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262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7112000</wp:posOffset>
            </wp:positionV>
            <wp:extent cx="50800" cy="508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Hierarchical budgets: enterprise </w:t>
      </w:r>
      <w:r>
        <w:rPr>
          <w:w w:val="101.44764749627365"/>
          <w:rFonts w:ascii="Arial" w:hAnsi="Arial" w:eastAsia="Arial"/>
          <w:b w:val="0"/>
          <w:i w:val="0"/>
          <w:color w:val="000000"/>
          <w:sz w:val="19"/>
        </w:rPr>
        <w:t>→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department </w:t>
      </w:r>
      <w:r>
        <w:rPr>
          <w:w w:val="101.44764749627365"/>
          <w:rFonts w:ascii="Arial" w:hAnsi="Arial" w:eastAsia="Arial"/>
          <w:b w:val="0"/>
          <w:i w:val="0"/>
          <w:color w:val="000000"/>
          <w:sz w:val="19"/>
        </w:rPr>
        <w:t>→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team </w:t>
      </w:r>
      <w:r>
        <w:rPr>
          <w:w w:val="101.44764749627365"/>
          <w:rFonts w:ascii="Arial" w:hAnsi="Arial" w:eastAsia="Arial"/>
          <w:b w:val="0"/>
          <w:i w:val="0"/>
          <w:color w:val="000000"/>
          <w:sz w:val="19"/>
        </w:rPr>
        <w:t>→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application </w:t>
      </w:r>
      <w:r>
        <w:rPr>
          <w:w w:val="101.44764749627365"/>
          <w:rFonts w:ascii="Arial" w:hAnsi="Arial" w:eastAsia="Arial"/>
          <w:b w:val="0"/>
          <w:i w:val="0"/>
          <w:color w:val="000000"/>
          <w:sz w:val="19"/>
        </w:rPr>
        <w:t>→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user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80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7302500</wp:posOffset>
            </wp:positionV>
            <wp:extent cx="50800" cy="508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Configurable thresholds: 50% (notify), 75% (alert finance), 90% (soft circuit breaker — force cheaper model), 100% (hard stop)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70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7493000</wp:posOffset>
            </wp:positionV>
            <wp:extent cx="50800" cy="508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Real-time cost attribution across every dimension, reconciled monthly against provider invoices</w:t>
      </w:r>
    </w:p>
    <w:p>
      <w:pPr>
        <w:autoSpaceDN w:val="0"/>
        <w:autoSpaceDE w:val="0"/>
        <w:widowControl/>
        <w:spacing w:line="250" w:lineRule="auto" w:before="274" w:after="0"/>
        <w:ind w:left="0" w:right="144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Target metric: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Complete token-level visibility across 100% of governed inference traffic, with real-time cost attribution within 5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seconds of each request.</w:t>
      </w:r>
    </w:p>
    <w:p>
      <w:pPr>
        <w:autoSpaceDN w:val="0"/>
        <w:autoSpaceDE w:val="0"/>
        <w:widowControl/>
        <w:spacing w:line="211" w:lineRule="auto" w:before="356" w:after="0"/>
        <w:ind w:left="0" w:right="0" w:firstLine="0"/>
        <w:jc w:val="left"/>
      </w:pPr>
      <w:r>
        <w:rPr>
          <w:rFonts w:ascii="Barlow" w:hAnsi="Barlow" w:eastAsia="Barlow"/>
          <w:b/>
          <w:i w:val="0"/>
          <w:color w:val="455A64"/>
          <w:sz w:val="27"/>
        </w:rPr>
        <w:t>5.3 Pillar 2: SLM-First Routing with Fine-Tuning and Prompt Uplift</w:t>
      </w:r>
    </w:p>
    <w:p>
      <w:pPr>
        <w:autoSpaceDN w:val="0"/>
        <w:autoSpaceDE w:val="0"/>
        <w:widowControl/>
        <w:spacing w:line="257" w:lineRule="auto" w:before="368" w:after="0"/>
        <w:ind w:left="0" w:right="0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This is the architectural differentiator. Rather than treating model routing as a simple cost-tier selection among external APIs, the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mediation layer integrates </w:t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enterprise-fine-tuned SLMs as first-class routing targets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— and includes a prompt uplift pipeline to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adapt queries for optimal SLM performance.</w:t>
      </w:r>
    </w:p>
    <w:p>
      <w:pPr>
        <w:autoSpaceDN w:val="0"/>
        <w:autoSpaceDE w:val="0"/>
        <w:widowControl/>
        <w:spacing w:line="211" w:lineRule="auto" w:before="274" w:after="0"/>
        <w:ind w:left="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The routing logic:</w:t>
      </w:r>
    </w:p>
    <w:p>
      <w:pPr>
        <w:autoSpaceDN w:val="0"/>
        <w:tabs>
          <w:tab w:pos="482" w:val="left"/>
        </w:tabs>
        <w:autoSpaceDE w:val="0"/>
        <w:widowControl/>
        <w:spacing w:line="250" w:lineRule="auto" w:before="262" w:after="0"/>
        <w:ind w:left="290" w:right="144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1. </w:t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Classify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— A lightweight classifier (itself an SLM or rule engine) scores each request across dimensions: task type, domain 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match, complexity level, required context length, and confidence threshold</w:t>
      </w:r>
    </w:p>
    <w:p>
      <w:pPr>
        <w:sectPr>
          <w:pgSz w:w="11899" w:h="16838"/>
          <w:pgMar w:top="166" w:right="550" w:bottom="438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</w:p>
    <w:p>
      <w:pPr>
        <w:autoSpaceDN w:val="0"/>
        <w:tabs>
          <w:tab w:pos="482" w:val="left"/>
        </w:tabs>
        <w:autoSpaceDE w:val="0"/>
        <w:widowControl/>
        <w:spacing w:line="266" w:lineRule="auto" w:before="0" w:after="0"/>
        <w:ind w:left="290" w:right="288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2. </w:t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Match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— For frequently accessed topics and well-defined domains, check whether a fine-tuned SLM exists with 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demonstrated accuracy above threshold </w:t>
      </w:r>
      <w:r>
        <w:br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3. </w:t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Uplift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— If routing to an SLM, transform the prompt: simplify system instructions, restructure for the SLM's fine-tuned 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format, inject domain-specific framing, and compress context to fit the SLM's context window (typically 4K–8K tokens vs.</w:t>
      </w:r>
    </w:p>
    <w:p>
      <w:pPr>
        <w:autoSpaceDN w:val="0"/>
        <w:tabs>
          <w:tab w:pos="482" w:val="left"/>
        </w:tabs>
        <w:autoSpaceDE w:val="0"/>
        <w:widowControl/>
        <w:spacing w:line="266" w:lineRule="auto" w:before="68" w:after="0"/>
        <w:ind w:left="290" w:right="288" w:firstLine="0"/>
        <w:jc w:val="left"/>
      </w:pP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100K+ for frontier models) </w:t>
      </w:r>
      <w:r>
        <w:br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4. </w:t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Route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— Send to the matched SLM; if no SLM match or confidence is below threshold, escalate to mid-tier LLM or frontier 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model </w:t>
      </w:r>
      <w:r>
        <w:br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5. </w:t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Validate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— Score output quality; if below threshold, re-route to a higher-tier model (confidence-based cascading)</w:t>
      </w:r>
    </w:p>
    <w:p>
      <w:pPr>
        <w:autoSpaceDN w:val="0"/>
        <w:autoSpaceDE w:val="0"/>
        <w:widowControl/>
        <w:spacing w:line="266" w:lineRule="auto" w:before="274" w:after="0"/>
        <w:ind w:left="0" w:right="144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Why prompt uplift matters: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SLMs fine-tuned on enterprise data are domain experts but narrower generalists. A prompt designed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for GPT-4 — verbose, open-ended, with extensive system instructions — will often perform poorly on a 7B model. Prompt uplift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adapts the request: stripping unnecessary verbosity, restructuring into the SLM's trained format, and framing the task within the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domain the SLM was fine-tuned for. This is analogous to preparing a brief for a domain specialist rather than sending the same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memo you'd give a generalist.</w:t>
      </w:r>
    </w:p>
    <w:p>
      <w:pPr>
        <w:autoSpaceDN w:val="0"/>
        <w:autoSpaceDE w:val="0"/>
        <w:widowControl/>
        <w:spacing w:line="211" w:lineRule="auto" w:before="276" w:after="0"/>
        <w:ind w:left="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SLM fine-tuning pipeline (integrated into the mediation layer):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264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3378200</wp:posOffset>
            </wp:positionV>
            <wp:extent cx="50800" cy="508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Continuous collection of production queries and validated responses (with quality scoring)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82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3581400</wp:posOffset>
            </wp:positionV>
            <wp:extent cx="50800" cy="508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Periodic fine-tuning cycles (LoRA/QLoRA — updating ~1% of parameters, training in hours not days)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82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3784600</wp:posOffset>
            </wp:positionV>
            <wp:extent cx="50800" cy="508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A/B evaluation against current SLM and frontier model baselines on held-out production data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70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3975100</wp:posOffset>
            </wp:positionV>
            <wp:extent cx="50800" cy="508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Automated promotion: if new SLM version outperforms, swap into routing table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82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4165600</wp:posOffset>
            </wp:positionV>
            <wp:extent cx="50800" cy="508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Shadow mode: new SLMs run in parallel with existing routing, comparing outputs before switching live traffic</w:t>
      </w:r>
    </w:p>
    <w:p>
      <w:pPr>
        <w:autoSpaceDN w:val="0"/>
        <w:autoSpaceDE w:val="0"/>
        <w:widowControl/>
        <w:spacing w:line="211" w:lineRule="auto" w:before="262" w:after="0"/>
        <w:ind w:left="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Expected economics: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274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4800600</wp:posOffset>
            </wp:positionV>
            <wp:extent cx="50800" cy="508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70–80% of enterprise queries are SLM-eligible (classification, FAQ, extraction, summarization, domain-specific Q&amp;A)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70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4991100</wp:posOffset>
            </wp:positionV>
            <wp:extent cx="50800" cy="508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SLM inference is 10–30× cheaper per token than frontier models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82" w:after="0"/>
        <w:ind w:left="260" w:right="288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5194300</wp:posOffset>
            </wp:positionV>
            <wp:extent cx="50800" cy="508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Fine-tuned SLMs match or exceed frontier accuracy on domain-specific tasks (LoRA Land: 25/31 tasks; 10-point average 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improvement)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70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5588000</wp:posOffset>
            </wp:positionV>
            <wp:extent cx="50800" cy="508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Projected aggregate cost reduction: </w:t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60–85%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across mixed enterprise workloads (vs. frontier-default baseline)</w:t>
      </w:r>
    </w:p>
    <w:p>
      <w:pPr>
        <w:autoSpaceDN w:val="0"/>
        <w:autoSpaceDE w:val="0"/>
        <w:widowControl/>
        <w:spacing w:line="211" w:lineRule="auto" w:before="354" w:after="0"/>
        <w:ind w:left="0" w:right="0" w:firstLine="0"/>
        <w:jc w:val="left"/>
      </w:pPr>
      <w:r>
        <w:rPr>
          <w:rFonts w:ascii="Barlow" w:hAnsi="Barlow" w:eastAsia="Barlow"/>
          <w:b/>
          <w:i w:val="0"/>
          <w:color w:val="455A64"/>
          <w:sz w:val="27"/>
        </w:rPr>
        <w:t>5.4 Pillar 3: Dynamic Multi-Provider Model Selection</w:t>
      </w:r>
    </w:p>
    <w:p>
      <w:pPr>
        <w:autoSpaceDN w:val="0"/>
        <w:autoSpaceDE w:val="0"/>
        <w:widowControl/>
        <w:spacing w:line="250" w:lineRule="auto" w:before="368" w:after="0"/>
        <w:ind w:left="0" w:right="0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The mediation layer does not default to a single LLM provider. For queries that require LLM-tier capabilities (the 20–30% that SLMs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cannot handle), the layer dynamically selects the optimal provider and model based on a multi-objective scoring function.</w:t>
      </w:r>
    </w:p>
    <w:p>
      <w:pPr>
        <w:autoSpaceDN w:val="0"/>
        <w:autoSpaceDE w:val="0"/>
        <w:widowControl/>
        <w:spacing w:line="271" w:lineRule="auto" w:before="274" w:after="0"/>
        <w:ind w:left="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Why this matters now: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The AI model landscape as of early 2026 is defined by specialization, not dominance. No single model leads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across every task. Claude excels in deep document analysis, coding, and safety-critical applications. GPT leads in abstract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reasoning and broad enterprise integration via Azure. Gemini dominates multimodal workflows and long-context processing (1M+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tokens). DeepSeek and open-source models (Llama 4, Mistral, gpt-oss) offer cost-efficient alternatives for self-hosted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deployments. Five frontier models were announced or released within a single week in February 2026 alone — confirming that the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competitive landscape shifts faster than any static model selection can track.</w:t>
      </w:r>
    </w:p>
    <w:p>
      <w:pPr>
        <w:autoSpaceDN w:val="0"/>
        <w:autoSpaceDE w:val="0"/>
        <w:widowControl/>
        <w:spacing w:line="250" w:lineRule="auto" w:before="262" w:after="0"/>
        <w:ind w:left="0" w:right="432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Organizations are increasingly designing for multi-model flexibility rather than single-provider commitment. This mirrors the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evolution of cloud infrastructure — few enterprises commit to a single cloud provider; most design for portability.</w:t>
      </w:r>
    </w:p>
    <w:p>
      <w:pPr>
        <w:autoSpaceDN w:val="0"/>
        <w:autoSpaceDE w:val="0"/>
        <w:widowControl/>
        <w:spacing w:line="211" w:lineRule="auto" w:before="262" w:after="0"/>
        <w:ind w:left="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The selection logic:</w:t>
      </w:r>
    </w:p>
    <w:p>
      <w:pPr>
        <w:autoSpaceDN w:val="0"/>
        <w:autoSpaceDE w:val="0"/>
        <w:widowControl/>
        <w:spacing w:line="211" w:lineRule="auto" w:before="274" w:after="238"/>
        <w:ind w:left="0" w:right="0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The Dynamic Provider Engine evaluates each LLM-tier request across five dimensions: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419"/>
        <w:gridCol w:w="5419"/>
      </w:tblGrid>
      <w:tr>
        <w:trPr>
          <w:trHeight w:hRule="exact" w:val="434"/>
        </w:trPr>
        <w:tc>
          <w:tcPr>
            <w:tcW w:type="dxa" w:w="1216"/>
            <w:tcBorders>
              <w:start w:sz="4.0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Dimension</w:t>
            </w:r>
          </w:p>
        </w:tc>
        <w:tc>
          <w:tcPr>
            <w:tcW w:type="dxa" w:w="9590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Selection Criteria</w:t>
            </w:r>
          </w:p>
        </w:tc>
      </w:tr>
      <w:tr>
        <w:trPr>
          <w:trHeight w:hRule="exact" w:val="662"/>
        </w:trPr>
        <w:tc>
          <w:tcPr>
            <w:tcW w:type="dxa" w:w="1216"/>
            <w:tcBorders>
              <w:start w:sz="4.0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Task Fit</w:t>
            </w:r>
          </w:p>
        </w:tc>
        <w:tc>
          <w:tcPr>
            <w:tcW w:type="dxa" w:w="9590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Which provider/model has the highest benchmark score for this task type? (e.g., Claude for coding/SWE-bench,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GPT for math/AIME, Gemini for multimodal/long-context)</w:t>
            </w:r>
          </w:p>
        </w:tc>
      </w:tr>
      <w:tr>
        <w:trPr>
          <w:trHeight w:hRule="exact" w:val="680"/>
        </w:trPr>
        <w:tc>
          <w:tcPr>
            <w:tcW w:type="dxa" w:w="1216"/>
            <w:tcBorders>
              <w:start w:sz="4.0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Cost</w:t>
            </w:r>
          </w:p>
        </w:tc>
        <w:tc>
          <w:tcPr>
            <w:tcW w:type="dxa" w:w="9590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What is the per-token cost for each eligible model? Pricing varies dramatically: Grok at $0.20/M input vs. Claude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Opus at $15/M input — a 75× spread. The engine selects the cheapest model that meets quality thresholds</w:t>
            </w:r>
          </w:p>
        </w:tc>
      </w:tr>
      <w:tr>
        <w:trPr>
          <w:trHeight w:hRule="exact" w:val="424"/>
        </w:trPr>
        <w:tc>
          <w:tcPr>
            <w:tcW w:type="dxa" w:w="1216"/>
            <w:tcBorders>
              <w:start w:sz="4.0" w:val="single" w:color="#DDDDDD"/>
              <w:top w:sz="4.800000000000182" w:val="single" w:color="#DDDDDD"/>
              <w:end w:sz="4.7999999999999545" w:val="single" w:color="#DDDDD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90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68" w:right="520" w:bottom="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7.99999999999997" w:type="dxa"/>
      </w:tblPr>
      <w:tblGrid>
        <w:gridCol w:w="5659"/>
        <w:gridCol w:w="5659"/>
      </w:tblGrid>
      <w:tr>
        <w:trPr>
          <w:trHeight w:hRule="exact" w:val="437"/>
        </w:trPr>
        <w:tc>
          <w:tcPr>
            <w:tcW w:type="dxa" w:w="1216"/>
            <w:tcBorders>
              <w:start w:sz="4.0" w:val="single" w:color="#DDDDDD"/>
              <w:top w:sz="4.799999999999997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Dimension</w:t>
            </w:r>
          </w:p>
        </w:tc>
        <w:tc>
          <w:tcPr>
            <w:tcW w:type="dxa" w:w="9590"/>
            <w:tcBorders>
              <w:start w:sz="4.7999999999999545" w:val="single" w:color="#DDDDDD"/>
              <w:top w:sz="4.799999999999997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Selection Criteria</w:t>
            </w:r>
          </w:p>
        </w:tc>
      </w:tr>
      <w:tr>
        <w:trPr>
          <w:trHeight w:hRule="exact" w:val="671"/>
        </w:trPr>
        <w:tc>
          <w:tcPr>
            <w:tcW w:type="dxa" w:w="1216"/>
            <w:tcBorders>
              <w:start w:sz="4.0" w:val="single" w:color="#DDDDDD"/>
              <w:top w:sz="4.7999999999999545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14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Latency</w:t>
            </w:r>
          </w:p>
        </w:tc>
        <w:tc>
          <w:tcPr>
            <w:tcW w:type="dxa" w:w="9590"/>
            <w:tcBorders>
              <w:start w:sz="4.7999999999999545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96" w:right="72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Which provider can meet the SLA target for this request's priority tier? Includes real-time provider health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monitoring and historical P95 latency per endpoint</w:t>
            </w:r>
          </w:p>
        </w:tc>
      </w:tr>
      <w:tr>
        <w:trPr>
          <w:trHeight w:hRule="exact" w:val="916"/>
        </w:trPr>
        <w:tc>
          <w:tcPr>
            <w:tcW w:type="dxa" w:w="1216"/>
            <w:tcBorders>
              <w:start w:sz="4.0" w:val="single" w:color="#DDDDDD"/>
              <w:top w:sz="4.7999999999999545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38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Compliance</w:t>
            </w:r>
          </w:p>
        </w:tc>
        <w:tc>
          <w:tcPr>
            <w:tcW w:type="dxa" w:w="9590"/>
            <w:tcBorders>
              <w:start w:sz="4.7999999999999545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Does the request contain data that restricts provider choice? (e.g., EU data residency </w:t>
            </w:r>
            <w:r>
              <w:rPr>
                <w:w w:val="101.44764749627365"/>
                <w:rFonts w:ascii="Arial" w:hAnsi="Arial" w:eastAsia="Arial"/>
                <w:b w:val="0"/>
                <w:i w:val="0"/>
                <w:color w:val="000000"/>
                <w:sz w:val="19"/>
              </w:rPr>
              <w:t>→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 must route to EU-hosted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endpoint; HIPAA </w:t>
            </w:r>
            <w:r>
              <w:rPr>
                <w:w w:val="101.44764749627365"/>
                <w:rFonts w:ascii="Arial" w:hAnsi="Arial" w:eastAsia="Arial"/>
                <w:b w:val="0"/>
                <w:i w:val="0"/>
                <w:color w:val="000000"/>
                <w:sz w:val="19"/>
              </w:rPr>
              <w:t>→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 only BAA-covered providers; data sovereignty </w:t>
            </w:r>
            <w:r>
              <w:rPr>
                <w:w w:val="101.44764749627365"/>
                <w:rFonts w:ascii="Arial" w:hAnsi="Arial" w:eastAsia="Arial"/>
                <w:b w:val="0"/>
                <w:i w:val="0"/>
                <w:color w:val="000000"/>
                <w:sz w:val="19"/>
              </w:rPr>
              <w:t>→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 self-hosted only). DeepSeek API routes data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to China — incompatible with GDPR for many use cases, but self-hosted DeepSeek eliminates this constraint</w:t>
            </w:r>
          </w:p>
        </w:tc>
      </w:tr>
      <w:tr>
        <w:trPr>
          <w:trHeight w:hRule="exact" w:val="662"/>
        </w:trPr>
        <w:tc>
          <w:tcPr>
            <w:tcW w:type="dxa" w:w="1216"/>
            <w:tcBorders>
              <w:start w:sz="4.0" w:val="single" w:color="#DDDDDD"/>
              <w:top w:sz="4.7999999999999545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Availability</w:t>
            </w:r>
          </w:p>
        </w:tc>
        <w:tc>
          <w:tcPr>
            <w:tcW w:type="dxa" w:w="9590"/>
            <w:tcBorders>
              <w:start w:sz="4.7999999999999545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576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Is the preferred provider healthy? If degraded or rate-limited, failover to next-best provider within the same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capability tier</w:t>
            </w:r>
          </w:p>
        </w:tc>
      </w:tr>
    </w:tbl>
    <w:p>
      <w:pPr>
        <w:autoSpaceDN w:val="0"/>
        <w:autoSpaceDE w:val="0"/>
        <w:widowControl/>
        <w:spacing w:line="211" w:lineRule="auto" w:before="230" w:after="228"/>
        <w:ind w:left="24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Provider capability map (maintained and continuously updated):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7.99999999999997" w:type="dxa"/>
      </w:tblPr>
      <w:tblGrid>
        <w:gridCol w:w="2830"/>
        <w:gridCol w:w="2830"/>
        <w:gridCol w:w="2830"/>
        <w:gridCol w:w="2830"/>
      </w:tblGrid>
      <w:tr>
        <w:trPr>
          <w:trHeight w:hRule="exact" w:val="662"/>
        </w:trPr>
        <w:tc>
          <w:tcPr>
            <w:tcW w:type="dxa" w:w="1420"/>
            <w:tcBorders>
              <w:start w:sz="4.0" w:val="single" w:color="#DDDDDD"/>
              <w:top w:sz="4.7999999999999545" w:val="single" w:color="#DDDDDD"/>
              <w:end w:sz="4.800000000000068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Provider</w:t>
            </w:r>
          </w:p>
        </w:tc>
        <w:tc>
          <w:tcPr>
            <w:tcW w:type="dxa" w:w="3542"/>
            <w:tcBorders>
              <w:start w:sz="4.800000000000068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Strength</w:t>
            </w:r>
          </w:p>
        </w:tc>
        <w:tc>
          <w:tcPr>
            <w:tcW w:type="dxa" w:w="4024"/>
            <w:tcBorders>
              <w:start w:sz="4.800000000000182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Best For</w:t>
            </w:r>
          </w:p>
        </w:tc>
        <w:tc>
          <w:tcPr>
            <w:tcW w:type="dxa" w:w="1820"/>
            <w:tcBorders>
              <w:start w:sz="4.800000000000182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144" w:right="144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Price Range </w:t>
            </w:r>
            <w:r>
              <w:br/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(Input/M tokens)</w:t>
            </w:r>
          </w:p>
        </w:tc>
      </w:tr>
      <w:tr>
        <w:trPr>
          <w:trHeight w:hRule="exact" w:val="662"/>
        </w:trPr>
        <w:tc>
          <w:tcPr>
            <w:tcW w:type="dxa" w:w="1420"/>
            <w:tcBorders>
              <w:start w:sz="4.0" w:val="single" w:color="#DDDDDD"/>
              <w:top w:sz="4.7999999999999545" w:val="single" w:color="#DDDDDD"/>
              <w:end w:sz="4.800000000000068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OpenAI (GPT-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5.x)</w:t>
            </w:r>
          </w:p>
        </w:tc>
        <w:tc>
          <w:tcPr>
            <w:tcW w:type="dxa" w:w="3542"/>
            <w:tcBorders>
              <w:start w:sz="4.800000000000068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432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Reasoning, math, broad ecosystem,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Azure integration</w:t>
            </w:r>
          </w:p>
        </w:tc>
        <w:tc>
          <w:tcPr>
            <w:tcW w:type="dxa" w:w="4024"/>
            <w:tcBorders>
              <w:start w:sz="4.800000000000182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432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General enterprise, Microsoft-embedded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workflows</w:t>
            </w:r>
          </w:p>
        </w:tc>
        <w:tc>
          <w:tcPr>
            <w:tcW w:type="dxa" w:w="1820"/>
            <w:tcBorders>
              <w:start w:sz="4.800000000000182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$1.75–$10.00</w:t>
            </w:r>
          </w:p>
        </w:tc>
      </w:tr>
      <w:tr>
        <w:trPr>
          <w:trHeight w:hRule="exact" w:val="662"/>
        </w:trPr>
        <w:tc>
          <w:tcPr>
            <w:tcW w:type="dxa" w:w="1420"/>
            <w:tcBorders>
              <w:start w:sz="4.0" w:val="single" w:color="#DDDDDD"/>
              <w:top w:sz="4.7999999999999545" w:val="single" w:color="#DDDDDD"/>
              <w:end w:sz="4.800000000000068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Anthropic </w:t>
            </w:r>
            <w:r>
              <w:br/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(Claude 4.x)</w:t>
            </w:r>
          </w:p>
        </w:tc>
        <w:tc>
          <w:tcPr>
            <w:tcW w:type="dxa" w:w="3542"/>
            <w:tcBorders>
              <w:start w:sz="4.800000000000068" w:val="single" w:color="#DDDDDD"/>
              <w:top w:sz="4.7999999999999545" w:val="single" w:color="#DDDDDD"/>
              <w:end w:sz="4.800000000000182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Coding, long-document analysis, safety,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structured reasoning</w:t>
            </w:r>
          </w:p>
        </w:tc>
        <w:tc>
          <w:tcPr>
            <w:tcW w:type="dxa" w:w="4024"/>
            <w:tcBorders>
              <w:start w:sz="4.800000000000182" w:val="single" w:color="#DDDDDD"/>
              <w:top w:sz="4.7999999999999545" w:val="single" w:color="#DDDDDD"/>
              <w:end w:sz="4.800000000000182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72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Compliance-heavy, legal, code review,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document processing</w:t>
            </w:r>
          </w:p>
        </w:tc>
        <w:tc>
          <w:tcPr>
            <w:tcW w:type="dxa" w:w="1820"/>
            <w:tcBorders>
              <w:start w:sz="4.800000000000182" w:val="single" w:color="#DDDDDD"/>
              <w:top w:sz="4.7999999999999545" w:val="single" w:color="#DDDDDD"/>
              <w:end w:sz="4.800000000000182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$3.00–$15.00</w:t>
            </w:r>
          </w:p>
        </w:tc>
      </w:tr>
      <w:tr>
        <w:trPr>
          <w:trHeight w:hRule="exact" w:val="664"/>
        </w:trPr>
        <w:tc>
          <w:tcPr>
            <w:tcW w:type="dxa" w:w="1420"/>
            <w:tcBorders>
              <w:start w:sz="4.0" w:val="single" w:color="#DDDDDD"/>
              <w:top w:sz="4.799999999999727" w:val="single" w:color="#DDDDDD"/>
              <w:end w:sz="4.800000000000068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98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Google </w:t>
            </w:r>
            <w:r>
              <w:br/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(Gemini 3.x)</w:t>
            </w:r>
          </w:p>
        </w:tc>
        <w:tc>
          <w:tcPr>
            <w:tcW w:type="dxa" w:w="3542"/>
            <w:tcBorders>
              <w:start w:sz="4.800000000000068" w:val="single" w:color="#DDDDDD"/>
              <w:top w:sz="4.799999999999727" w:val="single" w:color="#DDDDDD"/>
              <w:end w:sz="4.800000000000182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96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Multimodal, long context (1M tokens),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Workspace integration</w:t>
            </w:r>
          </w:p>
        </w:tc>
        <w:tc>
          <w:tcPr>
            <w:tcW w:type="dxa" w:w="4024"/>
            <w:tcBorders>
              <w:start w:sz="4.800000000000182" w:val="single" w:color="#DDDDDD"/>
              <w:top w:sz="4.799999999999727" w:val="single" w:color="#DDDDDD"/>
              <w:end w:sz="4.800000000000182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Image/video analysis, cross-modal workflows,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Google-embedded orgs</w:t>
            </w:r>
          </w:p>
        </w:tc>
        <w:tc>
          <w:tcPr>
            <w:tcW w:type="dxa" w:w="1820"/>
            <w:tcBorders>
              <w:start w:sz="4.800000000000182" w:val="single" w:color="#DDDDDD"/>
              <w:top w:sz="4.799999999999727" w:val="single" w:color="#DDDDDD"/>
              <w:end w:sz="4.800000000000182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$0.50–$2.00</w:t>
            </w:r>
          </w:p>
        </w:tc>
      </w:tr>
      <w:tr>
        <w:trPr>
          <w:trHeight w:hRule="exact" w:val="662"/>
        </w:trPr>
        <w:tc>
          <w:tcPr>
            <w:tcW w:type="dxa" w:w="1420"/>
            <w:tcBorders>
              <w:start w:sz="4.0" w:val="single" w:color="#DDDDDD"/>
              <w:top w:sz="4.799999999999727" w:val="single" w:color="#DDDDDD"/>
              <w:end w:sz="4.800000000000068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DeepSeek 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(R1/V3/V4)</w:t>
            </w:r>
          </w:p>
        </w:tc>
        <w:tc>
          <w:tcPr>
            <w:tcW w:type="dxa" w:w="3542"/>
            <w:tcBorders>
              <w:start w:sz="4.800000000000068" w:val="single" w:color="#DDDDDD"/>
              <w:top w:sz="4.799999999999727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86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Mathematical reasoning, cost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efficiency, open-weight</w:t>
            </w:r>
          </w:p>
        </w:tc>
        <w:tc>
          <w:tcPr>
            <w:tcW w:type="dxa" w:w="4024"/>
            <w:tcBorders>
              <w:start w:sz="4.800000000000182" w:val="single" w:color="#DDDDDD"/>
              <w:top w:sz="4.799999999999727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Self-hosted reasoning tasks, cost-sensitive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workloads</w:t>
            </w:r>
          </w:p>
        </w:tc>
        <w:tc>
          <w:tcPr>
            <w:tcW w:type="dxa" w:w="1820"/>
            <w:tcBorders>
              <w:start w:sz="4.800000000000182" w:val="single" w:color="#DDDDDD"/>
              <w:top w:sz="4.799999999999727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$0.55 (API) / self-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hosted</w:t>
            </w:r>
          </w:p>
        </w:tc>
      </w:tr>
      <w:tr>
        <w:trPr>
          <w:trHeight w:hRule="exact" w:val="662"/>
        </w:trPr>
        <w:tc>
          <w:tcPr>
            <w:tcW w:type="dxa" w:w="1420"/>
            <w:tcBorders>
              <w:start w:sz="4.0" w:val="single" w:color="#DDDDDD"/>
              <w:top w:sz="4.800000000000182" w:val="single" w:color="#DDDDDD"/>
              <w:end w:sz="4.800000000000068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Meta (Llama 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4)</w:t>
            </w:r>
          </w:p>
        </w:tc>
        <w:tc>
          <w:tcPr>
            <w:tcW w:type="dxa" w:w="3542"/>
            <w:tcBorders>
              <w:start w:sz="4.800000000000068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Ultra-long context (10M tokens), open-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source flexibility</w:t>
            </w:r>
          </w:p>
        </w:tc>
        <w:tc>
          <w:tcPr>
            <w:tcW w:type="dxa" w:w="4024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576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Self-hosted, data sovereignty, massive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document processing</w:t>
            </w:r>
          </w:p>
        </w:tc>
        <w:tc>
          <w:tcPr>
            <w:tcW w:type="dxa" w:w="1820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Self-hosted only</w:t>
            </w:r>
          </w:p>
        </w:tc>
      </w:tr>
      <w:tr>
        <w:trPr>
          <w:trHeight w:hRule="exact" w:val="664"/>
        </w:trPr>
        <w:tc>
          <w:tcPr>
            <w:tcW w:type="dxa" w:w="1420"/>
            <w:tcBorders>
              <w:start w:sz="4.0" w:val="single" w:color="#DDDDDD"/>
              <w:top w:sz="4.800000000000182" w:val="single" w:color="#DDDDDD"/>
              <w:end w:sz="4.800000000000068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Mistral</w:t>
            </w:r>
          </w:p>
        </w:tc>
        <w:tc>
          <w:tcPr>
            <w:tcW w:type="dxa" w:w="3542"/>
            <w:tcBorders>
              <w:start w:sz="4.800000000000068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96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European data sovereignty, efficient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mid-tier</w:t>
            </w:r>
          </w:p>
        </w:tc>
        <w:tc>
          <w:tcPr>
            <w:tcW w:type="dxa" w:w="4024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96" w:right="100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EU-compliant workloads, balanced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cost/performance</w:t>
            </w:r>
          </w:p>
        </w:tc>
        <w:tc>
          <w:tcPr>
            <w:tcW w:type="dxa" w:w="1820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$0.50–$2.00</w:t>
            </w:r>
          </w:p>
        </w:tc>
      </w:tr>
      <w:tr>
        <w:trPr>
          <w:trHeight w:hRule="exact" w:val="662"/>
        </w:trPr>
        <w:tc>
          <w:tcPr>
            <w:tcW w:type="dxa" w:w="1420"/>
            <w:tcBorders>
              <w:start w:sz="4.0" w:val="single" w:color="#DDDDDD"/>
              <w:top w:sz="4.800000000000182" w:val="single" w:color="#DDDDDD"/>
              <w:end w:sz="4.800000000000068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OpenAI gpt-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oss</w:t>
            </w:r>
          </w:p>
        </w:tc>
        <w:tc>
          <w:tcPr>
            <w:tcW w:type="dxa" w:w="3542"/>
            <w:tcBorders>
              <w:start w:sz="4.800000000000068" w:val="single" w:color="#DDDDDD"/>
              <w:top w:sz="4.800000000000182" w:val="single" w:color="#DDDDDD"/>
              <w:end w:sz="4.800000000000182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Self-hostable, Apache 2.0, o4-mini level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reasoning</w:t>
            </w:r>
          </w:p>
        </w:tc>
        <w:tc>
          <w:tcPr>
            <w:tcW w:type="dxa" w:w="4024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1152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Full data sovereignty, air-gapped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deployments</w:t>
            </w:r>
          </w:p>
        </w:tc>
        <w:tc>
          <w:tcPr>
            <w:tcW w:type="dxa" w:w="1820"/>
            <w:tcBorders>
              <w:start w:sz="4.800000000000182" w:val="single" w:color="#DDDDDD"/>
              <w:top w:sz="4.800000000000182" w:val="single" w:color="#DDDDDD"/>
              <w:end w:sz="4.800000000000182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Self-hosted only</w:t>
            </w:r>
          </w:p>
        </w:tc>
      </w:tr>
    </w:tbl>
    <w:p>
      <w:pPr>
        <w:autoSpaceDN w:val="0"/>
        <w:autoSpaceDE w:val="0"/>
        <w:widowControl/>
        <w:spacing w:line="211" w:lineRule="auto" w:before="228" w:after="0"/>
        <w:ind w:left="24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Key architectural decisions:</w:t>
      </w:r>
    </w:p>
    <w:p>
      <w:pPr>
        <w:autoSpaceDN w:val="0"/>
        <w:tabs>
          <w:tab w:pos="722" w:val="left"/>
        </w:tabs>
        <w:autoSpaceDE w:val="0"/>
        <w:widowControl/>
        <w:spacing w:line="274" w:lineRule="auto" w:before="274" w:after="0"/>
        <w:ind w:left="530" w:right="288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1. </w:t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Model equivalence mapping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: The engine maintains a compatibility matrix — when the preferred provider is unavailable, it 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fails over to the next-best model in the same capability class (e.g., Claude Opus </w:t>
      </w:r>
      <w:r>
        <w:rPr>
          <w:w w:val="101.44764749627365"/>
          <w:rFonts w:ascii="Arial" w:hAnsi="Arial" w:eastAsia="Arial"/>
          <w:b w:val="0"/>
          <w:i w:val="0"/>
          <w:color w:val="000000"/>
          <w:sz w:val="19"/>
        </w:rPr>
        <w:t>→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GPT-5 Thinking </w:t>
      </w:r>
      <w:r>
        <w:rPr>
          <w:w w:val="101.44764749627365"/>
          <w:rFonts w:ascii="Arial" w:hAnsi="Arial" w:eastAsia="Arial"/>
          <w:b w:val="0"/>
          <w:i w:val="0"/>
          <w:color w:val="000000"/>
          <w:sz w:val="19"/>
        </w:rPr>
        <w:t>→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Gemini Pro for complex 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reasoning tasks) </w:t>
      </w:r>
      <w:r>
        <w:br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2. </w:t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Provider-agnostic API layer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: All requests are normalized to a unified internal format. Provider-specific prompt formatting, 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tokenization differences, and response schemas are handled by adapter modules — applications never couple to a specific 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provider </w:t>
      </w:r>
      <w:r>
        <w:br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3. </w:t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Continuous benchmarking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: The engine periodically evaluates each provider against a held-out test set of enterprise-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representative queries, updating task-fit scores as models evolve. This is critical given the pace of model releases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4. </w:t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Cost arbitrage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: For equivalent-quality outputs, the engine automatically selects the cheapest provider — capturing price 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reductions and competitive pricing moves in real time</w:t>
      </w:r>
    </w:p>
    <w:p>
      <w:pPr>
        <w:autoSpaceDN w:val="0"/>
        <w:autoSpaceDE w:val="0"/>
        <w:widowControl/>
        <w:spacing w:line="211" w:lineRule="auto" w:before="356" w:after="0"/>
        <w:ind w:left="240" w:right="0" w:firstLine="0"/>
        <w:jc w:val="left"/>
      </w:pPr>
      <w:r>
        <w:rPr>
          <w:rFonts w:ascii="Barlow" w:hAnsi="Barlow" w:eastAsia="Barlow"/>
          <w:b/>
          <w:i w:val="0"/>
          <w:color w:val="455A64"/>
          <w:sz w:val="27"/>
        </w:rPr>
        <w:t>5.5 Pillar 4: Guardrails &amp; Response Evaluation</w:t>
      </w:r>
    </w:p>
    <w:p>
      <w:pPr>
        <w:autoSpaceDN w:val="0"/>
        <w:autoSpaceDE w:val="0"/>
        <w:widowControl/>
        <w:spacing w:line="250" w:lineRule="auto" w:before="368" w:after="0"/>
        <w:ind w:left="240" w:right="432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Every request passes through a dual-layer guardrail system — input guardrails before inference and output guardrails after — with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continuous evaluation that feeds back into routing decisions.</w:t>
      </w:r>
    </w:p>
    <w:p>
      <w:pPr>
        <w:autoSpaceDN w:val="0"/>
        <w:autoSpaceDE w:val="0"/>
        <w:widowControl/>
        <w:spacing w:line="211" w:lineRule="auto" w:before="262" w:after="0"/>
        <w:ind w:left="24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Why guardrails are architecturally essential (not optional add-ons):</w:t>
      </w:r>
    </w:p>
    <w:p>
      <w:pPr>
        <w:autoSpaceDN w:val="0"/>
        <w:autoSpaceDE w:val="0"/>
        <w:widowControl/>
        <w:spacing w:line="257" w:lineRule="auto" w:before="276" w:after="0"/>
        <w:ind w:left="240" w:right="288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Hallucination-related incidents cost enterprises over $250 million annually across the industry (per academic meta-analysis,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Preprints.org, 2025). Real-world failures have established legal precedent: Air Canada was held liable when its chatbot fabricated a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refund policy, and Apple suspended its AI news summary feature after it generated misleading headlines. The EU AI Act explicitly</w:t>
      </w:r>
    </w:p>
    <w:p>
      <w:pPr>
        <w:sectPr>
          <w:pgSz w:w="11899" w:h="16838"/>
          <w:pgMar w:top="0" w:right="280" w:bottom="0" w:left="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50" w:lineRule="auto" w:before="336" w:after="0"/>
        <w:ind w:left="240" w:right="288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requires human oversight and output validation for high-risk AI systems. Guardrails are not a nice-to-have — they are a compliance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requirement and a liability shield.</w:t>
      </w:r>
    </w:p>
    <w:p>
      <w:pPr>
        <w:autoSpaceDN w:val="0"/>
        <w:autoSpaceDE w:val="0"/>
        <w:widowControl/>
        <w:spacing w:line="211" w:lineRule="auto" w:before="264" w:after="240"/>
        <w:ind w:left="24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Input Guardrails (pre-inference):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7.99999999999997" w:type="dxa"/>
      </w:tblPr>
      <w:tblGrid>
        <w:gridCol w:w="3773"/>
        <w:gridCol w:w="3773"/>
        <w:gridCol w:w="3773"/>
      </w:tblGrid>
      <w:tr>
        <w:trPr>
          <w:trHeight w:hRule="exact" w:val="432"/>
        </w:trPr>
        <w:tc>
          <w:tcPr>
            <w:tcW w:type="dxa" w:w="1782"/>
            <w:tcBorders>
              <w:start w:sz="4.0" w:val="single" w:color="#DDDDDD"/>
              <w:top w:sz="4.7999999999999545" w:val="single" w:color="#DDDDDD"/>
              <w:end w:sz="4.7999999999999545" w:val="single" w:color="#DDDDDD"/>
              <w:bottom w:sz="4.800000000000068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Guardrail</w:t>
            </w:r>
          </w:p>
        </w:tc>
        <w:tc>
          <w:tcPr>
            <w:tcW w:type="dxa" w:w="3952"/>
            <w:tcBorders>
              <w:start w:sz="4.7999999999999545" w:val="single" w:color="#DDDDDD"/>
              <w:top w:sz="4.7999999999999545" w:val="single" w:color="#DDDDDD"/>
              <w:end w:sz="4.799999999999727" w:val="single" w:color="#DDDDDD"/>
              <w:bottom w:sz="4.800000000000068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Function</w:t>
            </w:r>
          </w:p>
        </w:tc>
        <w:tc>
          <w:tcPr>
            <w:tcW w:type="dxa" w:w="5072"/>
            <w:tcBorders>
              <w:start w:sz="4.799999999999727" w:val="single" w:color="#DDDDDD"/>
              <w:top w:sz="4.7999999999999545" w:val="single" w:color="#DDDDDD"/>
              <w:end w:sz="4.800000000000182" w:val="single" w:color="#DDDDDD"/>
              <w:bottom w:sz="4.800000000000068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Implementation</w:t>
            </w:r>
          </w:p>
        </w:tc>
      </w:tr>
      <w:tr>
        <w:trPr>
          <w:trHeight w:hRule="exact" w:val="664"/>
        </w:trPr>
        <w:tc>
          <w:tcPr>
            <w:tcW w:type="dxa" w:w="1782"/>
            <w:tcBorders>
              <w:start w:sz="4.0" w:val="single" w:color="#DDDDDD"/>
              <w:top w:sz="4.800000000000068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98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Prompt injection 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detection</w:t>
            </w:r>
          </w:p>
        </w:tc>
        <w:tc>
          <w:tcPr>
            <w:tcW w:type="dxa" w:w="3952"/>
            <w:tcBorders>
              <w:start w:sz="4.7999999999999545" w:val="single" w:color="#DDDDDD"/>
              <w:top w:sz="4.800000000000068" w:val="single" w:color="#DDDDDD"/>
              <w:end w:sz="4.799999999999727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96" w:right="72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Block adversarial inputs designed to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manipulate model behavior</w:t>
            </w:r>
          </w:p>
        </w:tc>
        <w:tc>
          <w:tcPr>
            <w:tcW w:type="dxa" w:w="5072"/>
            <w:tcBorders>
              <w:start w:sz="4.799999999999727" w:val="single" w:color="#DDDDDD"/>
              <w:top w:sz="4.800000000000068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96" w:right="432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Pattern matching + classifier model (e.g., NVIDIA NeMo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Guardrails, Datadog LLM security)</w:t>
            </w:r>
          </w:p>
        </w:tc>
      </w:tr>
      <w:tr>
        <w:trPr>
          <w:trHeight w:hRule="exact" w:val="662"/>
        </w:trPr>
        <w:tc>
          <w:tcPr>
            <w:tcW w:type="dxa" w:w="1782"/>
            <w:tcBorders>
              <w:start w:sz="4.0" w:val="single" w:color="#DDDDDD"/>
              <w:top w:sz="4.7999999999999545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Jailbreak filtering</w:t>
            </w:r>
          </w:p>
        </w:tc>
        <w:tc>
          <w:tcPr>
            <w:tcW w:type="dxa" w:w="3952"/>
            <w:tcBorders>
              <w:start w:sz="4.7999999999999545" w:val="single" w:color="#DDDDDD"/>
              <w:top w:sz="4.7999999999999545" w:val="single" w:color="#DDDDDD"/>
              <w:end w:sz="4.799999999999727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432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Detect attempts to bypass model safety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constraints</w:t>
            </w:r>
          </w:p>
        </w:tc>
        <w:tc>
          <w:tcPr>
            <w:tcW w:type="dxa" w:w="5072"/>
            <w:tcBorders>
              <w:start w:sz="4.799999999999727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Embedding-based similarity to known jailbreak patterns +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behavioral analysis</w:t>
            </w:r>
          </w:p>
        </w:tc>
      </w:tr>
      <w:tr>
        <w:trPr>
          <w:trHeight w:hRule="exact" w:val="662"/>
        </w:trPr>
        <w:tc>
          <w:tcPr>
            <w:tcW w:type="dxa" w:w="1782"/>
            <w:tcBorders>
              <w:start w:sz="4.0" w:val="single" w:color="#DDDDDD"/>
              <w:top w:sz="4.7999999999999545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Topic boundary 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enforcement</w:t>
            </w:r>
          </w:p>
        </w:tc>
        <w:tc>
          <w:tcPr>
            <w:tcW w:type="dxa" w:w="3952"/>
            <w:tcBorders>
              <w:start w:sz="4.7999999999999545" w:val="single" w:color="#DDDDDD"/>
              <w:top w:sz="4.7999999999999545" w:val="single" w:color="#DDDDDD"/>
              <w:end w:sz="4.799999999999727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Ensure requests fall within the application's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authorized domain</w:t>
            </w:r>
          </w:p>
        </w:tc>
        <w:tc>
          <w:tcPr>
            <w:tcW w:type="dxa" w:w="5072"/>
            <w:tcBorders>
              <w:start w:sz="4.799999999999727" w:val="single" w:color="#DDDDDD"/>
              <w:top w:sz="4.7999999999999545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Domain classifier + allow/deny topic lists</w:t>
            </w:r>
          </w:p>
        </w:tc>
      </w:tr>
      <w:tr>
        <w:trPr>
          <w:trHeight w:hRule="exact" w:val="664"/>
        </w:trPr>
        <w:tc>
          <w:tcPr>
            <w:tcW w:type="dxa" w:w="1782"/>
            <w:tcBorders>
              <w:start w:sz="4.0" w:val="single" w:color="#DDDDDD"/>
              <w:top w:sz="4.800000000000182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432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Sensitive data 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masking</w:t>
            </w:r>
          </w:p>
        </w:tc>
        <w:tc>
          <w:tcPr>
            <w:tcW w:type="dxa" w:w="3952"/>
            <w:tcBorders>
              <w:start w:sz="4.7999999999999545" w:val="single" w:color="#DDDDDD"/>
              <w:top w:sz="4.800000000000182" w:val="single" w:color="#DDDDDD"/>
              <w:end w:sz="4.799999999999727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432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Detect and redact PII, PHI, financial data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before they reach the model</w:t>
            </w:r>
          </w:p>
        </w:tc>
        <w:tc>
          <w:tcPr>
            <w:tcW w:type="dxa" w:w="5072"/>
            <w:tcBorders>
              <w:start w:sz="4.799999999999727" w:val="single" w:color="#DDDDDD"/>
              <w:top w:sz="4.800000000000182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576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NER-based entity detection + configurable redaction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policies</w:t>
            </w:r>
          </w:p>
        </w:tc>
      </w:tr>
      <w:tr>
        <w:trPr>
          <w:trHeight w:hRule="exact" w:val="662"/>
        </w:trPr>
        <w:tc>
          <w:tcPr>
            <w:tcW w:type="dxa" w:w="1782"/>
            <w:tcBorders>
              <w:start w:sz="4.0" w:val="single" w:color="#DDDDDD"/>
              <w:top w:sz="4.7999999999999545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Schema validation</w:t>
            </w:r>
          </w:p>
        </w:tc>
        <w:tc>
          <w:tcPr>
            <w:tcW w:type="dxa" w:w="3952"/>
            <w:tcBorders>
              <w:start w:sz="4.7999999999999545" w:val="single" w:color="#DDDDDD"/>
              <w:top w:sz="4.7999999999999545" w:val="single" w:color="#DDDDDD"/>
              <w:end w:sz="4.799999999999727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72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Ensure structured inputs conform to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expected formats</w:t>
            </w:r>
          </w:p>
        </w:tc>
        <w:tc>
          <w:tcPr>
            <w:tcW w:type="dxa" w:w="5072"/>
            <w:tcBorders>
              <w:start w:sz="4.799999999999727" w:val="single" w:color="#DDDDDD"/>
              <w:top w:sz="4.7999999999999545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JSON schema validation, parameter range checks</w:t>
            </w:r>
          </w:p>
        </w:tc>
      </w:tr>
      <w:tr>
        <w:trPr>
          <w:trHeight w:hRule="exact" w:val="662"/>
        </w:trPr>
        <w:tc>
          <w:tcPr>
            <w:tcW w:type="dxa" w:w="1782"/>
            <w:tcBorders>
              <w:start w:sz="4.0" w:val="single" w:color="#DDDDDD"/>
              <w:top w:sz="4.800000000000182" w:val="single" w:color="#DDDDDD"/>
              <w:end w:sz="4.7999999999999545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432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Rate &amp; abuse 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detection</w:t>
            </w:r>
          </w:p>
        </w:tc>
        <w:tc>
          <w:tcPr>
            <w:tcW w:type="dxa" w:w="3952"/>
            <w:tcBorders>
              <w:start w:sz="4.7999999999999545" w:val="single" w:color="#DDDDDD"/>
              <w:top w:sz="4.800000000000182" w:val="single" w:color="#DDDDDD"/>
              <w:end w:sz="4.799999999999727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86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Identify anomalous query patterns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suggesting misuse or bot activity</w:t>
            </w:r>
          </w:p>
        </w:tc>
        <w:tc>
          <w:tcPr>
            <w:tcW w:type="dxa" w:w="5072"/>
            <w:tcBorders>
              <w:start w:sz="4.799999999999727" w:val="single" w:color="#DDDDDD"/>
              <w:top w:sz="4.800000000000182" w:val="single" w:color="#DDDDDD"/>
              <w:end w:sz="4.800000000000182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Statistical anomaly detection on query frequency, length,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and source</w:t>
            </w:r>
          </w:p>
        </w:tc>
      </w:tr>
    </w:tbl>
    <w:p>
      <w:pPr>
        <w:autoSpaceDN w:val="0"/>
        <w:autoSpaceDE w:val="0"/>
        <w:widowControl/>
        <w:spacing w:line="211" w:lineRule="auto" w:before="230" w:after="228"/>
        <w:ind w:left="24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Output Guardrails &amp; Evaluation (post-inference):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7.99999999999997" w:type="dxa"/>
      </w:tblPr>
      <w:tblGrid>
        <w:gridCol w:w="3773"/>
        <w:gridCol w:w="3773"/>
        <w:gridCol w:w="3773"/>
      </w:tblGrid>
      <w:tr>
        <w:trPr>
          <w:trHeight w:hRule="exact" w:val="432"/>
        </w:trPr>
        <w:tc>
          <w:tcPr>
            <w:tcW w:type="dxa" w:w="1324"/>
            <w:tcBorders>
              <w:start w:sz="4.0" w:val="single" w:color="#DDDDDD"/>
              <w:top w:sz="4.0" w:val="single" w:color="#DDDDDD"/>
              <w:end w:sz="4.800000000000068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8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Guardrail</w:t>
            </w:r>
          </w:p>
        </w:tc>
        <w:tc>
          <w:tcPr>
            <w:tcW w:type="dxa" w:w="3278"/>
            <w:tcBorders>
              <w:start w:sz="4.800000000000068" w:val="single" w:color="#DDDDDD"/>
              <w:top w:sz="4.0" w:val="single" w:color="#DDDDDD"/>
              <w:end w:sz="5.599999999999909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8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Function</w:t>
            </w:r>
          </w:p>
        </w:tc>
        <w:tc>
          <w:tcPr>
            <w:tcW w:type="dxa" w:w="6204"/>
            <w:tcBorders>
              <w:start w:sz="5.599999999999909" w:val="single" w:color="#DDDDDD"/>
              <w:top w:sz="4.0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8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Implementation</w:t>
            </w:r>
          </w:p>
        </w:tc>
      </w:tr>
      <w:tr>
        <w:trPr>
          <w:trHeight w:hRule="exact" w:val="892"/>
        </w:trPr>
        <w:tc>
          <w:tcPr>
            <w:tcW w:type="dxa" w:w="1324"/>
            <w:tcBorders>
              <w:start w:sz="4.0" w:val="single" w:color="#DDDDDD"/>
              <w:top w:sz="4.800000000000182" w:val="single" w:color="#DDDDDD"/>
              <w:end w:sz="4.800000000000068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Hallucination 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detection</w:t>
            </w:r>
          </w:p>
        </w:tc>
        <w:tc>
          <w:tcPr>
            <w:tcW w:type="dxa" w:w="3278"/>
            <w:tcBorders>
              <w:start w:sz="4.800000000000068" w:val="single" w:color="#DDDDDD"/>
              <w:top w:sz="4.800000000000182" w:val="single" w:color="#DDDDDD"/>
              <w:end w:sz="5.599999999999909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96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Verify factual claims against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reference data or retrieval context</w:t>
            </w:r>
          </w:p>
        </w:tc>
        <w:tc>
          <w:tcPr>
            <w:tcW w:type="dxa" w:w="6204"/>
            <w:tcBorders>
              <w:start w:sz="5.599999999999909" w:val="single" w:color="#DDDDDD"/>
              <w:top w:sz="4.800000000000182" w:val="single" w:color="#DDDDDD"/>
              <w:end w:sz="4.800000000000182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94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Cross-reference with RAG source documents; entailment scoring (e.g.,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AlignScore, Cleanlab TLM); LLM-as-judge evaluation with 91% human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agreement</w:t>
            </w:r>
          </w:p>
        </w:tc>
      </w:tr>
      <w:tr>
        <w:trPr>
          <w:trHeight w:hRule="exact" w:val="662"/>
        </w:trPr>
        <w:tc>
          <w:tcPr>
            <w:tcW w:type="dxa" w:w="1324"/>
            <w:tcBorders>
              <w:start w:sz="4.0" w:val="single" w:color="#DDDDDD"/>
              <w:top w:sz="4.799999999999727" w:val="single" w:color="#DDDDDD"/>
              <w:end w:sz="4.800000000000068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Confidence 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scoring</w:t>
            </w:r>
          </w:p>
        </w:tc>
        <w:tc>
          <w:tcPr>
            <w:tcW w:type="dxa" w:w="3278"/>
            <w:tcBorders>
              <w:start w:sz="4.800000000000068" w:val="single" w:color="#DDDDDD"/>
              <w:top w:sz="4.799999999999727" w:val="single" w:color="#DDDDDD"/>
              <w:end w:sz="5.599999999999909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432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Assign a reliability score to each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response</w:t>
            </w:r>
          </w:p>
        </w:tc>
        <w:tc>
          <w:tcPr>
            <w:tcW w:type="dxa" w:w="6204"/>
            <w:tcBorders>
              <w:start w:sz="5.599999999999909" w:val="single" w:color="#DDDDDD"/>
              <w:top w:sz="4.799999999999727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4" w:right="576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Model logprob analysis + consistency checking (multiple inference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passes) + entailment score</w:t>
            </w:r>
          </w:p>
        </w:tc>
      </w:tr>
      <w:tr>
        <w:trPr>
          <w:trHeight w:hRule="exact" w:val="664"/>
        </w:trPr>
        <w:tc>
          <w:tcPr>
            <w:tcW w:type="dxa" w:w="1324"/>
            <w:tcBorders>
              <w:start w:sz="4.0" w:val="single" w:color="#DDDDDD"/>
              <w:top w:sz="4.800000000000182" w:val="single" w:color="#DDDDDD"/>
              <w:end w:sz="4.800000000000068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Toxicity &amp; </w:t>
            </w:r>
            <w:r>
              <w:br/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bias filtering</w:t>
            </w:r>
          </w:p>
        </w:tc>
        <w:tc>
          <w:tcPr>
            <w:tcW w:type="dxa" w:w="3278"/>
            <w:tcBorders>
              <w:start w:sz="4.800000000000068" w:val="single" w:color="#DDDDDD"/>
              <w:top w:sz="4.800000000000182" w:val="single" w:color="#DDDDDD"/>
              <w:end w:sz="5.599999999999909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96" w:right="100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Block harmful, biased, or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inappropriate content</w:t>
            </w:r>
          </w:p>
        </w:tc>
        <w:tc>
          <w:tcPr>
            <w:tcW w:type="dxa" w:w="6204"/>
            <w:tcBorders>
              <w:start w:sz="5.599999999999909" w:val="single" w:color="#DDDDDD"/>
              <w:top w:sz="4.800000000000182" w:val="single" w:color="#DDDDDD"/>
              <w:end w:sz="4.800000000000182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94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Content safety classifiers (NVIDIA content safety models, ActiveFence,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OpenAI moderation)</w:t>
            </w:r>
          </w:p>
        </w:tc>
      </w:tr>
      <w:tr>
        <w:trPr>
          <w:trHeight w:hRule="exact" w:val="890"/>
        </w:trPr>
        <w:tc>
          <w:tcPr>
            <w:tcW w:type="dxa" w:w="1324"/>
            <w:tcBorders>
              <w:start w:sz="4.0" w:val="single" w:color="#DDDDDD"/>
              <w:top w:sz="4.799999999999727" w:val="single" w:color="#DDDDDD"/>
              <w:end w:sz="4.800000000000068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98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Format </w:t>
            </w:r>
            <w:r>
              <w:br/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compliance</w:t>
            </w:r>
          </w:p>
        </w:tc>
        <w:tc>
          <w:tcPr>
            <w:tcW w:type="dxa" w:w="3278"/>
            <w:tcBorders>
              <w:start w:sz="4.800000000000068" w:val="single" w:color="#DDDDDD"/>
              <w:top w:sz="4.799999999999727" w:val="single" w:color="#DDDDDD"/>
              <w:end w:sz="5.599999999999909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Ensure output matches required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structure (JSON, Markdown, specific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schema)</w:t>
            </w:r>
          </w:p>
        </w:tc>
        <w:tc>
          <w:tcPr>
            <w:tcW w:type="dxa" w:w="6204"/>
            <w:tcBorders>
              <w:start w:sz="5.599999999999909" w:val="single" w:color="#DDDDDD"/>
              <w:top w:sz="4.799999999999727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24" w:after="0"/>
              <w:ind w:left="94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Schema validation, regex enforcement, structural parsing</w:t>
            </w:r>
          </w:p>
        </w:tc>
      </w:tr>
      <w:tr>
        <w:trPr>
          <w:trHeight w:hRule="exact" w:val="892"/>
        </w:trPr>
        <w:tc>
          <w:tcPr>
            <w:tcW w:type="dxa" w:w="1324"/>
            <w:tcBorders>
              <w:start w:sz="4.0" w:val="single" w:color="#DDDDDD"/>
              <w:top w:sz="4.800000000000182" w:val="single" w:color="#DDDDDD"/>
              <w:end w:sz="4.800000000000068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98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Domain </w:t>
            </w:r>
            <w:r>
              <w:br/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boundary 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check</w:t>
            </w:r>
          </w:p>
        </w:tc>
        <w:tc>
          <w:tcPr>
            <w:tcW w:type="dxa" w:w="3278"/>
            <w:tcBorders>
              <w:start w:sz="4.800000000000068" w:val="single" w:color="#DDDDDD"/>
              <w:top w:sz="4.800000000000182" w:val="single" w:color="#DDDDDD"/>
              <w:end w:sz="5.599999999999909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Verify output stays within authorized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topic scope</w:t>
            </w:r>
          </w:p>
        </w:tc>
        <w:tc>
          <w:tcPr>
            <w:tcW w:type="dxa" w:w="6204"/>
            <w:tcBorders>
              <w:start w:sz="5.599999999999909" w:val="single" w:color="#DDDDDD"/>
              <w:top w:sz="4.800000000000182" w:val="single" w:color="#DDDDDD"/>
              <w:end w:sz="4.800000000000182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2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Topic classifier applied to output; relevance scoring against input query</w:t>
            </w:r>
          </w:p>
        </w:tc>
      </w:tr>
      <w:tr>
        <w:trPr>
          <w:trHeight w:hRule="exact" w:val="892"/>
        </w:trPr>
        <w:tc>
          <w:tcPr>
            <w:tcW w:type="dxa" w:w="1324"/>
            <w:tcBorders>
              <w:start w:sz="4.0" w:val="single" w:color="#DDDDDD"/>
              <w:top w:sz="4.799999999999272" w:val="single" w:color="#DDDDDD"/>
              <w:end w:sz="4.800000000000068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0" w:right="432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Quality </w:t>
            </w:r>
            <w:r>
              <w:br/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scoring</w:t>
            </w:r>
          </w:p>
        </w:tc>
        <w:tc>
          <w:tcPr>
            <w:tcW w:type="dxa" w:w="3278"/>
            <w:tcBorders>
              <w:start w:sz="4.800000000000068" w:val="single" w:color="#DDDDDD"/>
              <w:top w:sz="4.799999999999272" w:val="single" w:color="#DDDDDD"/>
              <w:end w:sz="5.599999999999909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432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Multi-dimensional assessment: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relevance, coherence,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completeness, accuracy</w:t>
            </w:r>
          </w:p>
        </w:tc>
        <w:tc>
          <w:tcPr>
            <w:tcW w:type="dxa" w:w="6204"/>
            <w:tcBorders>
              <w:start w:sz="5.599999999999909" w:val="single" w:color="#DDDDDD"/>
              <w:top w:sz="4.79999999999927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94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Composite metric combining automated evaluators (e.g., Galileo Luna-2,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Confident AI DeepEval, Arize Phoenix)</w:t>
            </w:r>
          </w:p>
        </w:tc>
      </w:tr>
      <w:tr>
        <w:trPr>
          <w:trHeight w:hRule="exact" w:val="892"/>
        </w:trPr>
        <w:tc>
          <w:tcPr>
            <w:tcW w:type="dxa" w:w="1324"/>
            <w:tcBorders>
              <w:start w:sz="4.0" w:val="single" w:color="#DDDDDD"/>
              <w:top w:sz="4.800000000000182" w:val="single" w:color="#DDDDDD"/>
              <w:end w:sz="4.800000000000068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4" w:after="0"/>
              <w:ind w:left="98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Citation </w:t>
            </w:r>
            <w:r>
              <w:br/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verification</w:t>
            </w:r>
          </w:p>
        </w:tc>
        <w:tc>
          <w:tcPr>
            <w:tcW w:type="dxa" w:w="3278"/>
            <w:tcBorders>
              <w:start w:sz="4.800000000000068" w:val="single" w:color="#DDDDDD"/>
              <w:top w:sz="4.800000000000182" w:val="single" w:color="#DDDDDD"/>
              <w:end w:sz="5.599999999999909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For RAG-grounded responses, verify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citations map to real source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passages</w:t>
            </w:r>
          </w:p>
        </w:tc>
        <w:tc>
          <w:tcPr>
            <w:tcW w:type="dxa" w:w="6204"/>
            <w:tcBorders>
              <w:start w:sz="5.599999999999909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26" w:after="0"/>
              <w:ind w:left="94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Source-passage matching with similarity threshold</w:t>
            </w:r>
          </w:p>
        </w:tc>
      </w:tr>
    </w:tbl>
    <w:p>
      <w:pPr>
        <w:autoSpaceDN w:val="0"/>
        <w:autoSpaceDE w:val="0"/>
        <w:widowControl/>
        <w:spacing w:line="211" w:lineRule="auto" w:before="228" w:after="0"/>
        <w:ind w:left="24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The Escalation Loop — Guardrails as Routing Feedback:</w:t>
      </w:r>
    </w:p>
    <w:p>
      <w:pPr>
        <w:autoSpaceDN w:val="0"/>
        <w:autoSpaceDE w:val="0"/>
        <w:widowControl/>
        <w:spacing w:line="211" w:lineRule="auto" w:before="274" w:after="0"/>
        <w:ind w:left="240" w:right="0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This is the critical integration between Pillar 4 (Guardrails) and Pillars 2/3 (Routing):</w:t>
      </w:r>
    </w:p>
    <w:p>
      <w:pPr>
        <w:autoSpaceDN w:val="0"/>
        <w:tabs>
          <w:tab w:pos="588" w:val="left"/>
        </w:tabs>
        <w:autoSpaceDE w:val="0"/>
        <w:widowControl/>
        <w:spacing w:line="324" w:lineRule="auto" w:before="270" w:after="0"/>
        <w:ind w:left="240" w:right="4176" w:firstLine="0"/>
        <w:jc w:val="left"/>
      </w:pP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>Response generated by Model A (e.g., fine-tuned SLM)</w:t>
        <w:br/>
      </w:r>
      <w:r>
        <w:br/>
      </w:r>
      <w:r>
        <w:tab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</w:t>
      </w:r>
      <w:r>
        <w:br/>
      </w:r>
      <w:r>
        <w:tab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▼</w:t>
      </w:r>
      <w:r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>Output Guardrails evaluate response</w:t>
        <w:br/>
      </w:r>
      <w:r>
        <w:br/>
      </w:r>
      <w:r>
        <w:tab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</w:t>
      </w:r>
      <w:r>
        <w:br/>
      </w:r>
      <w:r>
        <w:tab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├── Quality score ≥ threshold → Serve response to user</w:t>
        <w:br/>
      </w:r>
      <w:r>
        <w:tab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</w:t>
      </w:r>
    </w:p>
    <w:p>
      <w:pPr>
        <w:sectPr>
          <w:pgSz w:w="11899" w:h="16838"/>
          <w:pgMar w:top="0" w:right="280" w:bottom="0" w:left="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6" w:lineRule="exact" w:before="0" w:after="0"/>
        <w:ind w:left="0" w:right="0"/>
      </w:pPr>
    </w:p>
    <w:p>
      <w:pPr>
        <w:autoSpaceDN w:val="0"/>
        <w:tabs>
          <w:tab w:pos="810" w:val="left"/>
        </w:tabs>
        <w:autoSpaceDE w:val="0"/>
        <w:widowControl/>
        <w:spacing w:line="326" w:lineRule="auto" w:before="0" w:after="0"/>
        <w:ind w:left="348" w:right="3168" w:firstLine="0"/>
        <w:jc w:val="left"/>
      </w:pP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├── Quality score &lt; threshold but &gt; minimum →</w:t>
        <w:br/>
      </w:r>
      <w:r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 Re-route to higher-tier model (mid-tier LLM)</w:t>
        <w:br/>
      </w:r>
      <w:r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   → Re-evaluate output → Serve if passes</w:t>
        <w:br/>
      </w:r>
      <w:r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│</w:t>
      </w:r>
      <w:r>
        <w:br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└── Quality score &lt; minimum OR hallucination detected →</w:t>
        <w:br/>
      </w:r>
      <w:r>
        <w:tab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Escalate to frontier model (or alternate provider)</w:t>
        <w:br/>
      </w:r>
      <w:r>
        <w:br/>
      </w:r>
      <w:r>
        <w:tab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→ Re-evaluate → Serve if passes</w:t>
        <w:br/>
      </w:r>
      <w:r>
        <w:br/>
      </w:r>
      <w:r>
        <w:tab/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 xml:space="preserve"> → If still fails → Return safe fallback + flag for review</w:t>
        <w:br/>
      </w:r>
    </w:p>
    <w:p>
      <w:pPr>
        <w:autoSpaceDN w:val="0"/>
        <w:autoSpaceDE w:val="0"/>
        <w:widowControl/>
        <w:spacing w:line="266" w:lineRule="auto" w:before="290" w:after="0"/>
        <w:ind w:left="0" w:right="0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This creates a </w:t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self-correcting inference pipeline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: SLMs handle the majority of traffic at low cost, but the guardrail layer catches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the cases where SLM output quality is insufficient and automatically escalates — without the user experiencing a failure. Over time,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the escalation data feeds back into SLM fine-tuning: queries that consistently require escalation become training candidates for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the next SLM update cycle.</w:t>
      </w:r>
    </w:p>
    <w:p>
      <w:pPr>
        <w:autoSpaceDN w:val="0"/>
        <w:autoSpaceDE w:val="0"/>
        <w:widowControl/>
        <w:spacing w:line="211" w:lineRule="auto" w:before="262" w:after="0"/>
        <w:ind w:left="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Guardrail performance considerations:</w:t>
      </w:r>
    </w:p>
    <w:p>
      <w:pPr>
        <w:autoSpaceDN w:val="0"/>
        <w:autoSpaceDE w:val="0"/>
        <w:widowControl/>
        <w:spacing w:line="245" w:lineRule="auto" w:before="274" w:after="0"/>
        <w:ind w:left="0" w:right="576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Research shows guardrail techniques add 5–300ms of latency depending on complexity. The mediation layer optimizes this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through: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276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3708400</wp:posOffset>
            </wp:positionV>
            <wp:extent cx="50800" cy="508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Lightweight, fast checks first (schema validation, topic boundary — &lt;5ms)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82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3898900</wp:posOffset>
            </wp:positionV>
            <wp:extent cx="50800" cy="508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Heavier checks only when warranted (hallucination detection on factual/high-risk queries — 50–200ms)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70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4089400</wp:posOffset>
            </wp:positionV>
            <wp:extent cx="50800" cy="508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Async evaluation for non-blocking quality logging (full quality scoring runs in parallel, results logged for dashboards and fine-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tuning, not blocking response delivery for low-risk queries)</w:t>
      </w:r>
    </w:p>
    <w:p>
      <w:pPr>
        <w:autoSpaceDN w:val="0"/>
        <w:autoSpaceDE w:val="0"/>
        <w:widowControl/>
        <w:spacing w:line="211" w:lineRule="auto" w:before="262" w:after="0"/>
        <w:ind w:left="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Provider-specific guardrail calibration:</w:t>
      </w:r>
    </w:p>
    <w:p>
      <w:pPr>
        <w:autoSpaceDN w:val="0"/>
        <w:autoSpaceDE w:val="0"/>
        <w:widowControl/>
        <w:spacing w:line="211" w:lineRule="auto" w:before="274" w:after="0"/>
        <w:ind w:left="0" w:right="0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Different providers exhibit different failure modes. The guardrail layer maintains provider-specific profiles: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262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5245100</wp:posOffset>
            </wp:positionV>
            <wp:extent cx="50800" cy="508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GPT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: Strong general quality; watch for verbose outputs and occasional confident hallucinations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82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5435600</wp:posOffset>
            </wp:positionV>
            <wp:extent cx="50800" cy="508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Claude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: Conservative and safety-aware; lower hallucination rates but may over-refuse edge cases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82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5638800</wp:posOffset>
            </wp:positionV>
            <wp:extent cx="50800" cy="508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Gemini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: Strong multimodal; watch for grounding issues on text-only factual queries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70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5829300</wp:posOffset>
            </wp:positionV>
            <wp:extent cx="50800" cy="508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SLMs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: Domain-accurate when on-topic; higher hallucination risk for out-of-domain queries (where escalation is critical)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82" w:after="0"/>
        <w:ind w:left="260" w:right="144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6032500</wp:posOffset>
            </wp:positionV>
            <wp:extent cx="50800" cy="508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Open-source (DeepSeek, Llama)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: Variable quality; requires more aggressive output validation, especially for regulated use 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cases</w:t>
      </w:r>
    </w:p>
    <w:p>
      <w:pPr>
        <w:autoSpaceDN w:val="0"/>
        <w:autoSpaceDE w:val="0"/>
        <w:widowControl/>
        <w:spacing w:line="211" w:lineRule="auto" w:before="354" w:after="0"/>
        <w:ind w:left="0" w:right="0" w:firstLine="0"/>
        <w:jc w:val="left"/>
      </w:pPr>
      <w:r>
        <w:rPr>
          <w:rFonts w:ascii="Barlow" w:hAnsi="Barlow" w:eastAsia="Barlow"/>
          <w:b/>
          <w:i w:val="0"/>
          <w:color w:val="455A64"/>
          <w:sz w:val="27"/>
        </w:rPr>
        <w:t>5.6 Pillar 5: ESG Metrics Computation</w:t>
      </w:r>
    </w:p>
    <w:p>
      <w:pPr>
        <w:autoSpaceDN w:val="0"/>
        <w:autoSpaceDE w:val="0"/>
        <w:widowControl/>
        <w:spacing w:line="211" w:lineRule="auto" w:before="380" w:after="0"/>
        <w:ind w:left="0" w:right="0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Every inference request generates a carbon footprint estimate, computed in real-time at the egress layer.</w:t>
      </w:r>
    </w:p>
    <w:p>
      <w:pPr>
        <w:autoSpaceDN w:val="0"/>
        <w:autoSpaceDE w:val="0"/>
        <w:widowControl/>
        <w:spacing w:line="211" w:lineRule="auto" w:before="264" w:after="0"/>
        <w:ind w:left="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Token-to-carbon chain:</w:t>
      </w:r>
    </w:p>
    <w:p>
      <w:pPr>
        <w:autoSpaceDN w:val="0"/>
        <w:autoSpaceDE w:val="0"/>
        <w:widowControl/>
        <w:spacing w:line="250" w:lineRule="auto" w:before="260" w:after="0"/>
        <w:ind w:left="0" w:right="0" w:firstLine="0"/>
        <w:jc w:val="left"/>
      </w:pP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>CO</w:t>
      </w:r>
      <w:r>
        <w:rPr>
          <w:w w:val="101.44764749627365"/>
          <w:rFonts w:ascii="Times New Roman" w:hAnsi="Times New Roman" w:eastAsia="Times New Roman"/>
          <w:b w:val="0"/>
          <w:i w:val="0"/>
          <w:color w:val="000000"/>
          <w:sz w:val="19"/>
        </w:rPr>
        <w:t>₂</w:t>
      </w:r>
      <w:r>
        <w:rPr>
          <w:w w:val="101.44764749627365"/>
          <w:rFonts w:ascii="Courier New" w:hAnsi="Courier New" w:eastAsia="Courier New"/>
          <w:b w:val="0"/>
          <w:i w:val="0"/>
          <w:color w:val="000000"/>
          <w:sz w:val="19"/>
        </w:rPr>
        <w:t>e = Tokens × FLOPs_per_token × Energy_per_FLOP × Grid_Carbon_Intensity</w:t>
        <w:br/>
      </w:r>
    </w:p>
    <w:p>
      <w:pPr>
        <w:autoSpaceDN w:val="0"/>
        <w:autoSpaceDE w:val="0"/>
        <w:widowControl/>
        <w:spacing w:line="211" w:lineRule="auto" w:before="280" w:after="0"/>
        <w:ind w:left="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Per-model calibration: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276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8305800</wp:posOffset>
            </wp:positionV>
            <wp:extent cx="50800" cy="508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Frontier (175B+): ~350 TFLOPs per 1K tokens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82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8509000</wp:posOffset>
            </wp:positionV>
            <wp:extent cx="50800" cy="508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Mid-tier (13–70B): ~35 TFLOPs per 1K tokens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70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8699500</wp:posOffset>
            </wp:positionV>
            <wp:extent cx="50800" cy="508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SLM (7–13B): ~10 TFLOPs per 1K tokens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82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8902700</wp:posOffset>
            </wp:positionV>
            <wp:extent cx="50800" cy="508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Distilled/edge (1–3B): ~2 TFLOPs per 1K tokens</w:t>
      </w:r>
    </w:p>
    <w:p>
      <w:pPr>
        <w:autoSpaceDN w:val="0"/>
        <w:autoSpaceDE w:val="0"/>
        <w:widowControl/>
        <w:spacing w:line="211" w:lineRule="auto" w:before="262" w:after="0"/>
        <w:ind w:left="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Grid intensity integration: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274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9537700</wp:posOffset>
            </wp:positionV>
            <wp:extent cx="50800" cy="508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Real-time carbon intensity APIs (e.g., ElectricityMaps, WattTime) provide per-region, per-hour gCO</w:t>
      </w:r>
      <w:r>
        <w:rPr>
          <w:w w:val="101.44764749627365"/>
          <w:rFonts w:ascii="Times New Roman" w:hAnsi="Times New Roman" w:eastAsia="Times New Roman"/>
          <w:b w:val="0"/>
          <w:i w:val="0"/>
          <w:color w:val="000000"/>
          <w:sz w:val="19"/>
        </w:rPr>
        <w:t>₂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/kWh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78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9728200</wp:posOffset>
            </wp:positionV>
            <wp:extent cx="50800" cy="508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Carbon intensity varies 30×+ across regions: Norway (</w:t>
      </w:r>
      <w:r>
        <w:rPr>
          <w:w w:val="101.44764749627365"/>
          <w:rFonts w:ascii="Barlow" w:hAnsi="Barlow" w:eastAsia="Barlow"/>
          <w:b w:val="0"/>
          <w:i w:val="0"/>
          <w:strike/>
          <w:color w:val="000000"/>
          <w:sz w:val="19"/>
        </w:rPr>
        <w:t>20 gCO</w:t>
      </w:r>
      <w:r>
        <w:rPr>
          <w:w w:val="101.44764749627365"/>
          <w:rFonts w:ascii="Times New Roman" w:hAnsi="Times New Roman" w:eastAsia="Times New Roman"/>
          <w:b w:val="0"/>
          <w:i w:val="0"/>
          <w:strike/>
          <w:color w:val="000000"/>
          <w:sz w:val="19"/>
        </w:rPr>
        <w:t>₂</w:t>
      </w:r>
      <w:r>
        <w:rPr>
          <w:w w:val="101.44764749627365"/>
          <w:rFonts w:ascii="Barlow" w:hAnsi="Barlow" w:eastAsia="Barlow"/>
          <w:b w:val="0"/>
          <w:i w:val="0"/>
          <w:strike/>
          <w:color w:val="000000"/>
          <w:sz w:val="19"/>
        </w:rPr>
        <w:t>/kWh) vs. MISO/Illinois (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686 gCO</w:t>
      </w:r>
      <w:r>
        <w:rPr>
          <w:w w:val="101.44764749627365"/>
          <w:rFonts w:ascii="Times New Roman" w:hAnsi="Times New Roman" w:eastAsia="Times New Roman"/>
          <w:b w:val="0"/>
          <w:i w:val="0"/>
          <w:color w:val="000000"/>
          <w:sz w:val="19"/>
        </w:rPr>
        <w:t>₂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/kWh)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68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9918700</wp:posOffset>
            </wp:positionV>
            <wp:extent cx="50800" cy="508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For batch workloads, the layer can schedule inference during low-carbon windows or route to low-carbon regions</w:t>
      </w:r>
    </w:p>
    <w:p>
      <w:pPr>
        <w:autoSpaceDN w:val="0"/>
        <w:autoSpaceDE w:val="0"/>
        <w:widowControl/>
        <w:spacing w:line="211" w:lineRule="auto" w:before="276" w:after="0"/>
        <w:ind w:left="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Reporting alignment:</w:t>
      </w:r>
    </w:p>
    <w:p>
      <w:pPr>
        <w:sectPr>
          <w:pgSz w:w="11899" w:h="16838"/>
          <w:pgMar w:top="166" w:right="538" w:bottom="288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68" w:lineRule="exact" w:before="0" w:after="0"/>
        <w:ind w:left="0" w:right="0"/>
      </w:pPr>
    </w:p>
    <w:p>
      <w:pPr>
        <w:autoSpaceDN w:val="0"/>
        <w:tabs>
          <w:tab w:pos="482" w:val="left"/>
        </w:tabs>
        <w:autoSpaceDE w:val="0"/>
        <w:widowControl/>
        <w:spacing w:line="240" w:lineRule="auto" w:before="0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279400</wp:posOffset>
            </wp:positionV>
            <wp:extent cx="50800" cy="508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Automated Scope 3 (Category 1) attribution for third-party API usage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82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469900</wp:posOffset>
            </wp:positionV>
            <wp:extent cx="50800" cy="508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Scope 2 attribution for self-hosted SLM infrastructure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70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673100</wp:posOffset>
            </wp:positionV>
            <wp:extent cx="50800" cy="381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Structured output compatible with GRI 305, TCFD, CDP, SASB, SBTi frameworks</w:t>
      </w:r>
    </w:p>
    <w:p>
      <w:pPr>
        <w:autoSpaceDN w:val="0"/>
        <w:tabs>
          <w:tab w:pos="260" w:val="left"/>
          <w:tab w:pos="482" w:val="left"/>
        </w:tabs>
        <w:autoSpaceDE w:val="0"/>
        <w:widowControl/>
        <w:spacing w:line="240" w:lineRule="auto" w:before="82" w:after="0"/>
        <w:ind w:left="0" w:right="432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863600</wp:posOffset>
            </wp:positionV>
            <wp:extent cx="50800" cy="508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Per-department, per-application, per-use-case carbon attribution — enabling ESG showback and eventual chargeback </w:t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SLM routing as carbon lever: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Because SLMs consume 10–30× less compute than frontier models, routing 70–80% of traffic to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SLMs delivers a proportional carbon reduction — making Pillar 2 (routing) and Pillar 3 (ESG) mutually reinforcing.</w:t>
      </w:r>
    </w:p>
    <w:p>
      <w:pPr>
        <w:autoSpaceDN w:val="0"/>
        <w:autoSpaceDE w:val="0"/>
        <w:widowControl/>
        <w:spacing w:line="245" w:lineRule="auto" w:before="274" w:after="0"/>
        <w:ind w:left="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Target metric: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Per-request CO</w:t>
      </w:r>
      <w:r>
        <w:rPr>
          <w:w w:val="101.44764749627365"/>
          <w:rFonts w:ascii="Times New Roman" w:hAnsi="Times New Roman" w:eastAsia="Times New Roman"/>
          <w:b w:val="0"/>
          <w:i w:val="0"/>
          <w:color w:val="000000"/>
          <w:sz w:val="19"/>
        </w:rPr>
        <w:t>₂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e estimation within 10% accuracy, with monthly aggregated reporting aligned to at least two major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ESG frameworks.</w:t>
      </w:r>
    </w:p>
    <w:p>
      <w:pPr>
        <w:autoSpaceDN w:val="0"/>
        <w:autoSpaceDE w:val="0"/>
        <w:widowControl/>
        <w:spacing w:line="211" w:lineRule="auto" w:before="354" w:after="0"/>
        <w:ind w:left="0" w:right="0" w:firstLine="0"/>
        <w:jc w:val="left"/>
      </w:pPr>
      <w:r>
        <w:rPr>
          <w:rFonts w:ascii="Barlow" w:hAnsi="Barlow" w:eastAsia="Barlow"/>
          <w:b/>
          <w:i w:val="0"/>
          <w:color w:val="455A64"/>
          <w:sz w:val="27"/>
        </w:rPr>
        <w:t>5.7 Pillar 6: Observability &amp; Monitoring (SLA and NFR Enforcement)</w:t>
      </w:r>
    </w:p>
    <w:p>
      <w:pPr>
        <w:autoSpaceDN w:val="0"/>
        <w:autoSpaceDE w:val="0"/>
        <w:widowControl/>
        <w:spacing w:line="336" w:lineRule="auto" w:before="368" w:after="0"/>
        <w:ind w:left="0" w:right="1008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The mediation layer provides end-to-end observability across performance, cost, carbon, and compliance dimensions. </w:t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SLA enforcement: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274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3340100</wp:posOffset>
            </wp:positionV>
            <wp:extent cx="50800" cy="508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Latency targets by tier: P95 &lt; 200ms (SLM), &lt; 1.5s (mid-tier), &lt; 4.0s (frontier)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70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3530600</wp:posOffset>
            </wp:positionV>
            <wp:extent cx="50800" cy="508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Availability targets: 99.99% (critical), 99.95% (production), 99.9% (business)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82" w:after="0"/>
        <w:ind w:left="260" w:right="576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3733800</wp:posOffset>
            </wp:positionV>
            <wp:extent cx="50800" cy="508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Circuit breakers: Closed </w:t>
      </w:r>
      <w:r>
        <w:rPr>
          <w:w w:val="101.44764749627365"/>
          <w:rFonts w:ascii="Arial" w:hAnsi="Arial" w:eastAsia="Arial"/>
          <w:b w:val="0"/>
          <w:i w:val="0"/>
          <w:color w:val="000000"/>
          <w:sz w:val="19"/>
        </w:rPr>
        <w:t>→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Open </w:t>
      </w:r>
      <w:r>
        <w:rPr>
          <w:w w:val="101.44764749627365"/>
          <w:rFonts w:ascii="Arial" w:hAnsi="Arial" w:eastAsia="Arial"/>
          <w:b w:val="0"/>
          <w:i w:val="0"/>
          <w:color w:val="000000"/>
          <w:sz w:val="19"/>
        </w:rPr>
        <w:t>→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Half-Open, with automatic failover (provider switch, model tier downgrade, cached </w:t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response, or async queue)</w:t>
      </w:r>
    </w:p>
    <w:p>
      <w:pPr>
        <w:autoSpaceDN w:val="0"/>
        <w:tabs>
          <w:tab w:pos="260" w:val="left"/>
          <w:tab w:pos="482" w:val="left"/>
        </w:tabs>
        <w:autoSpaceDE w:val="0"/>
        <w:widowControl/>
        <w:spacing w:line="240" w:lineRule="auto" w:before="82" w:after="0"/>
        <w:ind w:left="0" w:right="3312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4127500</wp:posOffset>
            </wp:positionV>
            <wp:extent cx="50800" cy="508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Multi-provider failover with model equivalence mapping for transparent substitution </w:t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NFR enforcement (per-request policy evaluation):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262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4762500</wp:posOffset>
            </wp:positionV>
            <wp:extent cx="50800" cy="508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PII detection and redaction before inference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82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4953000</wp:posOffset>
            </wp:positionV>
            <wp:extent cx="50800" cy="508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Data sovereignty routing (restricted data </w:t>
      </w:r>
      <w:r>
        <w:rPr>
          <w:w w:val="101.44764749627365"/>
          <w:rFonts w:ascii="Arial" w:hAnsi="Arial" w:eastAsia="Arial"/>
          <w:b w:val="0"/>
          <w:i w:val="0"/>
          <w:color w:val="000000"/>
          <w:sz w:val="19"/>
        </w:rPr>
        <w:t>→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compliant regions / air-gapped models only)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68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5143500</wp:posOffset>
            </wp:positionV>
            <wp:extent cx="50800" cy="508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Output validation (hallucination scoring, format compliance, safety checks)</w:t>
      </w:r>
    </w:p>
    <w:p>
      <w:pPr>
        <w:autoSpaceDN w:val="0"/>
        <w:tabs>
          <w:tab w:pos="482" w:val="left"/>
        </w:tabs>
        <w:autoSpaceDE w:val="0"/>
        <w:widowControl/>
        <w:spacing w:line="240" w:lineRule="auto" w:before="82" w:after="0"/>
        <w:ind w:left="2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5346700</wp:posOffset>
            </wp:positionV>
            <wp:extent cx="50800" cy="508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Audit trail generation (structured record per request with policy evaluation results)</w:t>
      </w:r>
    </w:p>
    <w:p>
      <w:pPr>
        <w:autoSpaceDN w:val="0"/>
        <w:tabs>
          <w:tab w:pos="260" w:val="left"/>
          <w:tab w:pos="482" w:val="left"/>
        </w:tabs>
        <w:autoSpaceDE w:val="0"/>
        <w:widowControl/>
        <w:spacing w:line="240" w:lineRule="auto" w:before="70" w:after="238"/>
        <w:ind w:left="0" w:right="720" w:firstLine="0"/>
        <w:jc w:val="left"/>
      </w:pPr>
      <w:r>
        <w:tab/>
      </w: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5537200</wp:posOffset>
            </wp:positionV>
            <wp:extent cx="50800" cy="508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tab/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EU AI Act compliance features: AI system inventory tagging, risk classification logging, transparency documentation </w:t>
      </w: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Unified dashboards: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5419"/>
        <w:gridCol w:w="5419"/>
      </w:tblGrid>
      <w:tr>
        <w:trPr>
          <w:trHeight w:hRule="exact" w:val="434"/>
        </w:trPr>
        <w:tc>
          <w:tcPr>
            <w:tcW w:type="dxa" w:w="1504"/>
            <w:tcBorders>
              <w:start w:sz="4.0" w:val="single" w:color="#DDDDDD"/>
              <w:top w:sz="4.800000000000182" w:val="single" w:color="#DDDDDD"/>
              <w:end w:sz="4.800000000000068" w:val="single" w:color="#DDDDDD"/>
              <w:bottom w:sz="4.800000000000182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Dashboard</w:t>
            </w:r>
          </w:p>
        </w:tc>
        <w:tc>
          <w:tcPr>
            <w:tcW w:type="dxa" w:w="9302"/>
            <w:tcBorders>
              <w:start w:sz="4.800000000000068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Key Metrics</w:t>
            </w:r>
          </w:p>
        </w:tc>
      </w:tr>
      <w:tr>
        <w:trPr>
          <w:trHeight w:hRule="exact" w:val="662"/>
        </w:trPr>
        <w:tc>
          <w:tcPr>
            <w:tcW w:type="dxa" w:w="1504"/>
            <w:tcBorders>
              <w:start w:sz="4.0" w:val="single" w:color="#DDDDDD"/>
              <w:top w:sz="4.800000000000182" w:val="single" w:color="#DDDDDD"/>
              <w:end w:sz="4.800000000000068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Executive</w:t>
            </w:r>
          </w:p>
        </w:tc>
        <w:tc>
          <w:tcPr>
            <w:tcW w:type="dxa" w:w="9302"/>
            <w:tcBorders>
              <w:start w:sz="4.800000000000068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72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Total token volume, cost trend, carbon footprint, budget utilization, compliance health score, guardrail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escalation rate</w:t>
            </w:r>
          </w:p>
        </w:tc>
      </w:tr>
      <w:tr>
        <w:trPr>
          <w:trHeight w:hRule="exact" w:val="664"/>
        </w:trPr>
        <w:tc>
          <w:tcPr>
            <w:tcW w:type="dxa" w:w="1504"/>
            <w:tcBorders>
              <w:start w:sz="4.0" w:val="single" w:color="#DDDDDD"/>
              <w:top w:sz="4.800000000000182" w:val="single" w:color="#DDDDDD"/>
              <w:end w:sz="4.800000000000068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FinOps</w:t>
            </w:r>
          </w:p>
        </w:tc>
        <w:tc>
          <w:tcPr>
            <w:tcW w:type="dxa" w:w="9302"/>
            <w:tcBorders>
              <w:start w:sz="4.800000000000068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86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Cost per department/team/app, model tier breakdown, SLM vs. LLM ratio, provider cost comparison,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optimization opportunities, cache savings</w:t>
            </w:r>
          </w:p>
        </w:tc>
      </w:tr>
      <w:tr>
        <w:trPr>
          <w:trHeight w:hRule="exact" w:val="674"/>
        </w:trPr>
        <w:tc>
          <w:tcPr>
            <w:tcW w:type="dxa" w:w="1504"/>
            <w:tcBorders>
              <w:start w:sz="4.0" w:val="single" w:color="#DDDDDD"/>
              <w:top w:sz="4.800000000000182" w:val="single" w:color="#DDDDDD"/>
              <w:end w:sz="4.800000000000068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1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ESG</w:t>
            </w:r>
          </w:p>
        </w:tc>
        <w:tc>
          <w:tcPr>
            <w:tcW w:type="dxa" w:w="9302"/>
            <w:tcBorders>
              <w:start w:sz="4.800000000000068" w:val="single" w:color="#DDDDDD"/>
              <w:top w:sz="4.800000000000182" w:val="single" w:color="#DDDDDD"/>
              <w:end w:sz="4.800000000000182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432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Monthly CO</w:t>
            </w:r>
            <w:r>
              <w:rPr>
                <w:w w:val="101.44764749627365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₂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e, carbon intensity trend, SLM routing percentage (as carbon proxy), renewable routing share,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Scope 3 attribution</w:t>
            </w:r>
          </w:p>
        </w:tc>
      </w:tr>
      <w:tr>
        <w:trPr>
          <w:trHeight w:hRule="exact" w:val="662"/>
        </w:trPr>
        <w:tc>
          <w:tcPr>
            <w:tcW w:type="dxa" w:w="1504"/>
            <w:tcBorders>
              <w:start w:sz="4.0" w:val="single" w:color="#DDDDDD"/>
              <w:top w:sz="4.799999999999272" w:val="single" w:color="#DDDDDD"/>
              <w:end w:sz="4.800000000000068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Platform Ops</w:t>
            </w:r>
          </w:p>
        </w:tc>
        <w:tc>
          <w:tcPr>
            <w:tcW w:type="dxa" w:w="9302"/>
            <w:tcBorders>
              <w:start w:sz="4.800000000000068" w:val="single" w:color="#DDDDDD"/>
              <w:top w:sz="4.79999999999927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576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Requests/sec, P50/P95/P99 latency, cache hit rate, provider health, circuit breaker state, SLM accuracy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scores, provider failover events</w:t>
            </w:r>
          </w:p>
        </w:tc>
      </w:tr>
      <w:tr>
        <w:trPr>
          <w:trHeight w:hRule="exact" w:val="662"/>
        </w:trPr>
        <w:tc>
          <w:tcPr>
            <w:tcW w:type="dxa" w:w="1504"/>
            <w:tcBorders>
              <w:start w:sz="4.0" w:val="single" w:color="#DDDDDD"/>
              <w:top w:sz="4.800000000000182" w:val="single" w:color="#DDDDDD"/>
              <w:end w:sz="4.800000000000068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432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Quality &amp; </w:t>
            </w:r>
            <w:r>
              <w:br/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Guardrails</w:t>
            </w:r>
          </w:p>
        </w:tc>
        <w:tc>
          <w:tcPr>
            <w:tcW w:type="dxa" w:w="9302"/>
            <w:tcBorders>
              <w:start w:sz="4.800000000000068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1152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Hallucination detection rate, guardrail block rate, escalation rate by model/provider, quality score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distribution, false positive rate, confidence threshold trends</w:t>
            </w:r>
          </w:p>
        </w:tc>
      </w:tr>
      <w:tr>
        <w:trPr>
          <w:trHeight w:hRule="exact" w:val="664"/>
        </w:trPr>
        <w:tc>
          <w:tcPr>
            <w:tcW w:type="dxa" w:w="1504"/>
            <w:tcBorders>
              <w:start w:sz="4.0" w:val="single" w:color="#DDDDDD"/>
              <w:top w:sz="4.800000000000182" w:val="single" w:color="#DDDDDD"/>
              <w:end w:sz="4.800000000000068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98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Security &amp; </w:t>
            </w:r>
            <w:r>
              <w:br/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Compliance</w:t>
            </w:r>
          </w:p>
        </w:tc>
        <w:tc>
          <w:tcPr>
            <w:tcW w:type="dxa" w:w="9302"/>
            <w:tcBorders>
              <w:start w:sz="4.800000000000068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PII exposure events, prompt injection attempts, data sovereignty violations, shadow AI detection alerts, EU AI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Act audit readiness score</w:t>
            </w:r>
          </w:p>
        </w:tc>
      </w:tr>
    </w:tbl>
    <w:p>
      <w:pPr>
        <w:autoSpaceDN w:val="0"/>
        <w:autoSpaceDE w:val="0"/>
        <w:widowControl/>
        <w:spacing w:line="245" w:lineRule="auto" w:before="228" w:after="0"/>
        <w:ind w:left="0" w:right="0" w:firstLine="0"/>
        <w:jc w:val="left"/>
      </w:pPr>
      <w:r>
        <w:rPr>
          <w:w w:val="101.44764749627365"/>
          <w:rFonts w:ascii="Barlow" w:hAnsi="Barlow" w:eastAsia="Barlow"/>
          <w:b/>
          <w:i w:val="0"/>
          <w:color w:val="000000"/>
          <w:sz w:val="19"/>
        </w:rPr>
        <w:t>Target metric: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 Real-time visibility into 100% of governed inference traffic, with dashboard refresh &lt; 30 seconds and alert latency &lt;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60 seconds.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9537700</wp:posOffset>
            </wp:positionV>
            <wp:extent cx="6870700" cy="254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1" w:lineRule="auto" w:before="350" w:after="568"/>
        <w:ind w:left="0" w:right="0" w:firstLine="0"/>
        <w:jc w:val="left"/>
      </w:pPr>
      <w:r>
        <w:rPr>
          <w:rFonts w:ascii="Barlow" w:hAnsi="Barlow" w:eastAsia="Barlow"/>
          <w:b/>
          <w:i w:val="0"/>
          <w:color w:val="34495E"/>
          <w:sz w:val="35"/>
        </w:rPr>
        <w:t>6. Differentiation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3613"/>
        <w:gridCol w:w="3613"/>
        <w:gridCol w:w="3613"/>
      </w:tblGrid>
      <w:tr>
        <w:trPr>
          <w:trHeight w:hRule="exact" w:val="418"/>
        </w:trPr>
        <w:tc>
          <w:tcPr>
            <w:tcW w:type="dxa" w:w="1336"/>
            <w:tcBorders>
              <w:start w:sz="4.0" w:val="single" w:color="#DDDDDD"/>
              <w:top w:sz="4.799999999999272" w:val="single" w:color="#DDDDDD"/>
              <w:end w:sz="4.7999999999999545" w:val="single" w:color="#DDDDD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578"/>
            <w:tcBorders>
              <w:start w:sz="4.7999999999999545" w:val="single" w:color="#DDDDDD"/>
              <w:top w:sz="4.799999999999272" w:val="single" w:color="#DDDDDD"/>
              <w:end w:sz="4.7999999999999545" w:val="single" w:color="#DDDDD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892"/>
            <w:tcBorders>
              <w:start w:sz="4.7999999999999545" w:val="single" w:color="#DDDDDD"/>
              <w:top w:sz="4.799999999999272" w:val="single" w:color="#DDDDDD"/>
              <w:end w:sz="4.800000000000182" w:val="single" w:color="#DDDDDD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168" w:right="520" w:bottom="0" w:left="5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7.99999999999997" w:type="dxa"/>
      </w:tblPr>
      <w:tblGrid>
        <w:gridCol w:w="3773"/>
        <w:gridCol w:w="3773"/>
        <w:gridCol w:w="3773"/>
      </w:tblGrid>
      <w:tr>
        <w:trPr>
          <w:trHeight w:hRule="exact" w:val="434"/>
        </w:trPr>
        <w:tc>
          <w:tcPr>
            <w:tcW w:type="dxa" w:w="1336"/>
            <w:tcBorders>
              <w:start w:sz="4.0" w:val="single" w:color="#DDDDDD"/>
              <w:top w:sz="4.799999999999997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Dimension</w:t>
            </w:r>
          </w:p>
        </w:tc>
        <w:tc>
          <w:tcPr>
            <w:tcW w:type="dxa" w:w="2578"/>
            <w:tcBorders>
              <w:start w:sz="4.7999999999999545" w:val="single" w:color="#DDDDDD"/>
              <w:top w:sz="4.799999999999997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Existing Approaches</w:t>
            </w:r>
          </w:p>
        </w:tc>
        <w:tc>
          <w:tcPr>
            <w:tcW w:type="dxa" w:w="6892"/>
            <w:tcBorders>
              <w:start w:sz="4.7999999999999545" w:val="single" w:color="#DDDDDD"/>
              <w:top w:sz="4.799999999999997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Proposed Mediation Layer</w:t>
            </w:r>
          </w:p>
        </w:tc>
      </w:tr>
      <w:tr>
        <w:trPr>
          <w:trHeight w:hRule="exact" w:val="672"/>
        </w:trPr>
        <w:tc>
          <w:tcPr>
            <w:tcW w:type="dxa" w:w="1336"/>
            <w:tcBorders>
              <w:start w:sz="4.0" w:val="single" w:color="#DDDDDD"/>
              <w:top w:sz="4.7999999999999545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98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Cost </w:t>
            </w:r>
            <w:r>
              <w:br/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optimization</w:t>
            </w:r>
          </w:p>
        </w:tc>
        <w:tc>
          <w:tcPr>
            <w:tcW w:type="dxa" w:w="2578"/>
            <w:tcBorders>
              <w:start w:sz="4.7999999999999545" w:val="single" w:color="#DDDDDD"/>
              <w:top w:sz="4.7999999999999545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96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Gateway-level caching and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provider arbitrage</w:t>
            </w:r>
          </w:p>
        </w:tc>
        <w:tc>
          <w:tcPr>
            <w:tcW w:type="dxa" w:w="6892"/>
            <w:tcBorders>
              <w:start w:sz="4.7999999999999545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96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Token-level ingress/egress metering + SLM-first routing (10–30× cheaper) +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dynamic provider cost arbitrage + prompt compression + budget enforcement</w:t>
            </w:r>
          </w:p>
        </w:tc>
      </w:tr>
      <w:tr>
        <w:trPr>
          <w:trHeight w:hRule="exact" w:val="892"/>
        </w:trPr>
        <w:tc>
          <w:tcPr>
            <w:tcW w:type="dxa" w:w="1336"/>
            <w:tcBorders>
              <w:start w:sz="4.0" w:val="single" w:color="#DDDDDD"/>
              <w:top w:sz="4.7999999999999545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98" w:right="576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Model </w:t>
            </w:r>
            <w:r>
              <w:br/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routing</w:t>
            </w:r>
          </w:p>
        </w:tc>
        <w:tc>
          <w:tcPr>
            <w:tcW w:type="dxa" w:w="2578"/>
            <w:tcBorders>
              <w:start w:sz="4.7999999999999545" w:val="single" w:color="#DDDDDD"/>
              <w:top w:sz="4.7999999999999545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Tier selection among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external API models from a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single provider</w:t>
            </w:r>
          </w:p>
        </w:tc>
        <w:tc>
          <w:tcPr>
            <w:tcW w:type="dxa" w:w="6892"/>
            <w:tcBorders>
              <w:start w:sz="4.7999999999999545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Integrated SLM routing with fine-tuned models as first-class targets + prompt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uplift + dynamic multi-provider selection (GPT, Claude, Gemini, DeepSeek, open-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source) based on task-fit, cost, compliance, and latency</w:t>
            </w:r>
          </w:p>
        </w:tc>
      </w:tr>
      <w:tr>
        <w:trPr>
          <w:trHeight w:hRule="exact" w:val="1120"/>
        </w:trPr>
        <w:tc>
          <w:tcPr>
            <w:tcW w:type="dxa" w:w="1336"/>
            <w:tcBorders>
              <w:start w:sz="4.0" w:val="single" w:color="#DDDDDD"/>
              <w:top w:sz="4.7999999999999545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434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Guardrails</w:t>
            </w:r>
          </w:p>
        </w:tc>
        <w:tc>
          <w:tcPr>
            <w:tcW w:type="dxa" w:w="2578"/>
            <w:tcBorders>
              <w:start w:sz="4.7999999999999545" w:val="single" w:color="#DDDDDD"/>
              <w:top w:sz="4.7999999999999545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Separate guardrail tools or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built-in provider safety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filters; no integration with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routing</w:t>
            </w:r>
          </w:p>
        </w:tc>
        <w:tc>
          <w:tcPr>
            <w:tcW w:type="dxa" w:w="6892"/>
            <w:tcBorders>
              <w:start w:sz="4.7999999999999545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576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Dual-layer guardrails (input + output) integrated into the inference path;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hallucination detection, confidence scoring, toxicity filtering, and schema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enforcement — with automatic escalation loop feeding back into routing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decisions</w:t>
            </w:r>
          </w:p>
        </w:tc>
      </w:tr>
      <w:tr>
        <w:trPr>
          <w:trHeight w:hRule="exact" w:val="892"/>
        </w:trPr>
        <w:tc>
          <w:tcPr>
            <w:tcW w:type="dxa" w:w="1336"/>
            <w:tcBorders>
              <w:start w:sz="4.0" w:val="single" w:color="#DDDDDD"/>
              <w:top w:sz="4.7999999999999545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0" w:right="288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Response 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evaluation</w:t>
            </w:r>
          </w:p>
        </w:tc>
        <w:tc>
          <w:tcPr>
            <w:tcW w:type="dxa" w:w="2578"/>
            <w:tcBorders>
              <w:start w:sz="4.7999999999999545" w:val="single" w:color="#DDDDDD"/>
              <w:top w:sz="4.7999999999999545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432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Post-hoc evaluation in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separate platforms; not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real-time</w:t>
            </w:r>
          </w:p>
        </w:tc>
        <w:tc>
          <w:tcPr>
            <w:tcW w:type="dxa" w:w="6892"/>
            <w:tcBorders>
              <w:start w:sz="4.7999999999999545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Real-time quality scoring (relevance, coherence, accuracy) per response;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provider-specific failure mode profiling; escalation data feeding continuous SLM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improvement</w:t>
            </w:r>
          </w:p>
        </w:tc>
      </w:tr>
      <w:tr>
        <w:trPr>
          <w:trHeight w:hRule="exact" w:val="674"/>
        </w:trPr>
        <w:tc>
          <w:tcPr>
            <w:tcW w:type="dxa" w:w="1336"/>
            <w:tcBorders>
              <w:start w:sz="4.0" w:val="single" w:color="#DDDDDD"/>
              <w:top w:sz="4.7999999999999545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1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ESG</w:t>
            </w:r>
          </w:p>
        </w:tc>
        <w:tc>
          <w:tcPr>
            <w:tcW w:type="dxa" w:w="2578"/>
            <w:tcBorders>
              <w:start w:sz="4.7999999999999545" w:val="single" w:color="#DDDDDD"/>
              <w:top w:sz="4.7999999999999545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Data center-level carbon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initiatives</w:t>
            </w:r>
          </w:p>
        </w:tc>
        <w:tc>
          <w:tcPr>
            <w:tcW w:type="dxa" w:w="6892"/>
            <w:tcBorders>
              <w:start w:sz="4.7999999999999545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Per-inference CO</w:t>
            </w:r>
            <w:r>
              <w:rPr>
                <w:w w:val="101.44764749627365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₂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e computation with real-time grid intensity + ESG framework-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aligned reporting</w:t>
            </w:r>
          </w:p>
        </w:tc>
      </w:tr>
      <w:tr>
        <w:trPr>
          <w:trHeight w:hRule="exact" w:val="892"/>
        </w:trPr>
        <w:tc>
          <w:tcPr>
            <w:tcW w:type="dxa" w:w="1336"/>
            <w:tcBorders>
              <w:start w:sz="4.0" w:val="single" w:color="#DDDDDD"/>
              <w:top w:sz="4.7999999999999545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32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Observability</w:t>
            </w:r>
          </w:p>
        </w:tc>
        <w:tc>
          <w:tcPr>
            <w:tcW w:type="dxa" w:w="2578"/>
            <w:tcBorders>
              <w:start w:sz="4.7999999999999545" w:val="single" w:color="#DDDDDD"/>
              <w:top w:sz="4.7999999999999545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432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Separate tools for cost,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performance, and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compliance</w:t>
            </w:r>
          </w:p>
        </w:tc>
        <w:tc>
          <w:tcPr>
            <w:tcW w:type="dxa" w:w="6892"/>
            <w:tcBorders>
              <w:start w:sz="4.7999999999999545" w:val="single" w:color="#DDDDDD"/>
              <w:top w:sz="4.7999999999999545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96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Unified control plane covering cost + carbon + SLA + NFR + guardrail metrics +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provider comparison in a single pane</w:t>
            </w:r>
          </w:p>
        </w:tc>
      </w:tr>
      <w:tr>
        <w:trPr>
          <w:trHeight w:hRule="exact" w:val="662"/>
        </w:trPr>
        <w:tc>
          <w:tcPr>
            <w:tcW w:type="dxa" w:w="1336"/>
            <w:tcBorders>
              <w:start w:sz="4.0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SLM lifecycle</w:t>
            </w:r>
          </w:p>
        </w:tc>
        <w:tc>
          <w:tcPr>
            <w:tcW w:type="dxa" w:w="2578"/>
            <w:tcBorders>
              <w:start w:sz="4.7999999999999545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432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Standalone fine-tuning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projects</w:t>
            </w:r>
          </w:p>
        </w:tc>
        <w:tc>
          <w:tcPr>
            <w:tcW w:type="dxa" w:w="6892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Integrated fine-tuning pipeline with automatic promotion, shadow mode, and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continuous improvement loop fed by guardrail escalation data</w:t>
            </w:r>
          </w:p>
        </w:tc>
      </w:tr>
      <w:tr>
        <w:trPr>
          <w:trHeight w:hRule="exact" w:val="892"/>
        </w:trPr>
        <w:tc>
          <w:tcPr>
            <w:tcW w:type="dxa" w:w="1336"/>
            <w:tcBorders>
              <w:start w:sz="4.0" w:val="single" w:color="#DDDDDD"/>
              <w:top w:sz="4.800000000000182" w:val="single" w:color="#DDDDDD"/>
              <w:end w:sz="4.7999999999999545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6" w:after="0"/>
              <w:ind w:left="98" w:right="432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 xml:space="preserve">Provider </w:t>
            </w: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strategy</w:t>
            </w:r>
          </w:p>
        </w:tc>
        <w:tc>
          <w:tcPr>
            <w:tcW w:type="dxa" w:w="2578"/>
            <w:tcBorders>
              <w:start w:sz="4.7999999999999545" w:val="single" w:color="#DDDDDD"/>
              <w:top w:sz="4.800000000000182" w:val="single" w:color="#DDDDDD"/>
              <w:end w:sz="4.7999999999999545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Single-provider lock-in or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manual multi-provider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management</w:t>
            </w:r>
          </w:p>
        </w:tc>
        <w:tc>
          <w:tcPr>
            <w:tcW w:type="dxa" w:w="6892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Automated provider-agnostic routing with real-time health monitoring,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capability mapping, compliance-aware selection, and cost arbitrage across all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major providers</w:t>
            </w:r>
          </w:p>
        </w:tc>
      </w:tr>
    </w:tbl>
    <w:p>
      <w:pPr>
        <w:autoSpaceDN w:val="0"/>
        <w:autoSpaceDE w:val="0"/>
        <w:widowControl/>
        <w:spacing w:line="266" w:lineRule="auto" w:before="228" w:after="0"/>
        <w:ind w:left="240" w:right="432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The compounding effect is critical: SLM-first routing simultaneously reduces cost (Pillar 1), carbon (Pillar 5), and latency (Pillar 6).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Dynamic provider selection (Pillar 3) optimizes the LLM-tier requests that SLMs can't handle. Guardrails (Pillar 4) ensure quality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regardless of which model or provider serves the response — and feed escalation data back into routing intelligence (Pillar 2) and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 xml:space="preserve">SLM fine-tuning. The observability layer (Pillar 6) provides the data to continuously improve all other pillars. The six pillars are not </w:t>
      </w: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additive — they are multiplicative.</w:t>
      </w:r>
    </w:p>
    <w:p>
      <w:pPr>
        <w:autoSpaceDN w:val="0"/>
        <w:autoSpaceDE w:val="0"/>
        <w:widowControl/>
        <w:spacing w:line="240" w:lineRule="auto" w:before="228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5943600</wp:posOffset>
            </wp:positionV>
            <wp:extent cx="6870700" cy="254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1" w:lineRule="auto" w:before="348" w:after="0"/>
        <w:ind w:left="240" w:right="0" w:firstLine="0"/>
        <w:jc w:val="left"/>
      </w:pPr>
      <w:r>
        <w:rPr>
          <w:rFonts w:ascii="Barlow" w:hAnsi="Barlow" w:eastAsia="Barlow"/>
          <w:b/>
          <w:i w:val="0"/>
          <w:color w:val="34495E"/>
          <w:sz w:val="35"/>
        </w:rPr>
        <w:t>7. Scope and Structure of This Whitepaper</w:t>
      </w:r>
    </w:p>
    <w:p>
      <w:pPr>
        <w:autoSpaceDN w:val="0"/>
        <w:autoSpaceDE w:val="0"/>
        <w:widowControl/>
        <w:spacing w:line="211" w:lineRule="auto" w:before="400" w:after="238"/>
        <w:ind w:left="240" w:right="0" w:firstLine="0"/>
        <w:jc w:val="left"/>
      </w:pPr>
      <w:r>
        <w:rPr>
          <w:w w:val="101.44764749627365"/>
          <w:rFonts w:ascii="Barlow" w:hAnsi="Barlow" w:eastAsia="Barlow"/>
          <w:b w:val="0"/>
          <w:i w:val="0"/>
          <w:color w:val="000000"/>
          <w:sz w:val="19"/>
        </w:rPr>
        <w:t>The remainder of this whitepaper is organized as follows: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7.99999999999997" w:type="dxa"/>
      </w:tblPr>
      <w:tblGrid>
        <w:gridCol w:w="5659"/>
        <w:gridCol w:w="5659"/>
      </w:tblGrid>
      <w:tr>
        <w:trPr>
          <w:trHeight w:hRule="exact" w:val="434"/>
        </w:trPr>
        <w:tc>
          <w:tcPr>
            <w:tcW w:type="dxa" w:w="1228"/>
            <w:tcBorders>
              <w:start w:sz="4.0" w:val="single" w:color="#DDDDDD"/>
              <w:top w:sz="4.79999999999927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Section</w:t>
            </w:r>
          </w:p>
        </w:tc>
        <w:tc>
          <w:tcPr>
            <w:tcW w:type="dxa" w:w="9578"/>
            <w:tcBorders>
              <w:start w:sz="4.7999999999999545" w:val="single" w:color="#DDDDDD"/>
              <w:top w:sz="4.79999999999927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Content</w:t>
            </w:r>
          </w:p>
        </w:tc>
      </w:tr>
      <w:tr>
        <w:trPr>
          <w:trHeight w:hRule="exact" w:val="434"/>
        </w:trPr>
        <w:tc>
          <w:tcPr>
            <w:tcW w:type="dxa" w:w="1228"/>
            <w:tcBorders>
              <w:start w:sz="4.0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Part II</w:t>
            </w:r>
          </w:p>
        </w:tc>
        <w:tc>
          <w:tcPr>
            <w:tcW w:type="dxa" w:w="9578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Detailed architecture design — component-level specification of each pillar</w:t>
            </w:r>
          </w:p>
        </w:tc>
      </w:tr>
      <w:tr>
        <w:trPr>
          <w:trHeight w:hRule="exact" w:val="432"/>
        </w:trPr>
        <w:tc>
          <w:tcPr>
            <w:tcW w:type="dxa" w:w="1228"/>
            <w:tcBorders>
              <w:start w:sz="4.0" w:val="single" w:color="#DDDDDD"/>
              <w:top w:sz="4.800000000000182" w:val="single" w:color="#DDDDDD"/>
              <w:end w:sz="4.7999999999999545" w:val="single" w:color="#DDDDDD"/>
              <w:bottom w:sz="5.59999999999945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Part III</w:t>
            </w:r>
          </w:p>
        </w:tc>
        <w:tc>
          <w:tcPr>
            <w:tcW w:type="dxa" w:w="9578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5.59999999999945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Token optimization engine — ingress/egress metering, compression pipeline, budget enforcement mechanics</w:t>
            </w:r>
          </w:p>
        </w:tc>
      </w:tr>
      <w:tr>
        <w:trPr>
          <w:trHeight w:hRule="exact" w:val="664"/>
        </w:trPr>
        <w:tc>
          <w:tcPr>
            <w:tcW w:type="dxa" w:w="1228"/>
            <w:tcBorders>
              <w:start w:sz="4.0" w:val="single" w:color="#DDDDDD"/>
              <w:top w:sz="5.599999999999454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Part IV</w:t>
            </w:r>
          </w:p>
        </w:tc>
        <w:tc>
          <w:tcPr>
            <w:tcW w:type="dxa" w:w="9578"/>
            <w:tcBorders>
              <w:start w:sz="4.7999999999999545" w:val="single" w:color="#DDDDDD"/>
              <w:top w:sz="5.599999999999454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96" w:right="86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SLM routing engine — complexity classifier design, prompt uplift pipeline, fine-tuning lifecycle, accuracy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assurance</w:t>
            </w:r>
          </w:p>
        </w:tc>
      </w:tr>
      <w:tr>
        <w:trPr>
          <w:trHeight w:hRule="exact" w:val="662"/>
        </w:trPr>
        <w:tc>
          <w:tcPr>
            <w:tcW w:type="dxa" w:w="1228"/>
            <w:tcBorders>
              <w:start w:sz="4.0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Part V</w:t>
            </w:r>
          </w:p>
        </w:tc>
        <w:tc>
          <w:tcPr>
            <w:tcW w:type="dxa" w:w="9578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100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Dynamic multi-provider selection engine — task-fit scoring, provider capability mapping, compliance-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constrained routing, failover and cost arbitrage logic</w:t>
            </w:r>
          </w:p>
        </w:tc>
      </w:tr>
      <w:tr>
        <w:trPr>
          <w:trHeight w:hRule="exact" w:val="662"/>
        </w:trPr>
        <w:tc>
          <w:tcPr>
            <w:tcW w:type="dxa" w:w="1228"/>
            <w:tcBorders>
              <w:start w:sz="4.0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Part VI</w:t>
            </w:r>
          </w:p>
        </w:tc>
        <w:tc>
          <w:tcPr>
            <w:tcW w:type="dxa" w:w="9578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Guardrails &amp; response evaluation — input guardrail chain, output evaluation framework, hallucination detection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methods, escalation loop design, provider-specific guardrail profiles</w:t>
            </w:r>
          </w:p>
        </w:tc>
      </w:tr>
      <w:tr>
        <w:trPr>
          <w:trHeight w:hRule="exact" w:val="434"/>
        </w:trPr>
        <w:tc>
          <w:tcPr>
            <w:tcW w:type="dxa" w:w="1228"/>
            <w:tcBorders>
              <w:start w:sz="4.0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8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Part VII</w:t>
            </w:r>
          </w:p>
        </w:tc>
        <w:tc>
          <w:tcPr>
            <w:tcW w:type="dxa" w:w="9578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8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ESG computation engine — token-to-carbon model, grid integration, reporting templates</w:t>
            </w:r>
          </w:p>
        </w:tc>
      </w:tr>
      <w:tr>
        <w:trPr>
          <w:trHeight w:hRule="exact" w:val="662"/>
        </w:trPr>
        <w:tc>
          <w:tcPr>
            <w:tcW w:type="dxa" w:w="1228"/>
            <w:tcBorders>
              <w:start w:sz="4.0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Part VIII</w:t>
            </w:r>
          </w:p>
        </w:tc>
        <w:tc>
          <w:tcPr>
            <w:tcW w:type="dxa" w:w="9578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Observability framework — SLA enforcement, NFR policies, dashboard specifications, alerting rules, guardrail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metrics</w:t>
            </w:r>
          </w:p>
        </w:tc>
      </w:tr>
      <w:tr>
        <w:trPr>
          <w:trHeight w:hRule="exact" w:val="434"/>
        </w:trPr>
        <w:tc>
          <w:tcPr>
            <w:tcW w:type="dxa" w:w="1228"/>
            <w:tcBorders>
              <w:start w:sz="4.0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8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Part IX</w:t>
            </w:r>
          </w:p>
        </w:tc>
        <w:tc>
          <w:tcPr>
            <w:tcW w:type="dxa" w:w="9578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8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Security and compliance — PII handling, data sovereignty, EU AI Act mapping, audit trail design</w:t>
            </w:r>
          </w:p>
        </w:tc>
      </w:tr>
      <w:tr>
        <w:trPr>
          <w:trHeight w:hRule="exact" w:val="434"/>
        </w:trPr>
        <w:tc>
          <w:tcPr>
            <w:tcW w:type="dxa" w:w="1228"/>
            <w:tcBorders>
              <w:start w:sz="4.0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Part X</w:t>
            </w:r>
          </w:p>
        </w:tc>
        <w:tc>
          <w:tcPr>
            <w:tcW w:type="dxa" w:w="9578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Validation approach — phased rollout, A/B testing methodology, success metrics, statistical rigor</w:t>
            </w:r>
          </w:p>
        </w:tc>
      </w:tr>
    </w:tbl>
    <w:p>
      <w:pPr>
        <w:autoSpaceDN w:val="0"/>
        <w:autoSpaceDE w:val="0"/>
        <w:widowControl/>
        <w:spacing w:line="96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7.99999999999997" w:type="dxa"/>
      </w:tblPr>
      <w:tblGrid>
        <w:gridCol w:w="5659"/>
        <w:gridCol w:w="5659"/>
      </w:tblGrid>
      <w:tr>
        <w:trPr>
          <w:trHeight w:hRule="exact" w:val="418"/>
        </w:trPr>
        <w:tc>
          <w:tcPr>
            <w:tcW w:type="dxa" w:w="1228"/>
            <w:tcBorders>
              <w:start w:sz="4.0" w:val="single" w:color="#DDDDDD"/>
              <w:top w:sz="4.799999999999272" w:val="single" w:color="#DDDDDD"/>
              <w:end w:sz="4.7999999999999545" w:val="single" w:color="#DDDDD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578"/>
            <w:tcBorders>
              <w:start w:sz="4.7999999999999545" w:val="single" w:color="#DDDDDD"/>
              <w:top w:sz="4.799999999999272" w:val="single" w:color="#DDDDDD"/>
              <w:end w:sz="4.800000000000182" w:val="single" w:color="#DDDDDD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280" w:bottom="0" w:left="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7.99999999999997" w:type="dxa"/>
      </w:tblPr>
      <w:tblGrid>
        <w:gridCol w:w="5659"/>
        <w:gridCol w:w="5659"/>
      </w:tblGrid>
      <w:tr>
        <w:trPr>
          <w:trHeight w:hRule="exact" w:val="437"/>
        </w:trPr>
        <w:tc>
          <w:tcPr>
            <w:tcW w:type="dxa" w:w="1228"/>
            <w:tcBorders>
              <w:start w:sz="4.0" w:val="single" w:color="#DDDDDD"/>
              <w:top w:sz="4.799999999999997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Section</w:t>
            </w:r>
          </w:p>
        </w:tc>
        <w:tc>
          <w:tcPr>
            <w:tcW w:type="dxa" w:w="9578"/>
            <w:tcBorders>
              <w:start w:sz="4.7999999999999545" w:val="single" w:color="#DDDDDD"/>
              <w:top w:sz="4.799999999999997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Content</w:t>
            </w:r>
          </w:p>
        </w:tc>
      </w:tr>
      <w:tr>
        <w:trPr>
          <w:trHeight w:hRule="exact" w:val="443"/>
        </w:trPr>
        <w:tc>
          <w:tcPr>
            <w:tcW w:type="dxa" w:w="1228"/>
            <w:tcBorders>
              <w:start w:sz="4.0" w:val="single" w:color="#DDDDDD"/>
              <w:top w:sz="4.7999999999999545" w:val="single" w:color="#DDDDDD"/>
              <w:end w:sz="4.7999999999999545" w:val="single" w:color="#DDDDDD"/>
              <w:bottom w:sz="4.80000000000001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0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Part XI</w:t>
            </w:r>
          </w:p>
        </w:tc>
        <w:tc>
          <w:tcPr>
            <w:tcW w:type="dxa" w:w="9578"/>
            <w:tcBorders>
              <w:start w:sz="4.7999999999999545" w:val="single" w:color="#DDDDDD"/>
              <w:top w:sz="4.7999999999999545" w:val="single" w:color="#DDDDDD"/>
              <w:end w:sz="4.800000000000182" w:val="single" w:color="#DDDDDD"/>
              <w:bottom w:sz="4.800000000000011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10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Implementation roadmap — 12-month phased plan with monthly deliverables and maturity milestones</w:t>
            </w:r>
          </w:p>
        </w:tc>
      </w:tr>
      <w:tr>
        <w:trPr>
          <w:trHeight w:hRule="exact" w:val="662"/>
        </w:trPr>
        <w:tc>
          <w:tcPr>
            <w:tcW w:type="dxa" w:w="1228"/>
            <w:tcBorders>
              <w:start w:sz="4.0" w:val="single" w:color="#DDDDDD"/>
              <w:top w:sz="4.800000000000011" w:val="single" w:color="#DDDDDD"/>
              <w:end w:sz="4.7999999999999545" w:val="single" w:color="#DDDDDD"/>
              <w:bottom w:sz="4.800000000000068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Part XII</w:t>
            </w:r>
          </w:p>
        </w:tc>
        <w:tc>
          <w:tcPr>
            <w:tcW w:type="dxa" w:w="9578"/>
            <w:tcBorders>
              <w:start w:sz="4.7999999999999545" w:val="single" w:color="#DDDDDD"/>
              <w:top w:sz="4.800000000000011" w:val="single" w:color="#DDDDDD"/>
              <w:end w:sz="4.800000000000182" w:val="single" w:color="#DDDDDD"/>
              <w:bottom w:sz="4.800000000000068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432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Economic analysis — TCO model, ROI projections, break-even analysis for SLM fine-tuning and multi-provider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infrastructure investment</w:t>
            </w:r>
          </w:p>
        </w:tc>
      </w:tr>
      <w:tr>
        <w:trPr>
          <w:trHeight w:hRule="exact" w:val="662"/>
        </w:trPr>
        <w:tc>
          <w:tcPr>
            <w:tcW w:type="dxa" w:w="1228"/>
            <w:tcBorders>
              <w:start w:sz="4.0" w:val="single" w:color="#DDDDDD"/>
              <w:top w:sz="4.800000000000068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Appendices</w:t>
            </w:r>
          </w:p>
        </w:tc>
        <w:tc>
          <w:tcPr>
            <w:tcW w:type="dxa" w:w="9578"/>
            <w:tcBorders>
              <w:start w:sz="4.7999999999999545" w:val="single" w:color="#DDDDDD"/>
              <w:top w:sz="4.800000000000068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Mathematical models, carbon tables, provider capability matrices, guardrail configuration templates, YAML policy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templates, architecture blueprints, risk matrices</w:t>
            </w:r>
          </w:p>
        </w:tc>
      </w:tr>
    </w:tbl>
    <w:p>
      <w:pPr>
        <w:autoSpaceDN w:val="0"/>
        <w:autoSpaceDE w:val="0"/>
        <w:widowControl/>
        <w:spacing w:line="240" w:lineRule="auto" w:before="184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1714500</wp:posOffset>
            </wp:positionV>
            <wp:extent cx="6870700" cy="254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11" w:lineRule="auto" w:before="346" w:after="364"/>
        <w:ind w:left="240" w:right="0" w:firstLine="0"/>
        <w:jc w:val="left"/>
      </w:pPr>
      <w:r>
        <w:rPr>
          <w:rFonts w:ascii="Barlow" w:hAnsi="Barlow" w:eastAsia="Barlow"/>
          <w:b/>
          <w:i w:val="0"/>
          <w:color w:val="34495E"/>
          <w:sz w:val="35"/>
        </w:rPr>
        <w:t>References (Introduction Section)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47.99999999999997" w:type="dxa"/>
      </w:tblPr>
      <w:tblGrid>
        <w:gridCol w:w="3773"/>
        <w:gridCol w:w="3773"/>
        <w:gridCol w:w="3773"/>
      </w:tblGrid>
      <w:tr>
        <w:trPr>
          <w:trHeight w:hRule="exact" w:val="434"/>
        </w:trPr>
        <w:tc>
          <w:tcPr>
            <w:tcW w:type="dxa" w:w="420"/>
            <w:tcBorders>
              <w:start w:sz="4.0" w:val="single" w:color="#DDDDDD"/>
              <w:top w:sz="4.7999999999999545" w:val="single" w:color="#DDDDDD"/>
              <w:end w:sz="4.800000000000011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#</w:t>
            </w:r>
          </w:p>
        </w:tc>
        <w:tc>
          <w:tcPr>
            <w:tcW w:type="dxa" w:w="2434"/>
            <w:tcBorders>
              <w:start w:sz="4.800000000000011" w:val="single" w:color="#DDDDDD"/>
              <w:top w:sz="4.7999999999999545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Source</w:t>
            </w:r>
          </w:p>
        </w:tc>
        <w:tc>
          <w:tcPr>
            <w:tcW w:type="dxa" w:w="7952"/>
            <w:tcBorders>
              <w:start w:sz="4.7999999999999545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Key Data Point Used</w:t>
            </w:r>
          </w:p>
        </w:tc>
      </w:tr>
      <w:tr>
        <w:trPr>
          <w:trHeight w:hRule="exact" w:val="434"/>
        </w:trPr>
        <w:tc>
          <w:tcPr>
            <w:tcW w:type="dxa" w:w="420"/>
            <w:tcBorders>
              <w:start w:sz="4.0" w:val="single" w:color="#DDDDDD"/>
              <w:top w:sz="4.7999999999999545" w:val="single" w:color="#DDDDDD"/>
              <w:end w:sz="4.800000000000011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1</w:t>
            </w:r>
          </w:p>
        </w:tc>
        <w:tc>
          <w:tcPr>
            <w:tcW w:type="dxa" w:w="2434"/>
            <w:tcBorders>
              <w:start w:sz="4.800000000000011" w:val="single" w:color="#DDDDDD"/>
              <w:top w:sz="4.7999999999999545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Gartner (2025)</w:t>
            </w:r>
          </w:p>
        </w:tc>
        <w:tc>
          <w:tcPr>
            <w:tcW w:type="dxa" w:w="7952"/>
            <w:tcBorders>
              <w:start w:sz="4.7999999999999545" w:val="single" w:color="#DDDDDD"/>
              <w:top w:sz="4.7999999999999545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&gt;80% of enterprises to deploy GenAI by 2026; 2025 Market Guide for AI Gateways</w:t>
            </w:r>
          </w:p>
        </w:tc>
      </w:tr>
      <w:tr>
        <w:trPr>
          <w:trHeight w:hRule="exact" w:val="432"/>
        </w:trPr>
        <w:tc>
          <w:tcPr>
            <w:tcW w:type="dxa" w:w="420"/>
            <w:tcBorders>
              <w:start w:sz="4.0" w:val="single" w:color="#DDDDDD"/>
              <w:top w:sz="4.800000000000182" w:val="single" w:color="#DDDDDD"/>
              <w:end w:sz="4.800000000000011" w:val="single" w:color="#DDDDDD"/>
              <w:bottom w:sz="4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2</w:t>
            </w:r>
          </w:p>
        </w:tc>
        <w:tc>
          <w:tcPr>
            <w:tcW w:type="dxa" w:w="2434"/>
            <w:tcBorders>
              <w:start w:sz="4.800000000000011" w:val="single" w:color="#DDDDDD"/>
              <w:top w:sz="4.800000000000182" w:val="single" w:color="#DDDDDD"/>
              <w:end w:sz="4.7999999999999545" w:val="single" w:color="#DDDDDD"/>
              <w:bottom w:sz="4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a16z (2025)</w:t>
            </w:r>
          </w:p>
        </w:tc>
        <w:tc>
          <w:tcPr>
            <w:tcW w:type="dxa" w:w="7952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CIO survey: ~75% YoY LLM budget growth; innovation share collapsed to 7%</w:t>
            </w:r>
          </w:p>
        </w:tc>
      </w:tr>
      <w:tr>
        <w:trPr>
          <w:trHeight w:hRule="exact" w:val="434"/>
        </w:trPr>
        <w:tc>
          <w:tcPr>
            <w:tcW w:type="dxa" w:w="420"/>
            <w:tcBorders>
              <w:start w:sz="4.0" w:val="single" w:color="#DDDDDD"/>
              <w:top w:sz="4.0" w:val="single" w:color="#DDDDDD"/>
              <w:end w:sz="4.800000000000011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8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3</w:t>
            </w:r>
          </w:p>
        </w:tc>
        <w:tc>
          <w:tcPr>
            <w:tcW w:type="dxa" w:w="2434"/>
            <w:tcBorders>
              <w:start w:sz="4.800000000000011" w:val="single" w:color="#DDDDDD"/>
              <w:top w:sz="4.0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8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Zylo (2026)</w:t>
            </w:r>
          </w:p>
        </w:tc>
        <w:tc>
          <w:tcPr>
            <w:tcW w:type="dxa" w:w="7952"/>
            <w:tcBorders>
              <w:start w:sz="4.7999999999999545" w:val="single" w:color="#DDDDDD"/>
              <w:top w:sz="4.0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8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Average $1.2M AI-native app spending (+108% YoY); ChatGPT = #1 expensed app</w:t>
            </w:r>
          </w:p>
        </w:tc>
      </w:tr>
      <w:tr>
        <w:trPr>
          <w:trHeight w:hRule="exact" w:val="434"/>
        </w:trPr>
        <w:tc>
          <w:tcPr>
            <w:tcW w:type="dxa" w:w="420"/>
            <w:tcBorders>
              <w:start w:sz="4.0" w:val="single" w:color="#DDDDDD"/>
              <w:top w:sz="4.800000000000182" w:val="single" w:color="#DDDDDD"/>
              <w:end w:sz="4.800000000000011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8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4</w:t>
            </w:r>
          </w:p>
        </w:tc>
        <w:tc>
          <w:tcPr>
            <w:tcW w:type="dxa" w:w="2434"/>
            <w:tcBorders>
              <w:start w:sz="4.800000000000011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8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WalkMe/IDC (2025)</w:t>
            </w:r>
          </w:p>
        </w:tc>
        <w:tc>
          <w:tcPr>
            <w:tcW w:type="dxa" w:w="7952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8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78% of workers use unapproved AI tools</w:t>
            </w:r>
          </w:p>
        </w:tc>
      </w:tr>
      <w:tr>
        <w:trPr>
          <w:trHeight w:hRule="exact" w:val="434"/>
        </w:trPr>
        <w:tc>
          <w:tcPr>
            <w:tcW w:type="dxa" w:w="420"/>
            <w:tcBorders>
              <w:start w:sz="4.0" w:val="single" w:color="#DDDDDD"/>
              <w:top w:sz="4.800000000000182" w:val="single" w:color="#DDDDDD"/>
              <w:end w:sz="4.800000000000011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5</w:t>
            </w:r>
          </w:p>
        </w:tc>
        <w:tc>
          <w:tcPr>
            <w:tcW w:type="dxa" w:w="2434"/>
            <w:tcBorders>
              <w:start w:sz="4.800000000000011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Delinea (2025)</w:t>
            </w:r>
          </w:p>
        </w:tc>
        <w:tc>
          <w:tcPr>
            <w:tcW w:type="dxa" w:w="7952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44% deploy AI without IT; only 52% have comprehensive controls</w:t>
            </w:r>
          </w:p>
        </w:tc>
      </w:tr>
      <w:tr>
        <w:trPr>
          <w:trHeight w:hRule="exact" w:val="434"/>
        </w:trPr>
        <w:tc>
          <w:tcPr>
            <w:tcW w:type="dxa" w:w="420"/>
            <w:tcBorders>
              <w:start w:sz="4.0" w:val="single" w:color="#DDDDDD"/>
              <w:top w:sz="4.800000000000182" w:val="single" w:color="#DDDDDD"/>
              <w:end w:sz="4.800000000000011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6</w:t>
            </w:r>
          </w:p>
        </w:tc>
        <w:tc>
          <w:tcPr>
            <w:tcW w:type="dxa" w:w="2434"/>
            <w:tcBorders>
              <w:start w:sz="4.800000000000011" w:val="single" w:color="#DDDDDD"/>
              <w:top w:sz="4.800000000000182" w:val="single" w:color="#DDDDDD"/>
              <w:end w:sz="4.7999999999999545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IBM (2025)</w:t>
            </w:r>
          </w:p>
        </w:tc>
        <w:tc>
          <w:tcPr>
            <w:tcW w:type="dxa" w:w="7952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Shadow AI = 20% of breaches; $4.63M avg cost; $650K+ per AI-associated breach</w:t>
            </w:r>
          </w:p>
        </w:tc>
      </w:tr>
      <w:tr>
        <w:trPr>
          <w:trHeight w:hRule="exact" w:val="434"/>
        </w:trPr>
        <w:tc>
          <w:tcPr>
            <w:tcW w:type="dxa" w:w="420"/>
            <w:tcBorders>
              <w:start w:sz="4.0" w:val="single" w:color="#DDDDDD"/>
              <w:top w:sz="4.799999999999727" w:val="single" w:color="#DDDDDD"/>
              <w:end w:sz="4.800000000000011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7</w:t>
            </w:r>
          </w:p>
        </w:tc>
        <w:tc>
          <w:tcPr>
            <w:tcW w:type="dxa" w:w="2434"/>
            <w:tcBorders>
              <w:start w:sz="4.800000000000011" w:val="single" w:color="#DDDDDD"/>
              <w:top w:sz="4.799999999999727" w:val="single" w:color="#DDDDDD"/>
              <w:end w:sz="4.7999999999999545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CloudSphere (2025)</w:t>
            </w:r>
          </w:p>
        </w:tc>
        <w:tc>
          <w:tcPr>
            <w:tcW w:type="dxa" w:w="7952"/>
            <w:tcBorders>
              <w:start w:sz="4.7999999999999545" w:val="single" w:color="#DDDDDD"/>
              <w:top w:sz="4.799999999999727" w:val="single" w:color="#DDDDDD"/>
              <w:end w:sz="4.800000000000182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78% use AI, only 27% govern it</w:t>
            </w:r>
          </w:p>
        </w:tc>
      </w:tr>
      <w:tr>
        <w:trPr>
          <w:trHeight w:hRule="exact" w:val="434"/>
        </w:trPr>
        <w:tc>
          <w:tcPr>
            <w:tcW w:type="dxa" w:w="420"/>
            <w:tcBorders>
              <w:start w:sz="4.0" w:val="single" w:color="#DDDDDD"/>
              <w:top w:sz="4.799999999999727" w:val="single" w:color="#DDDDDD"/>
              <w:end w:sz="4.800000000000011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8</w:t>
            </w:r>
          </w:p>
        </w:tc>
        <w:tc>
          <w:tcPr>
            <w:tcW w:type="dxa" w:w="2434"/>
            <w:tcBorders>
              <w:start w:sz="4.800000000000011" w:val="single" w:color="#DDDDDD"/>
              <w:top w:sz="4.799999999999727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Komprise (2025)</w:t>
            </w:r>
          </w:p>
        </w:tc>
        <w:tc>
          <w:tcPr>
            <w:tcW w:type="dxa" w:w="7952"/>
            <w:tcBorders>
              <w:start w:sz="4.7999999999999545" w:val="single" w:color="#DDDDDD"/>
              <w:top w:sz="4.799999999999727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90% of large enterprises concerned about shadow AI; 80% experienced incidents</w:t>
            </w:r>
          </w:p>
        </w:tc>
      </w:tr>
      <w:tr>
        <w:trPr>
          <w:trHeight w:hRule="exact" w:val="662"/>
        </w:trPr>
        <w:tc>
          <w:tcPr>
            <w:tcW w:type="dxa" w:w="420"/>
            <w:tcBorders>
              <w:start w:sz="4.0" w:val="single" w:color="#DDDDDD"/>
              <w:top w:sz="4.800000000000182" w:val="single" w:color="#DDDDDD"/>
              <w:end w:sz="4.800000000000011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9</w:t>
            </w:r>
          </w:p>
        </w:tc>
        <w:tc>
          <w:tcPr>
            <w:tcW w:type="dxa" w:w="2434"/>
            <w:tcBorders>
              <w:start w:sz="4.800000000000011" w:val="single" w:color="#DDDDDD"/>
              <w:top w:sz="4.800000000000182" w:val="single" w:color="#DDDDDD"/>
              <w:end w:sz="4.7999999999999545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Nature Sustainability (Nov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2025)</w:t>
            </w:r>
          </w:p>
        </w:tc>
        <w:tc>
          <w:tcPr>
            <w:tcW w:type="dxa" w:w="7952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204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U.S. AI servers: 24–44 MtCO</w:t>
            </w:r>
            <w:r>
              <w:rPr>
                <w:w w:val="101.44764749627365"/>
                <w:rFonts w:ascii="Times New Roman" w:hAnsi="Times New Roman" w:eastAsia="Times New Roman"/>
                <w:b w:val="0"/>
                <w:i w:val="0"/>
                <w:color w:val="000000"/>
                <w:sz w:val="19"/>
              </w:rPr>
              <w:t>₂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e/year by 2030; 731–1,125M m³ water</w:t>
            </w:r>
          </w:p>
        </w:tc>
      </w:tr>
      <w:tr>
        <w:trPr>
          <w:trHeight w:hRule="exact" w:val="434"/>
        </w:trPr>
        <w:tc>
          <w:tcPr>
            <w:tcW w:type="dxa" w:w="420"/>
            <w:tcBorders>
              <w:start w:sz="4.0" w:val="single" w:color="#DDDDDD"/>
              <w:top w:sz="4.799999999999727" w:val="single" w:color="#DDDDDD"/>
              <w:end w:sz="4.800000000000011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10</w:t>
            </w:r>
          </w:p>
        </w:tc>
        <w:tc>
          <w:tcPr>
            <w:tcW w:type="dxa" w:w="2434"/>
            <w:tcBorders>
              <w:start w:sz="4.800000000000011" w:val="single" w:color="#DDDDDD"/>
              <w:top w:sz="4.799999999999727" w:val="single" w:color="#DDDDDD"/>
              <w:end w:sz="4.7999999999999545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IEA</w:t>
            </w:r>
          </w:p>
        </w:tc>
        <w:tc>
          <w:tcPr>
            <w:tcW w:type="dxa" w:w="7952"/>
            <w:tcBorders>
              <w:start w:sz="4.7999999999999545" w:val="single" w:color="#DDDDDD"/>
              <w:top w:sz="4.799999999999727" w:val="single" w:color="#DDDDDD"/>
              <w:end w:sz="4.800000000000182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Data centers = 1% GHG; electricity consumption projected to double by 2026</w:t>
            </w:r>
          </w:p>
        </w:tc>
      </w:tr>
      <w:tr>
        <w:trPr>
          <w:trHeight w:hRule="exact" w:val="432"/>
        </w:trPr>
        <w:tc>
          <w:tcPr>
            <w:tcW w:type="dxa" w:w="420"/>
            <w:tcBorders>
              <w:start w:sz="4.0" w:val="single" w:color="#DDDDDD"/>
              <w:top w:sz="4.799999999999727" w:val="single" w:color="#DDDDDD"/>
              <w:end w:sz="4.800000000000011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11</w:t>
            </w:r>
          </w:p>
        </w:tc>
        <w:tc>
          <w:tcPr>
            <w:tcW w:type="dxa" w:w="2434"/>
            <w:tcBorders>
              <w:start w:sz="4.800000000000011" w:val="single" w:color="#DDDDDD"/>
              <w:top w:sz="4.799999999999727" w:val="single" w:color="#DDDDDD"/>
              <w:end w:sz="4.7999999999999545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UC Berkeley / Canva</w:t>
            </w:r>
          </w:p>
        </w:tc>
        <w:tc>
          <w:tcPr>
            <w:tcW w:type="dxa" w:w="7952"/>
            <w:tcBorders>
              <w:start w:sz="4.7999999999999545" w:val="single" w:color="#DDDDDD"/>
              <w:top w:sz="4.799999999999727" w:val="single" w:color="#DDDDDD"/>
              <w:end w:sz="4.800000000000182" w:val="single" w:color="#DDDDDD"/>
              <w:bottom w:sz="5.600000000000364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Intelligent routing: 85% cost reduction, 95% quality retention</w:t>
            </w:r>
          </w:p>
        </w:tc>
      </w:tr>
      <w:tr>
        <w:trPr>
          <w:trHeight w:hRule="exact" w:val="434"/>
        </w:trPr>
        <w:tc>
          <w:tcPr>
            <w:tcW w:type="dxa" w:w="420"/>
            <w:tcBorders>
              <w:start w:sz="4.0" w:val="single" w:color="#DDDDDD"/>
              <w:top w:sz="5.600000000000364" w:val="single" w:color="#DDDDDD"/>
              <w:end w:sz="4.800000000000011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12</w:t>
            </w:r>
          </w:p>
        </w:tc>
        <w:tc>
          <w:tcPr>
            <w:tcW w:type="dxa" w:w="2434"/>
            <w:tcBorders>
              <w:start w:sz="4.800000000000011" w:val="single" w:color="#DDDDDD"/>
              <w:top w:sz="5.600000000000364" w:val="single" w:color="#DDDDDD"/>
              <w:end w:sz="4.7999999999999545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Redis / LangCache (2026)</w:t>
            </w:r>
          </w:p>
        </w:tc>
        <w:tc>
          <w:tcPr>
            <w:tcW w:type="dxa" w:w="7952"/>
            <w:tcBorders>
              <w:start w:sz="4.7999999999999545" w:val="single" w:color="#DDDDDD"/>
              <w:top w:sz="5.600000000000364" w:val="single" w:color="#DDDDDD"/>
              <w:end w:sz="4.800000000000182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Semantic caching: up to 73% cost reduction, 96.9% latency reduction</w:t>
            </w:r>
          </w:p>
        </w:tc>
      </w:tr>
      <w:tr>
        <w:trPr>
          <w:trHeight w:hRule="exact" w:val="664"/>
        </w:trPr>
        <w:tc>
          <w:tcPr>
            <w:tcW w:type="dxa" w:w="420"/>
            <w:tcBorders>
              <w:start w:sz="4.0" w:val="single" w:color="#DDDDDD"/>
              <w:top w:sz="4.799999999999727" w:val="single" w:color="#DDDDDD"/>
              <w:end w:sz="4.800000000000011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13</w:t>
            </w:r>
          </w:p>
        </w:tc>
        <w:tc>
          <w:tcPr>
            <w:tcW w:type="dxa" w:w="2434"/>
            <w:tcBorders>
              <w:start w:sz="4.800000000000011" w:val="single" w:color="#DDDDDD"/>
              <w:top w:sz="4.799999999999727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98" w:right="72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LoRA Land </w:t>
            </w:r>
            <w:r>
              <w:br/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(arXiv:2405.00732)</w:t>
            </w:r>
          </w:p>
        </w:tc>
        <w:tc>
          <w:tcPr>
            <w:tcW w:type="dxa" w:w="7952"/>
            <w:tcBorders>
              <w:start w:sz="4.7999999999999545" w:val="single" w:color="#DDDDDD"/>
              <w:top w:sz="4.799999999999727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Fine-tuned SLMs beat GPT-4 on 25/31 tasks, +10 point avg improvement</w:t>
            </w:r>
          </w:p>
        </w:tc>
      </w:tr>
      <w:tr>
        <w:trPr>
          <w:trHeight w:hRule="exact" w:val="434"/>
        </w:trPr>
        <w:tc>
          <w:tcPr>
            <w:tcW w:type="dxa" w:w="420"/>
            <w:tcBorders>
              <w:start w:sz="4.0" w:val="single" w:color="#DDDDDD"/>
              <w:top w:sz="4.800000000000182" w:val="single" w:color="#DDDDDD"/>
              <w:end w:sz="4.800000000000011" w:val="single" w:color="#DDDDDD"/>
              <w:bottom w:sz="4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14</w:t>
            </w:r>
          </w:p>
        </w:tc>
        <w:tc>
          <w:tcPr>
            <w:tcW w:type="dxa" w:w="2434"/>
            <w:tcBorders>
              <w:start w:sz="4.800000000000011" w:val="single" w:color="#DDDDDD"/>
              <w:top w:sz="4.800000000000182" w:val="single" w:color="#DDDDDD"/>
              <w:end w:sz="4.7999999999999545" w:val="single" w:color="#DDDDDD"/>
              <w:bottom w:sz="4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EU AI Act (Reg 2024/1689)</w:t>
            </w:r>
          </w:p>
        </w:tc>
        <w:tc>
          <w:tcPr>
            <w:tcW w:type="dxa" w:w="7952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0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High-risk deadline Aug 2, 2026; penalties up to €35M / 7% revenue</w:t>
            </w:r>
          </w:p>
        </w:tc>
      </w:tr>
      <w:tr>
        <w:trPr>
          <w:trHeight w:hRule="exact" w:val="432"/>
        </w:trPr>
        <w:tc>
          <w:tcPr>
            <w:tcW w:type="dxa" w:w="420"/>
            <w:tcBorders>
              <w:start w:sz="4.0" w:val="single" w:color="#DDDDDD"/>
              <w:top w:sz="4.0" w:val="single" w:color="#DDDDDD"/>
              <w:end w:sz="4.800000000000011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8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15</w:t>
            </w:r>
          </w:p>
        </w:tc>
        <w:tc>
          <w:tcPr>
            <w:tcW w:type="dxa" w:w="2434"/>
            <w:tcBorders>
              <w:start w:sz="4.800000000000011" w:val="single" w:color="#DDDDDD"/>
              <w:top w:sz="4.0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8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Deloitte (2026)</w:t>
            </w:r>
          </w:p>
        </w:tc>
        <w:tc>
          <w:tcPr>
            <w:tcW w:type="dxa" w:w="7952"/>
            <w:tcBorders>
              <w:start w:sz="4.7999999999999545" w:val="single" w:color="#DDDDDD"/>
              <w:top w:sz="4.0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8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3,235-leader survey: governance = #1 differentiator for AI value</w:t>
            </w:r>
          </w:p>
        </w:tc>
      </w:tr>
      <w:tr>
        <w:trPr>
          <w:trHeight w:hRule="exact" w:val="446"/>
        </w:trPr>
        <w:tc>
          <w:tcPr>
            <w:tcW w:type="dxa" w:w="420"/>
            <w:tcBorders>
              <w:start w:sz="4.0" w:val="single" w:color="#DDDDDD"/>
              <w:top w:sz="4.800000000000182" w:val="single" w:color="#DDDDDD"/>
              <w:end w:sz="4.800000000000011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8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16</w:t>
            </w:r>
          </w:p>
        </w:tc>
        <w:tc>
          <w:tcPr>
            <w:tcW w:type="dxa" w:w="2434"/>
            <w:tcBorders>
              <w:start w:sz="4.800000000000011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8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CSA (2025)</w:t>
            </w:r>
          </w:p>
        </w:tc>
        <w:tc>
          <w:tcPr>
            <w:tcW w:type="dxa" w:w="7952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8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Comprehensive governance </w:t>
            </w:r>
            <w:r>
              <w:rPr>
                <w:w w:val="101.44764749627365"/>
                <w:rFonts w:ascii="Arial" w:hAnsi="Arial" w:eastAsia="Arial"/>
                <w:b w:val="0"/>
                <w:i w:val="0"/>
                <w:color w:val="000000"/>
                <w:sz w:val="19"/>
              </w:rPr>
              <w:t>→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 2× agentic AI adoption success</w:t>
            </w:r>
          </w:p>
        </w:tc>
      </w:tr>
      <w:tr>
        <w:trPr>
          <w:trHeight w:hRule="exact" w:val="446"/>
        </w:trPr>
        <w:tc>
          <w:tcPr>
            <w:tcW w:type="dxa" w:w="420"/>
            <w:tcBorders>
              <w:start w:sz="4.0" w:val="single" w:color="#DDDDDD"/>
              <w:top w:sz="4.800000000000182" w:val="single" w:color="#DDDDDD"/>
              <w:end w:sz="4.800000000000011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17</w:t>
            </w:r>
          </w:p>
        </w:tc>
        <w:tc>
          <w:tcPr>
            <w:tcW w:type="dxa" w:w="2434"/>
            <w:tcBorders>
              <w:start w:sz="4.800000000000011" w:val="single" w:color="#DDDDDD"/>
              <w:top w:sz="4.800000000000182" w:val="single" w:color="#DDDDDD"/>
              <w:end w:sz="4.7999999999999545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SLM Market Data</w:t>
            </w:r>
          </w:p>
        </w:tc>
        <w:tc>
          <w:tcPr>
            <w:tcW w:type="dxa" w:w="7952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9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$6.5B (2024) </w:t>
            </w:r>
            <w:r>
              <w:rPr>
                <w:w w:val="101.44764749627365"/>
                <w:rFonts w:ascii="Arial" w:hAnsi="Arial" w:eastAsia="Arial"/>
                <w:b w:val="0"/>
                <w:i w:val="0"/>
                <w:color w:val="000000"/>
                <w:sz w:val="19"/>
              </w:rPr>
              <w:t>→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 $20.71B projected (2030)</w:t>
            </w:r>
          </w:p>
        </w:tc>
      </w:tr>
      <w:tr>
        <w:trPr>
          <w:trHeight w:hRule="exact" w:val="446"/>
        </w:trPr>
        <w:tc>
          <w:tcPr>
            <w:tcW w:type="dxa" w:w="420"/>
            <w:tcBorders>
              <w:start w:sz="4.0" w:val="single" w:color="#DDDDDD"/>
              <w:top w:sz="4.799999999999272" w:val="single" w:color="#DDDDDD"/>
              <w:end w:sz="4.800000000000011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18</w:t>
            </w:r>
          </w:p>
        </w:tc>
        <w:tc>
          <w:tcPr>
            <w:tcW w:type="dxa" w:w="2434"/>
            <w:tcBorders>
              <w:start w:sz="4.800000000000011" w:val="single" w:color="#DDDDDD"/>
              <w:top w:sz="4.79999999999927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Vectra AI (2026)</w:t>
            </w:r>
          </w:p>
        </w:tc>
        <w:tc>
          <w:tcPr>
            <w:tcW w:type="dxa" w:w="7952"/>
            <w:tcBorders>
              <w:start w:sz="4.7999999999999545" w:val="single" w:color="#DDDDDD"/>
              <w:top w:sz="4.79999999999927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4" w:lineRule="auto" w:before="9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AI governance tools market: $227–340M </w:t>
            </w:r>
            <w:r>
              <w:rPr>
                <w:w w:val="101.44764749627365"/>
                <w:rFonts w:ascii="Arial" w:hAnsi="Arial" w:eastAsia="Arial"/>
                <w:b w:val="0"/>
                <w:i w:val="0"/>
                <w:color w:val="000000"/>
                <w:sz w:val="19"/>
              </w:rPr>
              <w:t>→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 $4.83B by 2034</w:t>
            </w:r>
          </w:p>
        </w:tc>
      </w:tr>
      <w:tr>
        <w:trPr>
          <w:trHeight w:hRule="exact" w:val="434"/>
        </w:trPr>
        <w:tc>
          <w:tcPr>
            <w:tcW w:type="dxa" w:w="420"/>
            <w:tcBorders>
              <w:start w:sz="4.0" w:val="single" w:color="#DDDDDD"/>
              <w:top w:sz="4.800000000000182" w:val="single" w:color="#DDDDDD"/>
              <w:end w:sz="4.800000000000011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19</w:t>
            </w:r>
          </w:p>
        </w:tc>
        <w:tc>
          <w:tcPr>
            <w:tcW w:type="dxa" w:w="2434"/>
            <w:tcBorders>
              <w:start w:sz="4.800000000000011" w:val="single" w:color="#DDDDDD"/>
              <w:top w:sz="4.800000000000182" w:val="single" w:color="#DDDDDD"/>
              <w:end w:sz="4.7999999999999545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Kong (2025)</w:t>
            </w:r>
          </w:p>
        </w:tc>
        <w:tc>
          <w:tcPr>
            <w:tcW w:type="dxa" w:w="7952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72% plan to increase LLM spend; security/compliance = top blockers</w:t>
            </w:r>
          </w:p>
        </w:tc>
      </w:tr>
      <w:tr>
        <w:trPr>
          <w:trHeight w:hRule="exact" w:val="434"/>
        </w:trPr>
        <w:tc>
          <w:tcPr>
            <w:tcW w:type="dxa" w:w="420"/>
            <w:tcBorders>
              <w:start w:sz="4.0" w:val="single" w:color="#DDDDDD"/>
              <w:top w:sz="4.799999999999272" w:val="single" w:color="#DDDDDD"/>
              <w:end w:sz="4.800000000000011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20</w:t>
            </w:r>
          </w:p>
        </w:tc>
        <w:tc>
          <w:tcPr>
            <w:tcW w:type="dxa" w:w="2434"/>
            <w:tcBorders>
              <w:start w:sz="4.800000000000011" w:val="single" w:color="#DDDDDD"/>
              <w:top w:sz="4.79999999999927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Capgemini Invent</w:t>
            </w:r>
          </w:p>
        </w:tc>
        <w:tc>
          <w:tcPr>
            <w:tcW w:type="dxa" w:w="7952"/>
            <w:tcBorders>
              <w:start w:sz="4.7999999999999545" w:val="single" w:color="#DDDDDD"/>
              <w:top w:sz="4.79999999999927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AI + consumption pricing = budget volatility that kills innovation</w:t>
            </w:r>
          </w:p>
        </w:tc>
      </w:tr>
      <w:tr>
        <w:trPr>
          <w:trHeight w:hRule="exact" w:val="662"/>
        </w:trPr>
        <w:tc>
          <w:tcPr>
            <w:tcW w:type="dxa" w:w="420"/>
            <w:tcBorders>
              <w:start w:sz="4.0" w:val="single" w:color="#DDDDDD"/>
              <w:top w:sz="4.800000000000182" w:val="single" w:color="#DDDDDD"/>
              <w:end w:sz="4.800000000000011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21</w:t>
            </w:r>
          </w:p>
        </w:tc>
        <w:tc>
          <w:tcPr>
            <w:tcW w:type="dxa" w:w="2434"/>
            <w:tcBorders>
              <w:start w:sz="4.800000000000011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432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365mechanix / Gosign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(2026)</w:t>
            </w:r>
          </w:p>
        </w:tc>
        <w:tc>
          <w:tcPr>
            <w:tcW w:type="dxa" w:w="7952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No single model dominates; enterprises now design multi-model architectures for flexibility,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mirroring cloud portability strategies</w:t>
            </w:r>
          </w:p>
        </w:tc>
      </w:tr>
      <w:tr>
        <w:trPr>
          <w:trHeight w:hRule="exact" w:val="674"/>
        </w:trPr>
        <w:tc>
          <w:tcPr>
            <w:tcW w:type="dxa" w:w="420"/>
            <w:tcBorders>
              <w:start w:sz="4.0" w:val="single" w:color="#DDDDDD"/>
              <w:top w:sz="4.800000000000182" w:val="single" w:color="#DDDDDD"/>
              <w:end w:sz="4.800000000000011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1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22</w:t>
            </w:r>
          </w:p>
        </w:tc>
        <w:tc>
          <w:tcPr>
            <w:tcW w:type="dxa" w:w="2434"/>
            <w:tcBorders>
              <w:start w:sz="4.800000000000011" w:val="single" w:color="#DDDDDD"/>
              <w:top w:sz="4.800000000000182" w:val="single" w:color="#DDDDDD"/>
              <w:end w:sz="4.7999999999999545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1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IntuitionLabs (Feb 2026)</w:t>
            </w:r>
          </w:p>
        </w:tc>
        <w:tc>
          <w:tcPr>
            <w:tcW w:type="dxa" w:w="7952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79999999999927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72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API pricing: Grok $0.20/M </w:t>
            </w:r>
            <w:r>
              <w:rPr>
                <w:w w:val="101.44764749627365"/>
                <w:rFonts w:ascii="Arial" w:hAnsi="Arial" w:eastAsia="Arial"/>
                <w:b w:val="0"/>
                <w:i w:val="0"/>
                <w:color w:val="000000"/>
                <w:sz w:val="19"/>
              </w:rPr>
              <w:t>→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 Claude Opus $15/M input tokens (75× spread); GPT-5.2 at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$1.75/$14.00 per M tokens</w:t>
            </w:r>
          </w:p>
        </w:tc>
      </w:tr>
      <w:tr>
        <w:trPr>
          <w:trHeight w:hRule="exact" w:val="664"/>
        </w:trPr>
        <w:tc>
          <w:tcPr>
            <w:tcW w:type="dxa" w:w="420"/>
            <w:tcBorders>
              <w:start w:sz="4.0" w:val="single" w:color="#DDDDDD"/>
              <w:top w:sz="4.799999999999272" w:val="single" w:color="#DDDDDD"/>
              <w:end w:sz="4.800000000000011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23</w:t>
            </w:r>
          </w:p>
        </w:tc>
        <w:tc>
          <w:tcPr>
            <w:tcW w:type="dxa" w:w="2434"/>
            <w:tcBorders>
              <w:start w:sz="4.800000000000011" w:val="single" w:color="#DDDDDD"/>
              <w:top w:sz="4.79999999999927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Preprints.org (May 2025)</w:t>
            </w:r>
          </w:p>
        </w:tc>
        <w:tc>
          <w:tcPr>
            <w:tcW w:type="dxa" w:w="7952"/>
            <w:tcBorders>
              <w:start w:sz="4.7999999999999545" w:val="single" w:color="#DDDDDD"/>
              <w:top w:sz="4.79999999999927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1152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Hallucination-related incidents cost &gt;$250M annually; guardrails achieve 15–82%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hallucination reduction at 5–300ms latency</w:t>
            </w:r>
          </w:p>
        </w:tc>
      </w:tr>
      <w:tr>
        <w:trPr>
          <w:trHeight w:hRule="exact" w:val="662"/>
        </w:trPr>
        <w:tc>
          <w:tcPr>
            <w:tcW w:type="dxa" w:w="420"/>
            <w:tcBorders>
              <w:start w:sz="4.0" w:val="single" w:color="#DDDDDD"/>
              <w:top w:sz="4.800000000000182" w:val="single" w:color="#DDDDDD"/>
              <w:end w:sz="4.800000000000011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24</w:t>
            </w:r>
          </w:p>
        </w:tc>
        <w:tc>
          <w:tcPr>
            <w:tcW w:type="dxa" w:w="2434"/>
            <w:tcBorders>
              <w:start w:sz="4.800000000000011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NVIDIA NeMo Guardrails</w:t>
            </w:r>
          </w:p>
        </w:tc>
        <w:tc>
          <w:tcPr>
            <w:tcW w:type="dxa" w:w="7952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576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Open-source toolkit: input/output rails, fact-checking, hallucination detection, jailbreak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filtering, moderation integration</w:t>
            </w:r>
          </w:p>
        </w:tc>
      </w:tr>
    </w:tbl>
    <w:p>
      <w:pPr>
        <w:autoSpaceDN w:val="0"/>
        <w:autoSpaceDE w:val="0"/>
        <w:widowControl/>
        <w:spacing w:line="25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7.99999999999997" w:type="dxa"/>
      </w:tblPr>
      <w:tblGrid>
        <w:gridCol w:w="3773"/>
        <w:gridCol w:w="3773"/>
        <w:gridCol w:w="3773"/>
      </w:tblGrid>
      <w:tr>
        <w:trPr>
          <w:trHeight w:hRule="exact" w:val="418"/>
        </w:trPr>
        <w:tc>
          <w:tcPr>
            <w:tcW w:type="dxa" w:w="420"/>
            <w:tcBorders>
              <w:start w:sz="4.0" w:val="single" w:color="#DDDDDD"/>
              <w:top w:sz="4.799999999999272" w:val="single" w:color="#DDDDDD"/>
              <w:end w:sz="4.800000000000011" w:val="single" w:color="#DDDDD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34"/>
            <w:tcBorders>
              <w:start w:sz="4.800000000000011" w:val="single" w:color="#DDDDDD"/>
              <w:top w:sz="4.799999999999272" w:val="single" w:color="#DDDDDD"/>
              <w:end w:sz="4.7999999999999545" w:val="single" w:color="#DDDDDD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52"/>
            <w:tcBorders>
              <w:start w:sz="4.7999999999999545" w:val="single" w:color="#DDDDDD"/>
              <w:top w:sz="4.799999999999272" w:val="single" w:color="#DDDDDD"/>
              <w:end w:sz="4.800000000000182" w:val="single" w:color="#DDDDDD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899" w:h="16838"/>
          <w:pgMar w:top="0" w:right="280" w:bottom="0" w:left="30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30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47.99999999999997" w:type="dxa"/>
      </w:tblPr>
      <w:tblGrid>
        <w:gridCol w:w="3773"/>
        <w:gridCol w:w="3773"/>
        <w:gridCol w:w="3773"/>
      </w:tblGrid>
      <w:tr>
        <w:trPr>
          <w:trHeight w:hRule="exact" w:val="435"/>
        </w:trPr>
        <w:tc>
          <w:tcPr>
            <w:tcW w:type="dxa" w:w="420"/>
            <w:tcBorders>
              <w:start w:sz="4.0" w:val="single" w:color="#DDDDDD"/>
              <w:top w:sz="4.799999999999997" w:val="single" w:color="#DDDDDD"/>
              <w:end w:sz="4.800000000000011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#</w:t>
            </w:r>
          </w:p>
        </w:tc>
        <w:tc>
          <w:tcPr>
            <w:tcW w:type="dxa" w:w="2434"/>
            <w:tcBorders>
              <w:start w:sz="4.800000000000011" w:val="single" w:color="#DDDDDD"/>
              <w:top w:sz="4.799999999999997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Source</w:t>
            </w:r>
          </w:p>
        </w:tc>
        <w:tc>
          <w:tcPr>
            <w:tcW w:type="dxa" w:w="7952"/>
            <w:tcBorders>
              <w:start w:sz="4.7999999999999545" w:val="single" w:color="#DDDDDD"/>
              <w:top w:sz="4.799999999999997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/>
                <w:i w:val="0"/>
                <w:color w:val="000000"/>
                <w:sz w:val="19"/>
              </w:rPr>
              <w:t>Key Data Point Used</w:t>
            </w:r>
          </w:p>
        </w:tc>
      </w:tr>
      <w:tr>
        <w:trPr>
          <w:trHeight w:hRule="exact" w:val="672"/>
        </w:trPr>
        <w:tc>
          <w:tcPr>
            <w:tcW w:type="dxa" w:w="420"/>
            <w:tcBorders>
              <w:start w:sz="4.0" w:val="single" w:color="#DDDDDD"/>
              <w:top w:sz="4.7999999999999545" w:val="single" w:color="#DDDDDD"/>
              <w:end w:sz="4.800000000000011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1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25</w:t>
            </w:r>
          </w:p>
        </w:tc>
        <w:tc>
          <w:tcPr>
            <w:tcW w:type="dxa" w:w="2434"/>
            <w:tcBorders>
              <w:start w:sz="4.800000000000011" w:val="single" w:color="#DDDDDD"/>
              <w:top w:sz="4.7999999999999545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14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Palo Alto Unit 42 (2025)</w:t>
            </w:r>
          </w:p>
        </w:tc>
        <w:tc>
          <w:tcPr>
            <w:tcW w:type="dxa" w:w="7952"/>
            <w:tcBorders>
              <w:start w:sz="4.7999999999999545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06" w:after="0"/>
              <w:ind w:left="96" w:right="432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Comparative study of guardrail effectiveness across major GenAI platforms; false positive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rates vary from 0.1% to 0.6%</w:t>
            </w:r>
          </w:p>
        </w:tc>
      </w:tr>
      <w:tr>
        <w:trPr>
          <w:trHeight w:hRule="exact" w:val="676"/>
        </w:trPr>
        <w:tc>
          <w:tcPr>
            <w:tcW w:type="dxa" w:w="420"/>
            <w:tcBorders>
              <w:start w:sz="4.0" w:val="single" w:color="#DDDDDD"/>
              <w:top w:sz="4.7999999999999545" w:val="single" w:color="#DDDDDD"/>
              <w:end w:sz="4.800000000000011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18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26</w:t>
            </w:r>
          </w:p>
        </w:tc>
        <w:tc>
          <w:tcPr>
            <w:tcW w:type="dxa" w:w="2434"/>
            <w:tcBorders>
              <w:start w:sz="4.800000000000011" w:val="single" w:color="#DDDDDD"/>
              <w:top w:sz="4.7999999999999545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18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Confident AI / DeepEval</w:t>
            </w:r>
          </w:p>
        </w:tc>
        <w:tc>
          <w:tcPr>
            <w:tcW w:type="dxa" w:w="7952"/>
            <w:tcBorders>
              <w:start w:sz="4.7999999999999545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50+ research-backed evaluation metrics; 91% agreement with human judgment; production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trace </w:t>
            </w:r>
            <w:r>
              <w:rPr>
                <w:w w:val="101.44764749627365"/>
                <w:rFonts w:ascii="Arial" w:hAnsi="Arial" w:eastAsia="Arial"/>
                <w:b w:val="0"/>
                <w:i w:val="0"/>
                <w:color w:val="000000"/>
                <w:sz w:val="19"/>
              </w:rPr>
              <w:t>→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 evaluation dataset pipeline</w:t>
            </w:r>
          </w:p>
        </w:tc>
      </w:tr>
      <w:tr>
        <w:trPr>
          <w:trHeight w:hRule="exact" w:val="662"/>
        </w:trPr>
        <w:tc>
          <w:tcPr>
            <w:tcW w:type="dxa" w:w="420"/>
            <w:tcBorders>
              <w:start w:sz="4.0" w:val="single" w:color="#DDDDDD"/>
              <w:top w:sz="4.7999999999999545" w:val="single" w:color="#DDDDDD"/>
              <w:end w:sz="4.800000000000011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27</w:t>
            </w:r>
          </w:p>
        </w:tc>
        <w:tc>
          <w:tcPr>
            <w:tcW w:type="dxa" w:w="2434"/>
            <w:tcBorders>
              <w:start w:sz="4.800000000000011" w:val="single" w:color="#DDDDDD"/>
              <w:top w:sz="4.7999999999999545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Galileo AI</w:t>
            </w:r>
          </w:p>
        </w:tc>
        <w:tc>
          <w:tcPr>
            <w:tcW w:type="dxa" w:w="7952"/>
            <w:tcBorders>
              <w:start w:sz="4.7999999999999545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576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Luna-2 real-time guardrails; hallucination detection; custom metrics; focus on RAG and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agentic workflows</w:t>
            </w:r>
          </w:p>
        </w:tc>
      </w:tr>
      <w:tr>
        <w:trPr>
          <w:trHeight w:hRule="exact" w:val="662"/>
        </w:trPr>
        <w:tc>
          <w:tcPr>
            <w:tcW w:type="dxa" w:w="420"/>
            <w:tcBorders>
              <w:start w:sz="4.0" w:val="single" w:color="#DDDDDD"/>
              <w:top w:sz="4.7999999999999545" w:val="single" w:color="#DDDDDD"/>
              <w:end w:sz="4.800000000000011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28</w:t>
            </w:r>
          </w:p>
        </w:tc>
        <w:tc>
          <w:tcPr>
            <w:tcW w:type="dxa" w:w="2434"/>
            <w:tcBorders>
              <w:start w:sz="4.800000000000011" w:val="single" w:color="#DDDDDD"/>
              <w:top w:sz="4.7999999999999545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Datadog (2025)</w:t>
            </w:r>
          </w:p>
        </w:tc>
        <w:tc>
          <w:tcPr>
            <w:tcW w:type="dxa" w:w="7952"/>
            <w:tcBorders>
              <w:start w:sz="4.7999999999999545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LLM guardrail best practices: layered defense including prompt construction, input filtering,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output validation, domain boundary enforcement</w:t>
            </w:r>
          </w:p>
        </w:tc>
      </w:tr>
      <w:tr>
        <w:trPr>
          <w:trHeight w:hRule="exact" w:val="662"/>
        </w:trPr>
        <w:tc>
          <w:tcPr>
            <w:tcW w:type="dxa" w:w="420"/>
            <w:tcBorders>
              <w:start w:sz="4.0" w:val="single" w:color="#DDDDDD"/>
              <w:top w:sz="4.7999999999999545" w:val="single" w:color="#DDDDDD"/>
              <w:end w:sz="4.800000000000011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29</w:t>
            </w:r>
          </w:p>
        </w:tc>
        <w:tc>
          <w:tcPr>
            <w:tcW w:type="dxa" w:w="2434"/>
            <w:tcBorders>
              <w:start w:sz="4.800000000000011" w:val="single" w:color="#DDDDDD"/>
              <w:top w:sz="4.7999999999999545" w:val="single" w:color="#DDDDDD"/>
              <w:end w:sz="4.7999999999999545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Air Canada chatbot ruling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(2024)</w:t>
            </w:r>
          </w:p>
        </w:tc>
        <w:tc>
          <w:tcPr>
            <w:tcW w:type="dxa" w:w="7952"/>
            <w:tcBorders>
              <w:start w:sz="4.7999999999999545" w:val="single" w:color="#DDDDDD"/>
              <w:top w:sz="4.7999999999999545" w:val="single" w:color="#DDDDDD"/>
              <w:end w:sz="4.800000000000182" w:val="single" w:color="#DDDDDD"/>
              <w:bottom w:sz="4.7999999999999545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Legal precedent: companies are liable for AI chatbot outputs; tribunal ruled fabricated refund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policy was binding</w:t>
            </w:r>
          </w:p>
        </w:tc>
      </w:tr>
      <w:tr>
        <w:trPr>
          <w:trHeight w:hRule="exact" w:val="664"/>
        </w:trPr>
        <w:tc>
          <w:tcPr>
            <w:tcW w:type="dxa" w:w="420"/>
            <w:tcBorders>
              <w:start w:sz="4.0" w:val="single" w:color="#DDDDDD"/>
              <w:top w:sz="4.7999999999999545" w:val="single" w:color="#DDDDDD"/>
              <w:end w:sz="4.800000000000011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30</w:t>
            </w:r>
          </w:p>
        </w:tc>
        <w:tc>
          <w:tcPr>
            <w:tcW w:type="dxa" w:w="2434"/>
            <w:tcBorders>
              <w:start w:sz="4.800000000000011" w:val="single" w:color="#DDDDDD"/>
              <w:top w:sz="4.7999999999999545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98" w:right="432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Apple AI incident (Jan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2025)</w:t>
            </w:r>
          </w:p>
        </w:tc>
        <w:tc>
          <w:tcPr>
            <w:tcW w:type="dxa" w:w="7952"/>
            <w:tcBorders>
              <w:start w:sz="4.7999999999999545" w:val="single" w:color="#DDDDDD"/>
              <w:top w:sz="4.7999999999999545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8" w:after="0"/>
              <w:ind w:left="96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AI news summary feature suspended after generating misleading headlines; demonstrated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reputational risk of unguarded outputs</w:t>
            </w:r>
          </w:p>
        </w:tc>
      </w:tr>
      <w:tr>
        <w:trPr>
          <w:trHeight w:hRule="exact" w:val="662"/>
        </w:trPr>
        <w:tc>
          <w:tcPr>
            <w:tcW w:type="dxa" w:w="420"/>
            <w:tcBorders>
              <w:start w:sz="4.0" w:val="single" w:color="#DDDDDD"/>
              <w:top w:sz="4.800000000000182" w:val="single" w:color="#DDDDDD"/>
              <w:end w:sz="4.800000000000011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31</w:t>
            </w:r>
          </w:p>
        </w:tc>
        <w:tc>
          <w:tcPr>
            <w:tcW w:type="dxa" w:w="2434"/>
            <w:tcBorders>
              <w:start w:sz="4.800000000000011" w:val="single" w:color="#DDDDDD"/>
              <w:top w:sz="4.800000000000182" w:val="single" w:color="#DDDDDD"/>
              <w:end w:sz="4.7999999999999545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8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FinOps Foundation / State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of FinOps 2026</w:t>
            </w:r>
          </w:p>
        </w:tc>
        <w:tc>
          <w:tcPr>
            <w:tcW w:type="dxa" w:w="7952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432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96 of Fortune 100 participate; 63% of teams now manage AI spend (up from 31%); mission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evolved from "cost of cloud" to "value of technology"</w:t>
            </w:r>
          </w:p>
        </w:tc>
      </w:tr>
      <w:tr>
        <w:trPr>
          <w:trHeight w:hRule="exact" w:val="434"/>
        </w:trPr>
        <w:tc>
          <w:tcPr>
            <w:tcW w:type="dxa" w:w="420"/>
            <w:tcBorders>
              <w:start w:sz="4.0" w:val="single" w:color="#DDDDDD"/>
              <w:top w:sz="4.799999999999727" w:val="single" w:color="#DDDDDD"/>
              <w:end w:sz="4.800000000000011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32</w:t>
            </w:r>
          </w:p>
        </w:tc>
        <w:tc>
          <w:tcPr>
            <w:tcW w:type="dxa" w:w="2434"/>
            <w:tcBorders>
              <w:start w:sz="4.800000000000011" w:val="single" w:color="#DDDDDD"/>
              <w:top w:sz="4.799999999999727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Flexera / Harness (2025)</w:t>
            </w:r>
          </w:p>
        </w:tc>
        <w:tc>
          <w:tcPr>
            <w:tcW w:type="dxa" w:w="7952"/>
            <w:tcBorders>
              <w:start w:sz="4.7999999999999545" w:val="single" w:color="#DDDDDD"/>
              <w:top w:sz="4.799999999999727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27–30% of cloud spend wasted; $45B/year on underutilized cloud infrastructure</w:t>
            </w:r>
          </w:p>
        </w:tc>
      </w:tr>
      <w:tr>
        <w:trPr>
          <w:trHeight w:hRule="exact" w:val="434"/>
        </w:trPr>
        <w:tc>
          <w:tcPr>
            <w:tcW w:type="dxa" w:w="420"/>
            <w:tcBorders>
              <w:start w:sz="4.0" w:val="single" w:color="#DDDDDD"/>
              <w:top w:sz="4.800000000000182" w:val="single" w:color="#DDDDDD"/>
              <w:end w:sz="4.800000000000011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33</w:t>
            </w:r>
          </w:p>
        </w:tc>
        <w:tc>
          <w:tcPr>
            <w:tcW w:type="dxa" w:w="2434"/>
            <w:tcBorders>
              <w:start w:sz="4.800000000000011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Deloitte FinOps (2025)</w:t>
            </w:r>
          </w:p>
        </w:tc>
        <w:tc>
          <w:tcPr>
            <w:tcW w:type="dxa" w:w="7952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96" w:after="0"/>
              <w:ind w:left="96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$21B potential savings from FinOps in 2025; up to 40% cloud cost reduction achievable</w:t>
            </w:r>
          </w:p>
        </w:tc>
      </w:tr>
      <w:tr>
        <w:trPr>
          <w:trHeight w:hRule="exact" w:val="674"/>
        </w:trPr>
        <w:tc>
          <w:tcPr>
            <w:tcW w:type="dxa" w:w="420"/>
            <w:tcBorders>
              <w:start w:sz="4.0" w:val="single" w:color="#DDDDDD"/>
              <w:top w:sz="4.800000000000182" w:val="single" w:color="#DDDDDD"/>
              <w:end w:sz="4.800000000000011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1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34</w:t>
            </w:r>
          </w:p>
        </w:tc>
        <w:tc>
          <w:tcPr>
            <w:tcW w:type="dxa" w:w="2434"/>
            <w:tcBorders>
              <w:start w:sz="4.800000000000011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1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Sky Group FinOps case</w:t>
            </w:r>
          </w:p>
        </w:tc>
        <w:tc>
          <w:tcPr>
            <w:tcW w:type="dxa" w:w="7952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432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Spent full year's cloud budget in 6 months; deployed FinOps </w:t>
            </w:r>
            <w:r>
              <w:rPr>
                <w:w w:val="101.44764749627365"/>
                <w:rFonts w:ascii="Arial" w:hAnsi="Arial" w:eastAsia="Arial"/>
                <w:b w:val="0"/>
                <w:i w:val="0"/>
                <w:color w:val="000000"/>
                <w:sz w:val="19"/>
              </w:rPr>
              <w:t>→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 $1.5M immediate savings,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$3.8M in year 2</w:t>
            </w:r>
          </w:p>
        </w:tc>
      </w:tr>
      <w:tr>
        <w:trPr>
          <w:trHeight w:hRule="exact" w:val="662"/>
        </w:trPr>
        <w:tc>
          <w:tcPr>
            <w:tcW w:type="dxa" w:w="420"/>
            <w:tcBorders>
              <w:start w:sz="4.0" w:val="single" w:color="#DDDDDD"/>
              <w:top w:sz="4.800000000000182" w:val="single" w:color="#DDDDDD"/>
              <w:end w:sz="4.800000000000011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35</w:t>
            </w:r>
          </w:p>
        </w:tc>
        <w:tc>
          <w:tcPr>
            <w:tcW w:type="dxa" w:w="2434"/>
            <w:tcBorders>
              <w:start w:sz="4.800000000000011" w:val="single" w:color="#DDDDDD"/>
              <w:top w:sz="4.800000000000182" w:val="single" w:color="#DDDDDD"/>
              <w:end w:sz="4.7999999999999545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4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Gartner Shadow IT (2015)</w:t>
            </w:r>
          </w:p>
        </w:tc>
        <w:tc>
          <w:tcPr>
            <w:tcW w:type="dxa" w:w="7952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4.800000000000182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288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35% of enterprise IT expenditure managed outside central IT — the cloud-era precedent for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shadow AI</w:t>
            </w:r>
          </w:p>
        </w:tc>
      </w:tr>
      <w:tr>
        <w:trPr>
          <w:trHeight w:hRule="exact" w:val="664"/>
        </w:trPr>
        <w:tc>
          <w:tcPr>
            <w:tcW w:type="dxa" w:w="420"/>
            <w:tcBorders>
              <w:start w:sz="4.0" w:val="single" w:color="#DDDDDD"/>
              <w:top w:sz="4.800000000000182" w:val="single" w:color="#DDDDDD"/>
              <w:end w:sz="4.800000000000011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6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36</w:t>
            </w:r>
          </w:p>
        </w:tc>
        <w:tc>
          <w:tcPr>
            <w:tcW w:type="dxa" w:w="2434"/>
            <w:tcBorders>
              <w:start w:sz="4.800000000000011" w:val="single" w:color="#DDDDDD"/>
              <w:top w:sz="4.800000000000182" w:val="single" w:color="#DDDDDD"/>
              <w:end w:sz="4.7999999999999545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6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Digital CxO (Jan 2026)</w:t>
            </w:r>
          </w:p>
        </w:tc>
        <w:tc>
          <w:tcPr>
            <w:tcW w:type="dxa" w:w="7952"/>
            <w:tcBorders>
              <w:start w:sz="4.7999999999999545" w:val="single" w:color="#DDDDDD"/>
              <w:top w:sz="4.800000000000182" w:val="single" w:color="#DDDDDD"/>
              <w:end w:sz="4.800000000000182" w:val="single" w:color="#DDDDDD"/>
              <w:bottom w:sz="5.599999999999909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6" w:after="0"/>
              <w:ind w:left="96" w:right="432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"Cloud Smart" replaces "Cloud First"; conversation shifted from adoption rates to ROI and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architectural precision</w:t>
            </w:r>
          </w:p>
        </w:tc>
      </w:tr>
      <w:tr>
        <w:trPr>
          <w:trHeight w:hRule="exact" w:val="662"/>
        </w:trPr>
        <w:tc>
          <w:tcPr>
            <w:tcW w:type="dxa" w:w="420"/>
            <w:tcBorders>
              <w:start w:sz="4.0" w:val="single" w:color="#DDDDDD"/>
              <w:top w:sz="5.599999999999909" w:val="single" w:color="#DDDDDD"/>
              <w:end w:sz="4.800000000000011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1" w:lineRule="auto" w:before="202" w:after="0"/>
              <w:ind w:left="0" w:right="0" w:firstLine="0"/>
              <w:jc w:val="center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37</w:t>
            </w:r>
          </w:p>
        </w:tc>
        <w:tc>
          <w:tcPr>
            <w:tcW w:type="dxa" w:w="2434"/>
            <w:tcBorders>
              <w:start w:sz="4.800000000000011" w:val="single" w:color="#DDDDDD"/>
              <w:top w:sz="5.599999999999909" w:val="single" w:color="#DDDDDD"/>
              <w:end w:sz="4.7999999999999545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98" w:right="0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FinOps Foundation FOCUS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Spec</w:t>
            </w:r>
          </w:p>
        </w:tc>
        <w:tc>
          <w:tcPr>
            <w:tcW w:type="dxa" w:w="7952"/>
            <w:tcBorders>
              <w:start w:sz="4.7999999999999545" w:val="single" w:color="#DDDDDD"/>
              <w:top w:sz="5.599999999999909" w:val="single" w:color="#DDDDDD"/>
              <w:end w:sz="4.800000000000182" w:val="single" w:color="#DDDDDD"/>
              <w:bottom w:sz="4.799999999999727" w:val="single" w:color="#DDDDDD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94" w:after="0"/>
              <w:ind w:left="96" w:right="144" w:firstLine="0"/>
              <w:jc w:val="left"/>
            </w:pP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 xml:space="preserve">Unified billing data format across AWS, Azure, GCP, Oracle; no equivalent standard exists yet </w:t>
            </w:r>
            <w:r>
              <w:rPr>
                <w:w w:val="101.44764749627365"/>
                <w:rFonts w:ascii="Barlow" w:hAnsi="Barlow" w:eastAsia="Barlow"/>
                <w:b w:val="0"/>
                <w:i w:val="0"/>
                <w:color w:val="000000"/>
                <w:sz w:val="19"/>
              </w:rPr>
              <w:t>for AI inference billing</w:t>
            </w:r>
          </w:p>
        </w:tc>
      </w:tr>
    </w:tbl>
    <w:p>
      <w:pPr>
        <w:autoSpaceDN w:val="0"/>
        <w:autoSpaceDE w:val="0"/>
        <w:widowControl/>
        <w:spacing w:line="240" w:lineRule="auto" w:before="182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5791200</wp:posOffset>
            </wp:positionV>
            <wp:extent cx="6870700" cy="254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224" w:after="0"/>
        <w:ind w:left="240" w:right="864" w:firstLine="0"/>
        <w:jc w:val="left"/>
      </w:pPr>
      <w:r>
        <w:rPr>
          <w:w w:val="101.44764749627365"/>
          <w:rFonts w:ascii="Barlow" w:hAnsi="Barlow" w:eastAsia="Barlow"/>
          <w:b w:val="0"/>
          <w:i/>
          <w:color w:val="000000"/>
          <w:sz w:val="19"/>
        </w:rPr>
        <w:t xml:space="preserve">This introduction section is designed for your team to build upon. Subsequent sections (Part II onwards) will detail the technical </w:t>
      </w:r>
      <w:r>
        <w:rPr>
          <w:w w:val="101.44764749627365"/>
          <w:rFonts w:ascii="Barlow" w:hAnsi="Barlow" w:eastAsia="Barlow"/>
          <w:b w:val="0"/>
          <w:i/>
          <w:color w:val="000000"/>
          <w:sz w:val="19"/>
        </w:rPr>
        <w:t>architecture, implementation specifications, and validation methodology for each pillar.</w:t>
      </w:r>
    </w:p>
    <w:sectPr w:rsidR="00FC693F" w:rsidRPr="0006063C" w:rsidSect="00034616">
      <w:pgSz w:w="11899" w:h="16838"/>
      <w:pgMar w:top="0" w:right="280" w:bottom="1440" w:left="30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image" Target="media/image81.png"/><Relationship Id="rId90" Type="http://schemas.openxmlformats.org/officeDocument/2006/relationships/image" Target="media/image8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