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jc w:val="center"/>
      </w:pPr>
      <w:r>
        <w:drawing>
          <wp:inline xmlns:a="http://schemas.openxmlformats.org/drawingml/2006/main" xmlns:pic="http://schemas.openxmlformats.org/drawingml/2006/picture">
            <wp:extent cx="1463040" cy="1631290"/>
            <wp:docPr id="1" name="Picture 1"/>
            <wp:cNvGraphicFramePr>
              <a:graphicFrameLocks noChangeAspect="1"/>
            </wp:cNvGraphicFramePr>
            <a:graphic>
              <a:graphicData uri="http://schemas.openxmlformats.org/drawingml/2006/picture">
                <pic:pic>
                  <pic:nvPicPr>
                    <pic:cNvPr id="0" name="cet-crest.png"/>
                    <pic:cNvPicPr/>
                  </pic:nvPicPr>
                  <pic:blipFill>
                    <a:blip r:embed="rId9"/>
                    <a:stretch>
                      <a:fillRect/>
                    </a:stretch>
                  </pic:blipFill>
                  <pic:spPr>
                    <a:xfrm>
                      <a:off x="0" y="0"/>
                      <a:ext cx="1463040" cy="1631290"/>
                    </a:xfrm>
                    <a:prstGeom prst="rect"/>
                  </pic:spPr>
                </pic:pic>
              </a:graphicData>
            </a:graphic>
          </wp:inline>
        </w:drawing>
      </w:r>
    </w:p>
    <w:p>
      <w:pPr>
        <w:spacing w:before="0" w:after="320" w:line="520" w:lineRule="exact"/>
        <w:jc w:val="center"/>
      </w:pPr>
      <w:r>
        <w:rPr>
          <w:rFonts w:ascii="Times New Roman" w:hAnsi="Times New Roman"/>
          <w:b/>
          <w:i/>
          <w:sz w:val="44"/>
        </w:rPr>
        <w:t>STARBASE MATERIAL SELECTION</w:t>
        <w:br/>
        <w:t>SYSTEM</w:t>
      </w:r>
    </w:p>
    <w:p>
      <w:pPr>
        <w:spacing w:before="0" w:after="320"/>
        <w:jc w:val="center"/>
      </w:pPr>
      <w:r>
        <w:rPr>
          <w:rFonts w:ascii="Times New Roman" w:hAnsi="Times New Roman"/>
          <w:b/>
          <w:sz w:val="32"/>
        </w:rPr>
        <w:t>PROJECT REPORT</w:t>
      </w:r>
    </w:p>
    <w:p>
      <w:pPr>
        <w:spacing w:before="0" w:after="320"/>
        <w:jc w:val="center"/>
      </w:pPr>
      <w:r>
        <w:rPr>
          <w:rFonts w:ascii="Times New Roman" w:hAnsi="Times New Roman"/>
          <w:i/>
          <w:sz w:val="24"/>
        </w:rPr>
        <w:t>Submitted by</w:t>
      </w:r>
    </w:p>
    <w:p>
      <w:pPr>
        <w:spacing w:before="0" w:after="440" w:line="400" w:lineRule="exact"/>
        <w:jc w:val="center"/>
      </w:pPr>
      <w:r>
        <w:rPr>
          <w:rFonts w:ascii="Times New Roman" w:hAnsi="Times New Roman"/>
          <w:b/>
          <w:sz w:val="24"/>
        </w:rPr>
        <w:t>SUDHEESH P</w:t>
        <w:br/>
      </w:r>
      <w:r>
        <w:rPr>
          <w:rFonts w:ascii="Times New Roman" w:hAnsi="Times New Roman"/>
          <w:b/>
          <w:sz w:val="24"/>
        </w:rPr>
        <w:t>Roll No: 64</w:t>
        <w:br/>
      </w:r>
      <w:r>
        <w:rPr>
          <w:rFonts w:ascii="Times New Roman" w:hAnsi="Times New Roman"/>
          <w:b/>
          <w:sz w:val="24"/>
        </w:rPr>
        <w:t>University ID: LTVE24EL071</w:t>
      </w:r>
    </w:p>
    <w:p>
      <w:pPr>
        <w:spacing w:before="0" w:after="440" w:line="400" w:lineRule="exact"/>
        <w:jc w:val="center"/>
      </w:pPr>
      <w:r>
        <w:rPr>
          <w:rFonts w:ascii="Times New Roman" w:hAnsi="Times New Roman"/>
          <w:b/>
          <w:sz w:val="24"/>
        </w:rPr>
        <w:t>BABITHOSH EB</w:t>
        <w:br/>
      </w:r>
      <w:r>
        <w:rPr>
          <w:rFonts w:ascii="Times New Roman" w:hAnsi="Times New Roman"/>
          <w:b/>
          <w:sz w:val="24"/>
        </w:rPr>
        <w:t>Roll No: 18</w:t>
        <w:br/>
      </w:r>
      <w:r>
        <w:rPr>
          <w:rFonts w:ascii="Times New Roman" w:hAnsi="Times New Roman"/>
          <w:b/>
          <w:sz w:val="24"/>
        </w:rPr>
        <w:t>University ID: LTVE24EL069</w:t>
      </w:r>
    </w:p>
    <w:p>
      <w:pPr>
        <w:spacing w:before="0" w:after="440" w:line="400" w:lineRule="exact"/>
        <w:jc w:val="center"/>
      </w:pPr>
      <w:r>
        <w:rPr>
          <w:rFonts w:ascii="Times New Roman" w:hAnsi="Times New Roman"/>
          <w:b/>
          <w:sz w:val="24"/>
        </w:rPr>
        <w:t>MINNA ANTONY</w:t>
        <w:br/>
      </w:r>
      <w:r>
        <w:rPr>
          <w:rFonts w:ascii="Times New Roman" w:hAnsi="Times New Roman"/>
          <w:b/>
          <w:sz w:val="24"/>
        </w:rPr>
        <w:t>Roll No: 47</w:t>
        <w:br/>
      </w:r>
      <w:r>
        <w:rPr>
          <w:rFonts w:ascii="Times New Roman" w:hAnsi="Times New Roman"/>
          <w:b/>
          <w:sz w:val="24"/>
        </w:rPr>
        <w:t>University ID: TVE24EL044</w:t>
      </w:r>
    </w:p>
    <w:p>
      <w:pPr>
        <w:spacing w:before="0" w:after="440" w:line="400" w:lineRule="exact"/>
        <w:jc w:val="center"/>
      </w:pPr>
      <w:r>
        <w:rPr>
          <w:rFonts w:ascii="Times New Roman" w:hAnsi="Times New Roman"/>
          <w:b/>
          <w:sz w:val="24"/>
        </w:rPr>
        <w:t>SEBIN XAVIER</w:t>
        <w:br/>
      </w:r>
      <w:r>
        <w:rPr>
          <w:rFonts w:ascii="Times New Roman" w:hAnsi="Times New Roman"/>
          <w:b/>
          <w:sz w:val="24"/>
        </w:rPr>
        <w:t>Roll No: 60</w:t>
        <w:br/>
      </w:r>
      <w:r>
        <w:rPr>
          <w:rFonts w:ascii="Times New Roman" w:hAnsi="Times New Roman"/>
          <w:b/>
          <w:sz w:val="24"/>
        </w:rPr>
        <w:t>University ID: TVE24EL056</w:t>
      </w:r>
    </w:p>
    <w:p>
      <w:pPr>
        <w:spacing w:before="560" w:after="560" w:line="400" w:lineRule="exact"/>
        <w:jc w:val="center"/>
      </w:pPr>
      <w:r>
        <w:rPr>
          <w:rFonts w:ascii="Times New Roman" w:hAnsi="Times New Roman"/>
          <w:b/>
          <w:sz w:val="24"/>
        </w:rPr>
        <w:t>B.Tech Electrical and Computer Engineering</w:t>
        <w:br/>
      </w:r>
      <w:r>
        <w:rPr>
          <w:rFonts w:ascii="Times New Roman" w:hAnsi="Times New Roman"/>
          <w:b/>
          <w:sz w:val="24"/>
        </w:rPr>
        <w:t>Department of Electrical Engineering</w:t>
        <w:br/>
      </w:r>
      <w:r>
        <w:rPr>
          <w:rFonts w:ascii="Times New Roman" w:hAnsi="Times New Roman"/>
          <w:b/>
          <w:sz w:val="24"/>
        </w:rPr>
        <w:t>College of Engineering Trivandrum</w:t>
      </w:r>
    </w:p>
    <w:p>
      <w:pPr>
        <w:spacing w:before="0" w:after="0"/>
        <w:jc w:val="center"/>
      </w:pPr>
      <w:r>
        <w:rPr>
          <w:rFonts w:ascii="Times New Roman" w:hAnsi="Times New Roman"/>
          <w:b/>
          <w:sz w:val="24"/>
        </w:rPr>
        <w:t>Academic Year 2026–2027</w:t>
      </w:r>
    </w:p>
    <w:p>
      <w:pPr>
        <w:sectPr>
          <w:pgSz w:w="11905" w:h="16838"/>
          <w:pgMar w:top="1008" w:right="1440" w:bottom="1008" w:left="1440" w:header="720" w:footer="720" w:gutter="0"/>
          <w:cols w:space="720"/>
          <w:docGrid w:linePitch="360"/>
        </w:sectPr>
      </w:pPr>
    </w:p>
    <w:p>
      <w:pPr>
        <w:spacing w:before="240" w:after="360"/>
        <w:jc w:val="center"/>
      </w:pPr>
      <w:r>
        <w:rPr>
          <w:rFonts w:ascii="Times New Roman" w:hAnsi="Times New Roman"/>
          <w:b/>
          <w:sz w:val="32"/>
        </w:rPr>
        <w:t>CERTIFICATE OF COMPLETION</w:t>
      </w:r>
    </w:p>
    <w:p>
      <w:pPr>
        <w:spacing w:before="0" w:after="480" w:line="324" w:lineRule="auto"/>
        <w:jc w:val="both"/>
      </w:pPr>
      <w:r>
        <w:rPr>
          <w:rFonts w:ascii="Times New Roman" w:hAnsi="Times New Roman"/>
          <w:b w:val="0"/>
          <w:i w:val="0"/>
          <w:sz w:val="24"/>
        </w:rPr>
        <w:t>This is to certify that Sudheesh P (Roll No. 64), Babithosh EB (Roll No. 18), Minna Antony (Roll No. 47), and Sebin Xavier (Roll No. 60), B.Tech Electrical and Computer Engineering students of College of Engineering Trivandrum, have completed the work presented in the report titled “Starbase Material Selection System” at College of Engineering Trivandrum, as part of the Database Management System (PBEOT504) Project-Based Learning (PBL) curriculum. This is a bonafide record of their original work carried out under our supervision and guidance.</w:t>
      </w:r>
    </w:p>
    <w:p>
      <w:pPr>
        <w:spacing w:before="720" w:after="40" w:line="276" w:lineRule="auto"/>
      </w:pPr>
      <w:r>
        <w:rPr>
          <w:rFonts w:ascii="Times New Roman" w:hAnsi="Times New Roman"/>
          <w:b/>
          <w:sz w:val="23"/>
        </w:rPr>
        <w:t>Prof. Muhammed Raseem S.</w:t>
        <w:br/>
      </w:r>
      <w:r>
        <w:rPr>
          <w:rFonts w:ascii="Times New Roman" w:hAnsi="Times New Roman"/>
          <w:sz w:val="22"/>
        </w:rPr>
        <w:t>Department of Computer Science &amp; Engineering</w:t>
        <w:br/>
        <w:t>College of Engineering Trivandrum</w:t>
        <w:br/>
        <w:t>Signature: __________________________    Date: ______________</w:t>
      </w:r>
    </w:p>
    <w:p>
      <w:pPr>
        <w:spacing w:before="560" w:after="40" w:line="276" w:lineRule="auto"/>
      </w:pPr>
      <w:r>
        <w:rPr>
          <w:rFonts w:ascii="Times New Roman" w:hAnsi="Times New Roman"/>
          <w:b/>
          <w:sz w:val="23"/>
        </w:rPr>
        <w:t>Prof. Julie T.S.</w:t>
        <w:br/>
      </w:r>
      <w:r>
        <w:rPr>
          <w:rFonts w:ascii="Times New Roman" w:hAnsi="Times New Roman"/>
          <w:sz w:val="22"/>
        </w:rPr>
        <w:t>Department of Electrical Engineering</w:t>
        <w:br/>
        <w:t>College of Engineering Trivandrum</w:t>
        <w:br/>
        <w:t>Signature: __________________________    Date: ______________</w:t>
      </w:r>
    </w:p>
    <w:p>
      <w:pPr>
        <w:pageBreakBefore/>
        <w:spacing w:before="240" w:after="360"/>
        <w:jc w:val="center"/>
      </w:pPr>
      <w:r>
        <w:rPr>
          <w:rFonts w:ascii="Times New Roman" w:hAnsi="Times New Roman"/>
          <w:b/>
          <w:sz w:val="32"/>
        </w:rPr>
        <w:t>DECLARATION</w:t>
      </w:r>
    </w:p>
    <w:p>
      <w:pPr>
        <w:spacing w:before="0" w:after="160" w:line="324" w:lineRule="auto"/>
        <w:jc w:val="both"/>
      </w:pPr>
      <w:r>
        <w:rPr>
          <w:rFonts w:ascii="Times New Roman" w:hAnsi="Times New Roman"/>
          <w:b w:val="0"/>
          <w:i w:val="0"/>
          <w:sz w:val="24"/>
        </w:rPr>
        <w:t>We hereby declare that the project report entitled “Starbase Material Selection System” is a record of the work carried out by our group as part of the Project-Based Learning (PBL) course Database Management System (PBEOT504) under the guidance of Prof. Muhammed Raseem S. and Prof. Julie T.S.</w:t>
      </w:r>
    </w:p>
    <w:p>
      <w:pPr>
        <w:spacing w:before="0" w:after="160" w:line="324" w:lineRule="auto"/>
        <w:jc w:val="both"/>
      </w:pPr>
      <w:r>
        <w:rPr>
          <w:rFonts w:ascii="Times New Roman" w:hAnsi="Times New Roman"/>
          <w:b w:val="0"/>
          <w:i w:val="0"/>
          <w:sz w:val="24"/>
        </w:rPr>
        <w:t>We further declare that this report has been prepared as part of the academic requirements of the B.Tech degree programme and that the work presented herein has not been submitted, either in whole or in part, to any other institution for the award of any degree or diploma.</w:t>
      </w:r>
    </w:p>
    <w:p>
      <w:pPr>
        <w:spacing w:before="0" w:after="400" w:line="324" w:lineRule="auto"/>
        <w:jc w:val="both"/>
      </w:pPr>
      <w:r>
        <w:rPr>
          <w:rFonts w:ascii="Times New Roman" w:hAnsi="Times New Roman"/>
          <w:b w:val="0"/>
          <w:i w:val="0"/>
          <w:sz w:val="24"/>
        </w:rPr>
        <w:t>We have duly acknowledged all sources of information used in the preparation of this report.</w:t>
      </w:r>
    </w:p>
    <w:p>
      <w:pPr>
        <w:spacing w:before="240" w:after="320"/>
      </w:pPr>
      <w:r>
        <w:rPr>
          <w:rFonts w:ascii="Times New Roman" w:hAnsi="Times New Roman"/>
          <w:b/>
          <w:sz w:val="23"/>
        </w:rPr>
        <w:t>TRIVANDRUM</w:t>
        <w:br/>
        <w:t>26-10-2026</w:t>
      </w:r>
    </w:p>
    <w:p>
      <w:pPr>
        <w:spacing w:before="240" w:line="384" w:lineRule="auto"/>
      </w:pPr>
      <w:r>
        <w:rPr>
          <w:rFonts w:ascii="Times New Roman" w:hAnsi="Times New Roman"/>
          <w:sz w:val="21"/>
        </w:rPr>
        <w:t>Sudheesh P   (Roll No. 64, TVE ID: LTVE24EL071)     Signature: ___________________</w:t>
        <w:br/>
      </w:r>
      <w:r>
        <w:rPr>
          <w:rFonts w:ascii="Times New Roman" w:hAnsi="Times New Roman"/>
          <w:sz w:val="21"/>
        </w:rPr>
        <w:t>Babithosh EB (Roll No. 18, TVE ID: LTVE24EL069)     Signature: ___________________</w:t>
        <w:br/>
      </w:r>
      <w:r>
        <w:rPr>
          <w:rFonts w:ascii="Times New Roman" w:hAnsi="Times New Roman"/>
          <w:sz w:val="21"/>
        </w:rPr>
        <w:t>Minna Antony (Roll No. 47, TVE ID: TVE24EL044)     Signature: ___________________</w:t>
        <w:br/>
      </w:r>
      <w:r>
        <w:rPr>
          <w:rFonts w:ascii="Times New Roman" w:hAnsi="Times New Roman"/>
          <w:sz w:val="21"/>
        </w:rPr>
        <w:t>Sebin Xavier (Roll No. 60, TVE ID: TVE24EL056)     Signature: ___________________</w:t>
        <w:br/>
      </w:r>
    </w:p>
    <w:p>
      <w:pPr>
        <w:pageBreakBefore/>
        <w:spacing w:before="240" w:after="360"/>
        <w:jc w:val="center"/>
      </w:pPr>
      <w:r>
        <w:rPr>
          <w:rFonts w:ascii="Times New Roman" w:hAnsi="Times New Roman"/>
          <w:b/>
          <w:sz w:val="32"/>
        </w:rPr>
        <w:t>ABSTRACT</w:t>
      </w:r>
    </w:p>
    <w:p>
      <w:pPr>
        <w:spacing w:before="0" w:after="160" w:line="324" w:lineRule="auto"/>
        <w:jc w:val="both"/>
      </w:pPr>
      <w:r>
        <w:rPr>
          <w:rFonts w:ascii="Times New Roman" w:hAnsi="Times New Roman"/>
          <w:b w:val="0"/>
          <w:i w:val="0"/>
          <w:sz w:val="24"/>
        </w:rPr>
        <w:t>Selecting an optimal engineering material for a mechanical or aerospace component requires balancing conflicting design objectives, including mass minimization, structural yield strength, stiffness, thermal endurance, and commercial availability. While vast computational and empirical materials data exists, it remains fragmented across incompatible repositories, proprietary silos, and non-standardized datasheets. Starbase is an open, relational database system and engineering selection workspace designed to unify multi-source scientific materials data into a single, fully normalized catalog.</w:t>
      </w:r>
    </w:p>
    <w:p>
      <w:pPr>
        <w:spacing w:before="0" w:after="160" w:line="324" w:lineRule="auto"/>
        <w:jc w:val="both"/>
      </w:pPr>
      <w:r>
        <w:rPr>
          <w:rFonts w:ascii="Times New Roman" w:hAnsi="Times New Roman"/>
          <w:b w:val="0"/>
          <w:i w:val="0"/>
          <w:sz w:val="24"/>
        </w:rPr>
        <w:t>The database schema implements a third-normal-form (3NF) property-dictionary architecture that reconciles 6,265,691 material records across 14 authoritative open repositories, including NIST JARVIS-DFT, Materials Project (core and GNoME), AFLOW, NOMAD, Alexandria, NASA TPSX, spacecraft outgassing archives, high-entropy alloy datasets, and certified stainless-steel supplier catalogs. Complete source provenance (origin repository, upstream version, license terms, digital checksum, and evidence classification) is captured for every record. The database footprint comprises 18 core application schema tables (17 active application tables and one legacy review table), expanding to 20 tables in the cloud deployment with two dedicated migration and audit support tables.</w:t>
      </w:r>
    </w:p>
    <w:p>
      <w:pPr>
        <w:spacing w:before="0" w:after="0" w:line="324" w:lineRule="auto"/>
        <w:jc w:val="both"/>
      </w:pPr>
      <w:r>
        <w:rPr>
          <w:rFonts w:ascii="Times New Roman" w:hAnsi="Times New Roman"/>
          <w:b w:val="0"/>
          <w:i w:val="0"/>
          <w:sz w:val="24"/>
        </w:rPr>
        <w:t>The selection engine applies a hybrid evaluation strategy: mandatory engineering constraints are evaluated directly in SQL via composite-indexed criteria queries, followed by multi-attribute min-max normalized weighted scoring that ranks surviving candidates. Crucially, missing values are never zero-imputed; candidates lacking required properties are explicitly disqualified with explainable diagnostic logs. Starbase includes a React 18 single-page application, an Express 5 REST API, and dual database support across local MySQL 8.4 and TiDB Cloud Serverless. An automated test suite of 29 test suites verifies ranking algebra, transactional persistence, role-based access control, and large-scale catalog pagination.</w:t>
      </w:r>
    </w:p>
    <w:p>
      <w:pPr>
        <w:pageBreakBefore/>
        <w:spacing w:before="240" w:after="320"/>
        <w:jc w:val="center"/>
      </w:pPr>
      <w:r>
        <w:rPr>
          <w:rFonts w:ascii="Times New Roman" w:hAnsi="Times New Roman"/>
          <w:b/>
          <w:sz w:val="32"/>
        </w:rPr>
        <w:t>CONTENTS</w:t>
      </w:r>
    </w:p>
    <w:p>
      <w:pPr>
        <w:tabs>
          <w:tab w:pos="8669" w:val="right" w:leader="dot"/>
        </w:tabs>
        <w:spacing w:before="40" w:after="40" w:line="276" w:lineRule="auto"/>
        <w:ind w:left="0" w:firstLine="0"/>
      </w:pPr>
      <w:r>
        <w:rPr>
          <w:rFonts w:ascii="Times New Roman" w:hAnsi="Times New Roman"/>
          <w:b/>
          <w:sz w:val="22"/>
        </w:rPr>
        <w:t>CERTIFICATE OF COMPLETION</w:t>
      </w:r>
      <w:r>
        <w:tab/>
      </w:r>
      <w:r>
        <w:rPr>
          <w:rFonts w:ascii="Times New Roman" w:hAnsi="Times New Roman"/>
          <w:b/>
          <w:sz w:val="22"/>
        </w:rPr>
        <w:t>i</w:t>
      </w:r>
    </w:p>
    <w:p>
      <w:pPr>
        <w:tabs>
          <w:tab w:pos="8669" w:val="right" w:leader="dot"/>
        </w:tabs>
        <w:spacing w:before="40" w:after="40" w:line="276" w:lineRule="auto"/>
        <w:ind w:left="0" w:firstLine="0"/>
      </w:pPr>
      <w:r>
        <w:rPr>
          <w:rFonts w:ascii="Times New Roman" w:hAnsi="Times New Roman"/>
          <w:b/>
          <w:sz w:val="22"/>
        </w:rPr>
        <w:t>DECLARATION</w:t>
      </w:r>
      <w:r>
        <w:tab/>
      </w:r>
      <w:r>
        <w:rPr>
          <w:rFonts w:ascii="Times New Roman" w:hAnsi="Times New Roman"/>
          <w:b/>
          <w:sz w:val="22"/>
        </w:rPr>
        <w:t>ii</w:t>
      </w:r>
    </w:p>
    <w:p>
      <w:pPr>
        <w:tabs>
          <w:tab w:pos="8669" w:val="right" w:leader="dot"/>
        </w:tabs>
        <w:spacing w:before="40" w:after="40" w:line="276" w:lineRule="auto"/>
        <w:ind w:left="0" w:firstLine="0"/>
      </w:pPr>
      <w:r>
        <w:rPr>
          <w:rFonts w:ascii="Times New Roman" w:hAnsi="Times New Roman"/>
          <w:b/>
          <w:sz w:val="22"/>
        </w:rPr>
        <w:t>ABSTRACT</w:t>
      </w:r>
      <w:r>
        <w:tab/>
      </w:r>
      <w:r>
        <w:rPr>
          <w:rFonts w:ascii="Times New Roman" w:hAnsi="Times New Roman"/>
          <w:b/>
          <w:sz w:val="22"/>
        </w:rPr>
        <w:t>iii</w:t>
      </w:r>
    </w:p>
    <w:p>
      <w:pPr>
        <w:tabs>
          <w:tab w:pos="8669" w:val="right" w:leader="dot"/>
        </w:tabs>
        <w:spacing w:before="40" w:after="40" w:line="276" w:lineRule="auto"/>
        <w:ind w:left="0" w:firstLine="0"/>
      </w:pPr>
      <w:r>
        <w:rPr>
          <w:rFonts w:ascii="Times New Roman" w:hAnsi="Times New Roman"/>
          <w:b/>
          <w:sz w:val="22"/>
        </w:rPr>
        <w:t>LIST OF FIGURES</w:t>
      </w:r>
      <w:r>
        <w:tab/>
      </w:r>
      <w:r>
        <w:rPr>
          <w:rFonts w:ascii="Times New Roman" w:hAnsi="Times New Roman"/>
          <w:b/>
          <w:sz w:val="22"/>
        </w:rPr>
        <w:t>vi</w:t>
      </w:r>
    </w:p>
    <w:p>
      <w:pPr>
        <w:tabs>
          <w:tab w:pos="8669" w:val="right" w:leader="dot"/>
        </w:tabs>
        <w:spacing w:before="40" w:after="40" w:line="276" w:lineRule="auto"/>
        <w:ind w:left="0" w:firstLine="0"/>
      </w:pPr>
      <w:r>
        <w:rPr>
          <w:rFonts w:ascii="Times New Roman" w:hAnsi="Times New Roman"/>
          <w:b/>
          <w:sz w:val="22"/>
        </w:rPr>
        <w:t>LIST OF TABLES</w:t>
      </w:r>
      <w:r>
        <w:tab/>
      </w:r>
      <w:r>
        <w:rPr>
          <w:rFonts w:ascii="Times New Roman" w:hAnsi="Times New Roman"/>
          <w:b/>
          <w:sz w:val="22"/>
        </w:rPr>
        <w:t>vii</w:t>
      </w:r>
    </w:p>
    <w:p>
      <w:pPr>
        <w:tabs>
          <w:tab w:pos="8669" w:val="right" w:leader="dot"/>
        </w:tabs>
        <w:spacing w:before="40" w:after="40" w:line="276" w:lineRule="auto"/>
        <w:ind w:left="0" w:firstLine="0"/>
      </w:pPr>
      <w:r>
        <w:rPr>
          <w:rFonts w:ascii="Times New Roman" w:hAnsi="Times New Roman"/>
          <w:b/>
          <w:sz w:val="22"/>
        </w:rPr>
        <w:t>1 Introduction</w:t>
      </w:r>
      <w:r>
        <w:tab/>
      </w:r>
      <w:r>
        <w:rPr>
          <w:rFonts w:ascii="Times New Roman" w:hAnsi="Times New Roman"/>
          <w:b/>
          <w:sz w:val="22"/>
        </w:rPr>
        <w:t>1</w:t>
      </w:r>
    </w:p>
    <w:p>
      <w:pPr>
        <w:tabs>
          <w:tab w:pos="8669" w:val="right" w:leader="dot"/>
        </w:tabs>
        <w:spacing w:before="20" w:after="20" w:line="276" w:lineRule="auto"/>
        <w:ind w:left="403" w:firstLine="0"/>
      </w:pPr>
      <w:r>
        <w:rPr>
          <w:rFonts w:ascii="Times New Roman" w:hAnsi="Times New Roman"/>
          <w:b w:val="0"/>
          <w:sz w:val="22"/>
        </w:rPr>
        <w:t>1.1 Introduction</w:t>
      </w:r>
      <w:r>
        <w:tab/>
      </w:r>
      <w:r>
        <w:rPr>
          <w:rFonts w:ascii="Times New Roman" w:hAnsi="Times New Roman"/>
          <w:b w:val="0"/>
          <w:sz w:val="22"/>
        </w:rPr>
        <w:t>1</w:t>
      </w:r>
    </w:p>
    <w:p>
      <w:pPr>
        <w:tabs>
          <w:tab w:pos="8669" w:val="right" w:leader="dot"/>
        </w:tabs>
        <w:spacing w:before="20" w:after="20" w:line="276" w:lineRule="auto"/>
        <w:ind w:left="403" w:firstLine="0"/>
      </w:pPr>
      <w:r>
        <w:rPr>
          <w:rFonts w:ascii="Times New Roman" w:hAnsi="Times New Roman"/>
          <w:b w:val="0"/>
          <w:sz w:val="22"/>
        </w:rPr>
        <w:t>1.2 Problem Statement</w:t>
      </w:r>
      <w:r>
        <w:tab/>
      </w:r>
      <w:r>
        <w:rPr>
          <w:rFonts w:ascii="Times New Roman" w:hAnsi="Times New Roman"/>
          <w:b w:val="0"/>
          <w:sz w:val="22"/>
        </w:rPr>
        <w:t>1</w:t>
      </w:r>
    </w:p>
    <w:p>
      <w:pPr>
        <w:tabs>
          <w:tab w:pos="8669" w:val="right" w:leader="dot"/>
        </w:tabs>
        <w:spacing w:before="20" w:after="20" w:line="276" w:lineRule="auto"/>
        <w:ind w:left="403" w:firstLine="0"/>
      </w:pPr>
      <w:r>
        <w:rPr>
          <w:rFonts w:ascii="Times New Roman" w:hAnsi="Times New Roman"/>
          <w:b w:val="0"/>
          <w:sz w:val="22"/>
        </w:rPr>
        <w:t>1.3 Objectives</w:t>
      </w:r>
      <w:r>
        <w:tab/>
      </w:r>
      <w:r>
        <w:rPr>
          <w:rFonts w:ascii="Times New Roman" w:hAnsi="Times New Roman"/>
          <w:b w:val="0"/>
          <w:sz w:val="22"/>
        </w:rPr>
        <w:t>2</w:t>
      </w:r>
    </w:p>
    <w:p>
      <w:pPr>
        <w:tabs>
          <w:tab w:pos="8669" w:val="right" w:leader="dot"/>
        </w:tabs>
        <w:spacing w:before="20" w:after="20" w:line="276" w:lineRule="auto"/>
        <w:ind w:left="403" w:firstLine="0"/>
      </w:pPr>
      <w:r>
        <w:rPr>
          <w:rFonts w:ascii="Times New Roman" w:hAnsi="Times New Roman"/>
          <w:b w:val="0"/>
          <w:sz w:val="22"/>
        </w:rPr>
        <w:t>1.4 Scope of the Project</w:t>
      </w:r>
      <w:r>
        <w:tab/>
      </w:r>
      <w:r>
        <w:rPr>
          <w:rFonts w:ascii="Times New Roman" w:hAnsi="Times New Roman"/>
          <w:b w:val="0"/>
          <w:sz w:val="22"/>
        </w:rPr>
        <w:t>3</w:t>
      </w:r>
    </w:p>
    <w:p>
      <w:pPr>
        <w:tabs>
          <w:tab w:pos="8669" w:val="right" w:leader="dot"/>
        </w:tabs>
        <w:spacing w:before="40" w:after="40" w:line="276" w:lineRule="auto"/>
        <w:ind w:left="0" w:firstLine="0"/>
      </w:pPr>
      <w:r>
        <w:rPr>
          <w:rFonts w:ascii="Times New Roman" w:hAnsi="Times New Roman"/>
          <w:b/>
          <w:sz w:val="22"/>
        </w:rPr>
        <w:t>2 System Analysis and Design</w:t>
      </w:r>
      <w:r>
        <w:tab/>
      </w:r>
      <w:r>
        <w:rPr>
          <w:rFonts w:ascii="Times New Roman" w:hAnsi="Times New Roman"/>
          <w:b/>
          <w:sz w:val="22"/>
        </w:rPr>
        <w:t>4</w:t>
      </w:r>
    </w:p>
    <w:p>
      <w:pPr>
        <w:tabs>
          <w:tab w:pos="8669" w:val="right" w:leader="dot"/>
        </w:tabs>
        <w:spacing w:before="20" w:after="20" w:line="276" w:lineRule="auto"/>
        <w:ind w:left="403" w:firstLine="0"/>
      </w:pPr>
      <w:r>
        <w:rPr>
          <w:rFonts w:ascii="Times New Roman" w:hAnsi="Times New Roman"/>
          <w:b w:val="0"/>
          <w:sz w:val="22"/>
        </w:rPr>
        <w:t>2.1 Existing System and Its Limitations</w:t>
      </w:r>
      <w:r>
        <w:tab/>
      </w:r>
      <w:r>
        <w:rPr>
          <w:rFonts w:ascii="Times New Roman" w:hAnsi="Times New Roman"/>
          <w:b w:val="0"/>
          <w:sz w:val="22"/>
        </w:rPr>
        <w:t>4</w:t>
      </w:r>
    </w:p>
    <w:p>
      <w:pPr>
        <w:tabs>
          <w:tab w:pos="8669" w:val="right" w:leader="dot"/>
        </w:tabs>
        <w:spacing w:before="20" w:after="20" w:line="276" w:lineRule="auto"/>
        <w:ind w:left="403" w:firstLine="0"/>
      </w:pPr>
      <w:r>
        <w:rPr>
          <w:rFonts w:ascii="Times New Roman" w:hAnsi="Times New Roman"/>
          <w:b w:val="0"/>
          <w:sz w:val="22"/>
        </w:rPr>
        <w:t>2.2 Proposed System</w:t>
      </w:r>
      <w:r>
        <w:tab/>
      </w:r>
      <w:r>
        <w:rPr>
          <w:rFonts w:ascii="Times New Roman" w:hAnsi="Times New Roman"/>
          <w:b w:val="0"/>
          <w:sz w:val="22"/>
        </w:rPr>
        <w:t>4</w:t>
      </w:r>
    </w:p>
    <w:p>
      <w:pPr>
        <w:tabs>
          <w:tab w:pos="8669" w:val="right" w:leader="dot"/>
        </w:tabs>
        <w:spacing w:before="20" w:after="20" w:line="276" w:lineRule="auto"/>
        <w:ind w:left="403" w:firstLine="0"/>
      </w:pPr>
      <w:r>
        <w:rPr>
          <w:rFonts w:ascii="Times New Roman" w:hAnsi="Times New Roman"/>
          <w:b w:val="0"/>
          <w:sz w:val="22"/>
        </w:rPr>
        <w:t>2.3 System Requirements</w:t>
      </w:r>
      <w:r>
        <w:tab/>
      </w:r>
      <w:r>
        <w:rPr>
          <w:rFonts w:ascii="Times New Roman" w:hAnsi="Times New Roman"/>
          <w:b w:val="0"/>
          <w:sz w:val="22"/>
        </w:rPr>
        <w:t>5</w:t>
      </w:r>
    </w:p>
    <w:p>
      <w:pPr>
        <w:tabs>
          <w:tab w:pos="8669" w:val="right" w:leader="dot"/>
        </w:tabs>
        <w:spacing w:before="20" w:after="20" w:line="276" w:lineRule="auto"/>
        <w:ind w:left="403" w:firstLine="0"/>
      </w:pPr>
      <w:r>
        <w:rPr>
          <w:rFonts w:ascii="Times New Roman" w:hAnsi="Times New Roman"/>
          <w:b w:val="0"/>
          <w:sz w:val="22"/>
        </w:rPr>
        <w:t>2.4 System Architecture</w:t>
      </w:r>
      <w:r>
        <w:tab/>
      </w:r>
      <w:r>
        <w:rPr>
          <w:rFonts w:ascii="Times New Roman" w:hAnsi="Times New Roman"/>
          <w:b w:val="0"/>
          <w:sz w:val="22"/>
        </w:rPr>
        <w:t>5</w:t>
      </w:r>
    </w:p>
    <w:p>
      <w:pPr>
        <w:tabs>
          <w:tab w:pos="8669" w:val="right" w:leader="dot"/>
        </w:tabs>
        <w:spacing w:before="20" w:after="20" w:line="276" w:lineRule="auto"/>
        <w:ind w:left="403" w:firstLine="0"/>
      </w:pPr>
      <w:r>
        <w:rPr>
          <w:rFonts w:ascii="Times New Roman" w:hAnsi="Times New Roman"/>
          <w:b w:val="0"/>
          <w:sz w:val="22"/>
        </w:rPr>
        <w:t>2.5 System Workflow</w:t>
      </w:r>
      <w:r>
        <w:tab/>
      </w:r>
      <w:r>
        <w:rPr>
          <w:rFonts w:ascii="Times New Roman" w:hAnsi="Times New Roman"/>
          <w:b w:val="0"/>
          <w:sz w:val="22"/>
        </w:rPr>
        <w:t>6</w:t>
      </w:r>
    </w:p>
    <w:p>
      <w:pPr>
        <w:tabs>
          <w:tab w:pos="8669" w:val="right" w:leader="dot"/>
        </w:tabs>
        <w:spacing w:before="20" w:after="20" w:line="276" w:lineRule="auto"/>
        <w:ind w:left="403" w:firstLine="0"/>
      </w:pPr>
      <w:r>
        <w:rPr>
          <w:rFonts w:ascii="Times New Roman" w:hAnsi="Times New Roman"/>
          <w:b w:val="0"/>
          <w:sz w:val="22"/>
        </w:rPr>
        <w:t>2.6 Dataflow Diagrams</w:t>
      </w:r>
      <w:r>
        <w:tab/>
      </w:r>
      <w:r>
        <w:rPr>
          <w:rFonts w:ascii="Times New Roman" w:hAnsi="Times New Roman"/>
          <w:b w:val="0"/>
          <w:sz w:val="22"/>
        </w:rPr>
        <w:t>8</w:t>
      </w:r>
    </w:p>
    <w:p>
      <w:pPr>
        <w:tabs>
          <w:tab w:pos="8669" w:val="right" w:leader="dot"/>
        </w:tabs>
        <w:spacing w:before="40" w:after="40" w:line="276" w:lineRule="auto"/>
        <w:ind w:left="0" w:firstLine="0"/>
      </w:pPr>
      <w:r>
        <w:rPr>
          <w:rFonts w:ascii="Times New Roman" w:hAnsi="Times New Roman"/>
          <w:b/>
          <w:sz w:val="22"/>
        </w:rPr>
        <w:t>3 Database Design</w:t>
      </w:r>
      <w:r>
        <w:tab/>
      </w:r>
      <w:r>
        <w:rPr>
          <w:rFonts w:ascii="Times New Roman" w:hAnsi="Times New Roman"/>
          <w:b/>
          <w:sz w:val="22"/>
        </w:rPr>
        <w:t>11</w:t>
      </w:r>
    </w:p>
    <w:p>
      <w:pPr>
        <w:tabs>
          <w:tab w:pos="8669" w:val="right" w:leader="dot"/>
        </w:tabs>
        <w:spacing w:before="20" w:after="20" w:line="276" w:lineRule="auto"/>
        <w:ind w:left="403" w:firstLine="0"/>
      </w:pPr>
      <w:r>
        <w:rPr>
          <w:rFonts w:ascii="Times New Roman" w:hAnsi="Times New Roman"/>
          <w:b w:val="0"/>
          <w:sz w:val="22"/>
        </w:rPr>
        <w:t>3.1 Database Overview</w:t>
      </w:r>
      <w:r>
        <w:tab/>
      </w:r>
      <w:r>
        <w:rPr>
          <w:rFonts w:ascii="Times New Roman" w:hAnsi="Times New Roman"/>
          <w:b w:val="0"/>
          <w:sz w:val="22"/>
        </w:rPr>
        <w:t>11</w:t>
      </w:r>
    </w:p>
    <w:p>
      <w:pPr>
        <w:tabs>
          <w:tab w:pos="8669" w:val="right" w:leader="dot"/>
        </w:tabs>
        <w:spacing w:before="20" w:after="20" w:line="276" w:lineRule="auto"/>
        <w:ind w:left="403" w:firstLine="0"/>
      </w:pPr>
      <w:r>
        <w:rPr>
          <w:rFonts w:ascii="Times New Roman" w:hAnsi="Times New Roman"/>
          <w:b w:val="0"/>
          <w:sz w:val="22"/>
        </w:rPr>
        <w:t>3.2 Three-Schema Architecture</w:t>
      </w:r>
      <w:r>
        <w:tab/>
      </w:r>
      <w:r>
        <w:rPr>
          <w:rFonts w:ascii="Times New Roman" w:hAnsi="Times New Roman"/>
          <w:b w:val="0"/>
          <w:sz w:val="22"/>
        </w:rPr>
        <w:t>11</w:t>
      </w:r>
    </w:p>
    <w:p>
      <w:pPr>
        <w:tabs>
          <w:tab w:pos="8669" w:val="right" w:leader="dot"/>
        </w:tabs>
        <w:spacing w:before="20" w:after="20" w:line="276" w:lineRule="auto"/>
        <w:ind w:left="403" w:firstLine="0"/>
      </w:pPr>
      <w:r>
        <w:rPr>
          <w:rFonts w:ascii="Times New Roman" w:hAnsi="Times New Roman"/>
          <w:b w:val="0"/>
          <w:sz w:val="22"/>
        </w:rPr>
        <w:t>3.3 Entity–Relationship (ER) Diagram</w:t>
      </w:r>
      <w:r>
        <w:tab/>
      </w:r>
      <w:r>
        <w:rPr>
          <w:rFonts w:ascii="Times New Roman" w:hAnsi="Times New Roman"/>
          <w:b w:val="0"/>
          <w:sz w:val="22"/>
        </w:rPr>
        <w:t>12</w:t>
      </w:r>
    </w:p>
    <w:p>
      <w:pPr>
        <w:tabs>
          <w:tab w:pos="8669" w:val="right" w:leader="dot"/>
        </w:tabs>
        <w:spacing w:before="20" w:after="20" w:line="276" w:lineRule="auto"/>
        <w:ind w:left="403" w:firstLine="0"/>
      </w:pPr>
      <w:r>
        <w:rPr>
          <w:rFonts w:ascii="Times New Roman" w:hAnsi="Times New Roman"/>
          <w:b w:val="0"/>
          <w:sz w:val="22"/>
        </w:rPr>
        <w:t>3.4 Relational Schema &amp; Normalization Analysis</w:t>
      </w:r>
      <w:r>
        <w:tab/>
      </w:r>
      <w:r>
        <w:rPr>
          <w:rFonts w:ascii="Times New Roman" w:hAnsi="Times New Roman"/>
          <w:b w:val="0"/>
          <w:sz w:val="22"/>
        </w:rPr>
        <w:t>13</w:t>
      </w:r>
    </w:p>
    <w:p>
      <w:pPr>
        <w:tabs>
          <w:tab w:pos="8669" w:val="right" w:leader="dot"/>
        </w:tabs>
        <w:spacing w:before="20" w:after="20" w:line="276" w:lineRule="auto"/>
        <w:ind w:left="403" w:firstLine="0"/>
      </w:pPr>
      <w:r>
        <w:rPr>
          <w:rFonts w:ascii="Times New Roman" w:hAnsi="Times New Roman"/>
          <w:b w:val="0"/>
          <w:sz w:val="22"/>
        </w:rPr>
        <w:t>3.5 Database Tables and Attributes</w:t>
      </w:r>
      <w:r>
        <w:tab/>
      </w:r>
      <w:r>
        <w:rPr>
          <w:rFonts w:ascii="Times New Roman" w:hAnsi="Times New Roman"/>
          <w:b w:val="0"/>
          <w:sz w:val="22"/>
        </w:rPr>
        <w:t>16</w:t>
      </w:r>
    </w:p>
    <w:p>
      <w:pPr>
        <w:tabs>
          <w:tab w:pos="8669" w:val="right" w:leader="dot"/>
        </w:tabs>
        <w:spacing w:before="20" w:after="20" w:line="276" w:lineRule="auto"/>
        <w:ind w:left="403" w:firstLine="0"/>
      </w:pPr>
      <w:r>
        <w:rPr>
          <w:rFonts w:ascii="Times New Roman" w:hAnsi="Times New Roman"/>
          <w:b w:val="0"/>
          <w:sz w:val="22"/>
        </w:rPr>
        <w:t>3.6 Primary Keys, Foreign Keys and Constraints</w:t>
      </w:r>
      <w:r>
        <w:tab/>
      </w:r>
      <w:r>
        <w:rPr>
          <w:rFonts w:ascii="Times New Roman" w:hAnsi="Times New Roman"/>
          <w:b w:val="0"/>
          <w:sz w:val="22"/>
        </w:rPr>
        <w:t>18</w:t>
      </w:r>
    </w:p>
    <w:p>
      <w:pPr>
        <w:tabs>
          <w:tab w:pos="8669" w:val="right" w:leader="dot"/>
        </w:tabs>
        <w:spacing w:before="40" w:after="40" w:line="276" w:lineRule="auto"/>
        <w:ind w:left="0" w:firstLine="0"/>
      </w:pPr>
      <w:r>
        <w:rPr>
          <w:rFonts w:ascii="Times New Roman" w:hAnsi="Times New Roman"/>
          <w:b/>
          <w:sz w:val="22"/>
        </w:rPr>
        <w:t>4 Implementation</w:t>
      </w:r>
      <w:r>
        <w:tab/>
      </w:r>
      <w:r>
        <w:rPr>
          <w:rFonts w:ascii="Times New Roman" w:hAnsi="Times New Roman"/>
          <w:b/>
          <w:sz w:val="22"/>
        </w:rPr>
        <w:t>19</w:t>
      </w:r>
    </w:p>
    <w:p>
      <w:pPr>
        <w:tabs>
          <w:tab w:pos="8669" w:val="right" w:leader="dot"/>
        </w:tabs>
        <w:spacing w:before="20" w:after="20" w:line="276" w:lineRule="auto"/>
        <w:ind w:left="403" w:firstLine="0"/>
      </w:pPr>
      <w:r>
        <w:rPr>
          <w:rFonts w:ascii="Times New Roman" w:hAnsi="Times New Roman"/>
          <w:b w:val="0"/>
          <w:sz w:val="22"/>
        </w:rPr>
        <w:t>4.1 Technologies Used</w:t>
      </w:r>
      <w:r>
        <w:tab/>
      </w:r>
      <w:r>
        <w:rPr>
          <w:rFonts w:ascii="Times New Roman" w:hAnsi="Times New Roman"/>
          <w:b w:val="0"/>
          <w:sz w:val="22"/>
        </w:rPr>
        <w:t>19</w:t>
      </w:r>
    </w:p>
    <w:p>
      <w:pPr>
        <w:tabs>
          <w:tab w:pos="8669" w:val="right" w:leader="dot"/>
        </w:tabs>
        <w:spacing w:before="20" w:after="20" w:line="276" w:lineRule="auto"/>
        <w:ind w:left="403" w:firstLine="0"/>
      </w:pPr>
      <w:r>
        <w:rPr>
          <w:rFonts w:ascii="Times New Roman" w:hAnsi="Times New Roman"/>
          <w:b w:val="0"/>
          <w:sz w:val="22"/>
        </w:rPr>
        <w:t>4.2 Module Description</w:t>
      </w:r>
      <w:r>
        <w:tab/>
      </w:r>
      <w:r>
        <w:rPr>
          <w:rFonts w:ascii="Times New Roman" w:hAnsi="Times New Roman"/>
          <w:b w:val="0"/>
          <w:sz w:val="22"/>
        </w:rPr>
        <w:t>19</w:t>
      </w:r>
    </w:p>
    <w:p>
      <w:pPr>
        <w:tabs>
          <w:tab w:pos="8669" w:val="right" w:leader="dot"/>
        </w:tabs>
        <w:spacing w:before="20" w:after="20" w:line="276" w:lineRule="auto"/>
        <w:ind w:left="403" w:firstLine="0"/>
      </w:pPr>
      <w:r>
        <w:rPr>
          <w:rFonts w:ascii="Times New Roman" w:hAnsi="Times New Roman"/>
          <w:b w:val="0"/>
          <w:sz w:val="22"/>
        </w:rPr>
        <w:t>4.3 Database Implementation</w:t>
      </w:r>
      <w:r>
        <w:tab/>
      </w:r>
      <w:r>
        <w:rPr>
          <w:rFonts w:ascii="Times New Roman" w:hAnsi="Times New Roman"/>
          <w:b w:val="0"/>
          <w:sz w:val="22"/>
        </w:rPr>
        <w:t>20</w:t>
      </w:r>
    </w:p>
    <w:p>
      <w:pPr>
        <w:tabs>
          <w:tab w:pos="8669" w:val="right" w:leader="dot"/>
        </w:tabs>
        <w:spacing w:before="20" w:after="20" w:line="276" w:lineRule="auto"/>
        <w:ind w:left="403" w:firstLine="0"/>
      </w:pPr>
      <w:r>
        <w:rPr>
          <w:rFonts w:ascii="Times New Roman" w:hAnsi="Times New Roman"/>
          <w:b w:val="0"/>
          <w:sz w:val="22"/>
        </w:rPr>
        <w:t>4.4 SQL Queries, Operations, and Scalability Evidence</w:t>
      </w:r>
      <w:r>
        <w:tab/>
      </w:r>
      <w:r>
        <w:rPr>
          <w:rFonts w:ascii="Times New Roman" w:hAnsi="Times New Roman"/>
          <w:b w:val="0"/>
          <w:sz w:val="22"/>
        </w:rPr>
        <w:t>21</w:t>
      </w:r>
    </w:p>
    <w:p>
      <w:pPr>
        <w:tabs>
          <w:tab w:pos="8669" w:val="right" w:leader="dot"/>
        </w:tabs>
        <w:spacing w:before="20" w:after="20" w:line="276" w:lineRule="auto"/>
        <w:ind w:left="403" w:firstLine="0"/>
      </w:pPr>
      <w:r>
        <w:rPr>
          <w:rFonts w:ascii="Times New Roman" w:hAnsi="Times New Roman"/>
          <w:b w:val="0"/>
          <w:sz w:val="22"/>
        </w:rPr>
        <w:t>4.5 Application Implementation</w:t>
      </w:r>
      <w:r>
        <w:tab/>
      </w:r>
      <w:r>
        <w:rPr>
          <w:rFonts w:ascii="Times New Roman" w:hAnsi="Times New Roman"/>
          <w:b w:val="0"/>
          <w:sz w:val="22"/>
        </w:rPr>
        <w:t>22</w:t>
      </w:r>
    </w:p>
    <w:p>
      <w:pPr>
        <w:tabs>
          <w:tab w:pos="8669" w:val="right" w:leader="dot"/>
        </w:tabs>
        <w:spacing w:before="20" w:after="20" w:line="276" w:lineRule="auto"/>
        <w:ind w:left="403" w:firstLine="0"/>
      </w:pPr>
      <w:r>
        <w:rPr>
          <w:rFonts w:ascii="Times New Roman" w:hAnsi="Times New Roman"/>
          <w:b w:val="0"/>
          <w:sz w:val="22"/>
        </w:rPr>
        <w:t>4.6 Database Connectivity</w:t>
      </w:r>
      <w:r>
        <w:tab/>
      </w:r>
      <w:r>
        <w:rPr>
          <w:rFonts w:ascii="Times New Roman" w:hAnsi="Times New Roman"/>
          <w:b w:val="0"/>
          <w:sz w:val="22"/>
        </w:rPr>
        <w:t>23</w:t>
      </w:r>
    </w:p>
    <w:p>
      <w:pPr>
        <w:tabs>
          <w:tab w:pos="8669" w:val="right" w:leader="dot"/>
        </w:tabs>
        <w:spacing w:before="20" w:after="20" w:line="276" w:lineRule="auto"/>
        <w:ind w:left="403" w:firstLine="0"/>
      </w:pPr>
      <w:r>
        <w:rPr>
          <w:rFonts w:ascii="Times New Roman" w:hAnsi="Times New Roman"/>
          <w:b w:val="0"/>
          <w:sz w:val="22"/>
        </w:rPr>
        <w:t>4.7 Challenges Faced During the Project</w:t>
      </w:r>
      <w:r>
        <w:tab/>
      </w:r>
      <w:r>
        <w:rPr>
          <w:rFonts w:ascii="Times New Roman" w:hAnsi="Times New Roman"/>
          <w:b w:val="0"/>
          <w:sz w:val="22"/>
        </w:rPr>
        <w:t>23</w:t>
      </w:r>
    </w:p>
    <w:p>
      <w:pPr>
        <w:tabs>
          <w:tab w:pos="8669" w:val="right" w:leader="dot"/>
        </w:tabs>
        <w:spacing w:before="40" w:after="40" w:line="276" w:lineRule="auto"/>
        <w:ind w:left="0" w:firstLine="0"/>
      </w:pPr>
      <w:r>
        <w:rPr>
          <w:rFonts w:ascii="Times New Roman" w:hAnsi="Times New Roman"/>
          <w:b/>
          <w:sz w:val="22"/>
        </w:rPr>
        <w:t>5 Testing and Results</w:t>
      </w:r>
      <w:r>
        <w:tab/>
      </w:r>
      <w:r>
        <w:rPr>
          <w:rFonts w:ascii="Times New Roman" w:hAnsi="Times New Roman"/>
          <w:b/>
          <w:sz w:val="22"/>
        </w:rPr>
        <w:t>24</w:t>
      </w:r>
    </w:p>
    <w:p>
      <w:pPr>
        <w:tabs>
          <w:tab w:pos="8669" w:val="right" w:leader="dot"/>
        </w:tabs>
        <w:spacing w:before="20" w:after="20" w:line="276" w:lineRule="auto"/>
        <w:ind w:left="403" w:firstLine="0"/>
      </w:pPr>
      <w:r>
        <w:rPr>
          <w:rFonts w:ascii="Times New Roman" w:hAnsi="Times New Roman"/>
          <w:b w:val="0"/>
          <w:sz w:val="22"/>
        </w:rPr>
        <w:t>5.1 Testing Methodology</w:t>
      </w:r>
      <w:r>
        <w:tab/>
      </w:r>
      <w:r>
        <w:rPr>
          <w:rFonts w:ascii="Times New Roman" w:hAnsi="Times New Roman"/>
          <w:b w:val="0"/>
          <w:sz w:val="22"/>
        </w:rPr>
        <w:t>24</w:t>
      </w:r>
    </w:p>
    <w:p>
      <w:pPr>
        <w:tabs>
          <w:tab w:pos="8669" w:val="right" w:leader="dot"/>
        </w:tabs>
        <w:spacing w:before="20" w:after="20" w:line="276" w:lineRule="auto"/>
        <w:ind w:left="403" w:firstLine="0"/>
      </w:pPr>
      <w:r>
        <w:rPr>
          <w:rFonts w:ascii="Times New Roman" w:hAnsi="Times New Roman"/>
          <w:b w:val="0"/>
          <w:sz w:val="22"/>
        </w:rPr>
        <w:t>5.2 Test Cases and Results</w:t>
      </w:r>
      <w:r>
        <w:tab/>
      </w:r>
      <w:r>
        <w:rPr>
          <w:rFonts w:ascii="Times New Roman" w:hAnsi="Times New Roman"/>
          <w:b w:val="0"/>
          <w:sz w:val="22"/>
        </w:rPr>
        <w:t>24</w:t>
      </w:r>
    </w:p>
    <w:p>
      <w:pPr>
        <w:tabs>
          <w:tab w:pos="8669" w:val="right" w:leader="dot"/>
        </w:tabs>
        <w:spacing w:before="20" w:after="20" w:line="276" w:lineRule="auto"/>
        <w:ind w:left="403" w:firstLine="0"/>
      </w:pPr>
      <w:r>
        <w:rPr>
          <w:rFonts w:ascii="Times New Roman" w:hAnsi="Times New Roman"/>
          <w:b w:val="0"/>
          <w:sz w:val="22"/>
        </w:rPr>
        <w:t>5.3 Application Screenshots</w:t>
      </w:r>
      <w:r>
        <w:tab/>
      </w:r>
      <w:r>
        <w:rPr>
          <w:rFonts w:ascii="Times New Roman" w:hAnsi="Times New Roman"/>
          <w:b w:val="0"/>
          <w:sz w:val="22"/>
        </w:rPr>
        <w:t>24</w:t>
      </w:r>
    </w:p>
    <w:p>
      <w:pPr>
        <w:tabs>
          <w:tab w:pos="8669" w:val="right" w:leader="dot"/>
        </w:tabs>
        <w:spacing w:before="20" w:after="20" w:line="276" w:lineRule="auto"/>
        <w:ind w:left="403" w:firstLine="0"/>
      </w:pPr>
      <w:r>
        <w:rPr>
          <w:rFonts w:ascii="Times New Roman" w:hAnsi="Times New Roman"/>
          <w:b w:val="0"/>
          <w:sz w:val="22"/>
        </w:rPr>
        <w:t>5.4 Results and Discussion</w:t>
      </w:r>
      <w:r>
        <w:tab/>
      </w:r>
      <w:r>
        <w:rPr>
          <w:rFonts w:ascii="Times New Roman" w:hAnsi="Times New Roman"/>
          <w:b w:val="0"/>
          <w:sz w:val="22"/>
        </w:rPr>
        <w:t>27</w:t>
      </w:r>
    </w:p>
    <w:p>
      <w:pPr>
        <w:tabs>
          <w:tab w:pos="8669" w:val="right" w:leader="dot"/>
        </w:tabs>
        <w:spacing w:before="40" w:after="40" w:line="276" w:lineRule="auto"/>
        <w:ind w:left="0" w:firstLine="0"/>
      </w:pPr>
      <w:r>
        <w:rPr>
          <w:rFonts w:ascii="Times New Roman" w:hAnsi="Times New Roman"/>
          <w:b/>
          <w:sz w:val="22"/>
        </w:rPr>
        <w:t>6 Conclusion</w:t>
      </w:r>
      <w:r>
        <w:tab/>
      </w:r>
      <w:r>
        <w:rPr>
          <w:rFonts w:ascii="Times New Roman" w:hAnsi="Times New Roman"/>
          <w:b/>
          <w:sz w:val="22"/>
        </w:rPr>
        <w:t>29</w:t>
      </w:r>
    </w:p>
    <w:p>
      <w:pPr>
        <w:tabs>
          <w:tab w:pos="8669" w:val="right" w:leader="dot"/>
        </w:tabs>
        <w:spacing w:before="20" w:after="20" w:line="276" w:lineRule="auto"/>
        <w:ind w:left="403" w:firstLine="0"/>
      </w:pPr>
      <w:r>
        <w:rPr>
          <w:rFonts w:ascii="Times New Roman" w:hAnsi="Times New Roman"/>
          <w:b w:val="0"/>
          <w:sz w:val="22"/>
        </w:rPr>
        <w:t>6.1 Conclusion</w:t>
      </w:r>
      <w:r>
        <w:tab/>
      </w:r>
      <w:r>
        <w:rPr>
          <w:rFonts w:ascii="Times New Roman" w:hAnsi="Times New Roman"/>
          <w:b w:val="0"/>
          <w:sz w:val="22"/>
        </w:rPr>
        <w:t>29</w:t>
      </w:r>
    </w:p>
    <w:p>
      <w:pPr>
        <w:tabs>
          <w:tab w:pos="8669" w:val="right" w:leader="dot"/>
        </w:tabs>
        <w:spacing w:before="20" w:after="20" w:line="276" w:lineRule="auto"/>
        <w:ind w:left="403" w:firstLine="0"/>
      </w:pPr>
      <w:r>
        <w:rPr>
          <w:rFonts w:ascii="Times New Roman" w:hAnsi="Times New Roman"/>
          <w:b w:val="0"/>
          <w:sz w:val="22"/>
        </w:rPr>
        <w:t>6.2 Limitations</w:t>
      </w:r>
      <w:r>
        <w:tab/>
      </w:r>
      <w:r>
        <w:rPr>
          <w:rFonts w:ascii="Times New Roman" w:hAnsi="Times New Roman"/>
          <w:b w:val="0"/>
          <w:sz w:val="22"/>
        </w:rPr>
        <w:t>29</w:t>
      </w:r>
    </w:p>
    <w:p>
      <w:pPr>
        <w:tabs>
          <w:tab w:pos="8669" w:val="right" w:leader="dot"/>
        </w:tabs>
        <w:spacing w:before="20" w:after="20" w:line="276" w:lineRule="auto"/>
        <w:ind w:left="403" w:firstLine="0"/>
      </w:pPr>
      <w:r>
        <w:rPr>
          <w:rFonts w:ascii="Times New Roman" w:hAnsi="Times New Roman"/>
          <w:b w:val="0"/>
          <w:sz w:val="22"/>
        </w:rPr>
        <w:t>6.3 Future Enhancements</w:t>
      </w:r>
      <w:r>
        <w:tab/>
      </w:r>
      <w:r>
        <w:rPr>
          <w:rFonts w:ascii="Times New Roman" w:hAnsi="Times New Roman"/>
          <w:b w:val="0"/>
          <w:sz w:val="22"/>
        </w:rPr>
        <w:t>29</w:t>
      </w:r>
    </w:p>
    <w:p>
      <w:pPr>
        <w:tabs>
          <w:tab w:pos="8669" w:val="right" w:leader="dot"/>
        </w:tabs>
        <w:spacing w:before="40" w:after="40" w:line="276" w:lineRule="auto"/>
        <w:ind w:left="0" w:firstLine="0"/>
      </w:pPr>
      <w:r>
        <w:rPr>
          <w:rFonts w:ascii="Times New Roman" w:hAnsi="Times New Roman"/>
          <w:b/>
          <w:sz w:val="22"/>
        </w:rPr>
        <w:t>BIBLIOGRAPHY</w:t>
      </w:r>
      <w:r>
        <w:tab/>
      </w:r>
      <w:r>
        <w:rPr>
          <w:rFonts w:ascii="Times New Roman" w:hAnsi="Times New Roman"/>
          <w:b/>
          <w:sz w:val="22"/>
        </w:rPr>
        <w:t>31</w:t>
      </w:r>
    </w:p>
    <w:p>
      <w:pPr>
        <w:pageBreakBefore/>
        <w:spacing w:before="240" w:after="320"/>
        <w:jc w:val="center"/>
      </w:pPr>
      <w:r>
        <w:rPr>
          <w:rFonts w:ascii="Times New Roman" w:hAnsi="Times New Roman"/>
          <w:b/>
          <w:sz w:val="32"/>
        </w:rPr>
        <w:t>LIST OF FIGURES</w:t>
      </w:r>
    </w:p>
    <w:p>
      <w:pPr>
        <w:tabs>
          <w:tab w:pos="8669" w:val="right" w:leader="dot"/>
        </w:tabs>
        <w:spacing w:before="40" w:after="40" w:line="276" w:lineRule="auto"/>
        <w:ind w:left="0" w:firstLine="0"/>
      </w:pPr>
      <w:r>
        <w:rPr>
          <w:rFonts w:ascii="Times New Roman" w:hAnsi="Times New Roman"/>
          <w:b w:val="0"/>
          <w:sz w:val="22"/>
        </w:rPr>
        <w:t>Figure 2.1 — Starbase three-tier system architecture and offline ingestion pipeline</w:t>
      </w:r>
      <w:r>
        <w:tab/>
      </w:r>
      <w:r>
        <w:rPr>
          <w:rFonts w:ascii="Times New Roman" w:hAnsi="Times New Roman"/>
          <w:b w:val="0"/>
          <w:sz w:val="22"/>
        </w:rPr>
        <w:t>6</w:t>
      </w:r>
    </w:p>
    <w:p>
      <w:pPr>
        <w:tabs>
          <w:tab w:pos="8669" w:val="right" w:leader="dot"/>
        </w:tabs>
        <w:spacing w:before="40" w:after="40" w:line="276" w:lineRule="auto"/>
        <w:ind w:left="0" w:firstLine="0"/>
      </w:pPr>
      <w:r>
        <w:rPr>
          <w:rFonts w:ascii="Times New Roman" w:hAnsi="Times New Roman"/>
          <w:b w:val="0"/>
          <w:sz w:val="22"/>
        </w:rPr>
        <w:t>Figure 2.2 — Multi-criteria screening and weighted priority ranking algorithm flowchart</w:t>
      </w:r>
      <w:r>
        <w:tab/>
      </w:r>
      <w:r>
        <w:rPr>
          <w:rFonts w:ascii="Times New Roman" w:hAnsi="Times New Roman"/>
          <w:b w:val="0"/>
          <w:sz w:val="22"/>
        </w:rPr>
        <w:t>8</w:t>
      </w:r>
    </w:p>
    <w:p>
      <w:pPr>
        <w:tabs>
          <w:tab w:pos="8669" w:val="right" w:leader="dot"/>
        </w:tabs>
        <w:spacing w:before="40" w:after="40" w:line="276" w:lineRule="auto"/>
        <w:ind w:left="0" w:firstLine="0"/>
      </w:pPr>
      <w:r>
        <w:rPr>
          <w:rFonts w:ascii="Times New Roman" w:hAnsi="Times New Roman"/>
          <w:b w:val="0"/>
          <w:sz w:val="22"/>
        </w:rPr>
        <w:t>Figure 2.3 — Level 0 Data Flow Diagram (Context Analysis)</w:t>
      </w:r>
      <w:r>
        <w:tab/>
      </w:r>
      <w:r>
        <w:rPr>
          <w:rFonts w:ascii="Times New Roman" w:hAnsi="Times New Roman"/>
          <w:b w:val="0"/>
          <w:sz w:val="22"/>
        </w:rPr>
        <w:t>9</w:t>
      </w:r>
    </w:p>
    <w:p>
      <w:pPr>
        <w:tabs>
          <w:tab w:pos="8669" w:val="right" w:leader="dot"/>
        </w:tabs>
        <w:spacing w:before="40" w:after="40" w:line="276" w:lineRule="auto"/>
        <w:ind w:left="0" w:firstLine="0"/>
      </w:pPr>
      <w:r>
        <w:rPr>
          <w:rFonts w:ascii="Times New Roman" w:hAnsi="Times New Roman"/>
          <w:b w:val="0"/>
          <w:sz w:val="22"/>
        </w:rPr>
        <w:t>Figure 2.4 — Level 1 Data Flow Diagram (Decomposed Functional Modules)</w:t>
      </w:r>
      <w:r>
        <w:tab/>
      </w:r>
      <w:r>
        <w:rPr>
          <w:rFonts w:ascii="Times New Roman" w:hAnsi="Times New Roman"/>
          <w:b w:val="0"/>
          <w:sz w:val="22"/>
        </w:rPr>
        <w:t>10</w:t>
      </w:r>
    </w:p>
    <w:p>
      <w:pPr>
        <w:tabs>
          <w:tab w:pos="8669" w:val="right" w:leader="dot"/>
        </w:tabs>
        <w:spacing w:before="40" w:after="40" w:line="276" w:lineRule="auto"/>
        <w:ind w:left="0" w:firstLine="0"/>
      </w:pPr>
      <w:r>
        <w:rPr>
          <w:rFonts w:ascii="Times New Roman" w:hAnsi="Times New Roman"/>
          <w:b w:val="0"/>
          <w:sz w:val="22"/>
        </w:rPr>
        <w:t>Figure 3.1 — Conceptual and logical Entity–Relationship (ER) diagram for Starbase material catalog and workspace</w:t>
      </w:r>
      <w:r>
        <w:tab/>
      </w:r>
      <w:r>
        <w:rPr>
          <w:rFonts w:ascii="Times New Roman" w:hAnsi="Times New Roman"/>
          <w:b w:val="0"/>
          <w:sz w:val="22"/>
        </w:rPr>
        <w:t>12</w:t>
      </w:r>
    </w:p>
    <w:p>
      <w:pPr>
        <w:tabs>
          <w:tab w:pos="8669" w:val="right" w:leader="dot"/>
        </w:tabs>
        <w:spacing w:before="40" w:after="40" w:line="276" w:lineRule="auto"/>
        <w:ind w:left="0" w:firstLine="0"/>
      </w:pPr>
      <w:r>
        <w:rPr>
          <w:rFonts w:ascii="Times New Roman" w:hAnsi="Times New Roman"/>
          <w:b w:val="0"/>
          <w:sz w:val="22"/>
        </w:rPr>
        <w:t>Figure 3.2 — Relational schema dependency and foreign key map across the core database tables</w:t>
      </w:r>
      <w:r>
        <w:tab/>
      </w:r>
      <w:r>
        <w:rPr>
          <w:rFonts w:ascii="Times New Roman" w:hAnsi="Times New Roman"/>
          <w:b w:val="0"/>
          <w:sz w:val="22"/>
        </w:rPr>
        <w:t>14</w:t>
      </w:r>
    </w:p>
    <w:p>
      <w:pPr>
        <w:tabs>
          <w:tab w:pos="8669" w:val="right" w:leader="dot"/>
        </w:tabs>
        <w:spacing w:before="40" w:after="40" w:line="276" w:lineRule="auto"/>
        <w:ind w:left="0" w:firstLine="0"/>
      </w:pPr>
      <w:r>
        <w:rPr>
          <w:rFonts w:ascii="Times New Roman" w:hAnsi="Times New Roman"/>
          <w:b w:val="0"/>
          <w:sz w:val="22"/>
        </w:rPr>
        <w:t>Figure 4.1 — Transactional batch ETL pipeline and ingestion architecture across 14 material repositories</w:t>
      </w:r>
      <w:r>
        <w:tab/>
      </w:r>
      <w:r>
        <w:rPr>
          <w:rFonts w:ascii="Times New Roman" w:hAnsi="Times New Roman"/>
          <w:b w:val="0"/>
          <w:sz w:val="22"/>
        </w:rPr>
        <w:t>21</w:t>
      </w:r>
    </w:p>
    <w:p>
      <w:pPr>
        <w:tabs>
          <w:tab w:pos="8669" w:val="right" w:leader="dot"/>
        </w:tabs>
        <w:spacing w:before="40" w:after="40" w:line="276" w:lineRule="auto"/>
        <w:ind w:left="0" w:firstLine="0"/>
      </w:pPr>
      <w:r>
        <w:rPr>
          <w:rFonts w:ascii="Times New Roman" w:hAnsi="Times New Roman"/>
          <w:b w:val="0"/>
          <w:sz w:val="22"/>
        </w:rPr>
        <w:t>Figure 5.1 — Starbase Desktop Landing and Overview Interface</w:t>
      </w:r>
      <w:r>
        <w:tab/>
      </w:r>
      <w:r>
        <w:rPr>
          <w:rFonts w:ascii="Times New Roman" w:hAnsi="Times New Roman"/>
          <w:b w:val="0"/>
          <w:sz w:val="22"/>
        </w:rPr>
        <w:t>25</w:t>
      </w:r>
    </w:p>
    <w:p>
      <w:pPr>
        <w:tabs>
          <w:tab w:pos="8669" w:val="right" w:leader="dot"/>
        </w:tabs>
        <w:spacing w:before="40" w:after="40" w:line="276" w:lineRule="auto"/>
        <w:ind w:left="0" w:firstLine="0"/>
      </w:pPr>
      <w:r>
        <w:rPr>
          <w:rFonts w:ascii="Times New Roman" w:hAnsi="Times New Roman"/>
          <w:b w:val="0"/>
          <w:sz w:val="22"/>
        </w:rPr>
        <w:t>Figure 5.2 — Responsive Mobile Material Exploration Interface</w:t>
      </w:r>
      <w:r>
        <w:tab/>
      </w:r>
      <w:r>
        <w:rPr>
          <w:rFonts w:ascii="Times New Roman" w:hAnsi="Times New Roman"/>
          <w:b w:val="0"/>
          <w:sz w:val="22"/>
        </w:rPr>
        <w:t>26</w:t>
      </w:r>
    </w:p>
    <w:p>
      <w:pPr>
        <w:tabs>
          <w:tab w:pos="8669" w:val="right" w:leader="dot"/>
        </w:tabs>
        <w:spacing w:before="40" w:after="40" w:line="276" w:lineRule="auto"/>
        <w:ind w:left="0" w:firstLine="0"/>
      </w:pPr>
      <w:r>
        <w:rPr>
          <w:rFonts w:ascii="Times New Roman" w:hAnsi="Times New Roman"/>
          <w:b w:val="0"/>
          <w:sz w:val="22"/>
        </w:rPr>
        <w:t>Figure 5.3 — Material Library with Property-Value Sorting and Provenance Tracking</w:t>
      </w:r>
      <w:r>
        <w:tab/>
      </w:r>
      <w:r>
        <w:rPr>
          <w:rFonts w:ascii="Times New Roman" w:hAnsi="Times New Roman"/>
          <w:b w:val="0"/>
          <w:sz w:val="22"/>
        </w:rPr>
        <w:t>27</w:t>
      </w:r>
    </w:p>
    <w:p>
      <w:pPr>
        <w:tabs>
          <w:tab w:pos="8669" w:val="right" w:leader="dot"/>
        </w:tabs>
        <w:spacing w:before="40" w:after="40" w:line="276" w:lineRule="auto"/>
        <w:ind w:left="0" w:firstLine="0"/>
      </w:pPr>
      <w:r>
        <w:rPr>
          <w:rFonts w:ascii="Times New Roman" w:hAnsi="Times New Roman"/>
          <w:b w:val="0"/>
          <w:sz w:val="22"/>
        </w:rPr>
        <w:t>Figure 5.4 — Multi-Attribute Selection Studio with Ranked Candidate Recommendations</w:t>
      </w:r>
      <w:r>
        <w:tab/>
      </w:r>
      <w:r>
        <w:rPr>
          <w:rFonts w:ascii="Times New Roman" w:hAnsi="Times New Roman"/>
          <w:b w:val="0"/>
          <w:sz w:val="22"/>
        </w:rPr>
        <w:t>27</w:t>
      </w:r>
    </w:p>
    <w:p>
      <w:pPr>
        <w:pageBreakBefore/>
        <w:spacing w:before="240" w:after="320"/>
        <w:jc w:val="center"/>
      </w:pPr>
      <w:r>
        <w:rPr>
          <w:rFonts w:ascii="Times New Roman" w:hAnsi="Times New Roman"/>
          <w:b/>
          <w:sz w:val="32"/>
        </w:rPr>
        <w:t>LIST OF TABLES</w:t>
      </w:r>
    </w:p>
    <w:p>
      <w:pPr>
        <w:tabs>
          <w:tab w:pos="8669" w:val="right" w:leader="dot"/>
        </w:tabs>
        <w:spacing w:before="40" w:after="40" w:line="276" w:lineRule="auto"/>
        <w:ind w:left="0" w:firstLine="0"/>
      </w:pPr>
      <w:r>
        <w:rPr>
          <w:rFonts w:ascii="Times New Roman" w:hAnsi="Times New Roman"/>
          <w:b w:val="0"/>
          <w:sz w:val="22"/>
        </w:rPr>
        <w:t>Table 2.1 — System Requirements Specifications</w:t>
      </w:r>
      <w:r>
        <w:tab/>
      </w:r>
      <w:r>
        <w:rPr>
          <w:rFonts w:ascii="Times New Roman" w:hAnsi="Times New Roman"/>
          <w:b w:val="0"/>
          <w:sz w:val="22"/>
        </w:rPr>
        <w:t>5</w:t>
      </w:r>
    </w:p>
    <w:p>
      <w:pPr>
        <w:tabs>
          <w:tab w:pos="8669" w:val="right" w:leader="dot"/>
        </w:tabs>
        <w:spacing w:before="40" w:after="40" w:line="276" w:lineRule="auto"/>
        <w:ind w:left="0" w:firstLine="0"/>
      </w:pPr>
      <w:r>
        <w:rPr>
          <w:rFonts w:ascii="Times New Roman" w:hAnsi="Times New Roman"/>
          <w:b w:val="0"/>
          <w:sz w:val="22"/>
        </w:rPr>
        <w:t>Table 2.2 — DFD Process Specifications and Data Store Interactions</w:t>
      </w:r>
      <w:r>
        <w:tab/>
      </w:r>
      <w:r>
        <w:rPr>
          <w:rFonts w:ascii="Times New Roman" w:hAnsi="Times New Roman"/>
          <w:b w:val="0"/>
          <w:sz w:val="22"/>
        </w:rPr>
        <w:t>8</w:t>
      </w:r>
    </w:p>
    <w:p>
      <w:pPr>
        <w:tabs>
          <w:tab w:pos="8669" w:val="right" w:leader="dot"/>
        </w:tabs>
        <w:spacing w:before="40" w:after="40" w:line="276" w:lineRule="auto"/>
        <w:ind w:left="0" w:firstLine="0"/>
      </w:pPr>
      <w:r>
        <w:rPr>
          <w:rFonts w:ascii="Times New Roman" w:hAnsi="Times New Roman"/>
          <w:b w:val="0"/>
          <w:sz w:val="22"/>
        </w:rPr>
        <w:t>Table 3.1 — Database Schema Architecture and Entity Groupings</w:t>
      </w:r>
      <w:r>
        <w:tab/>
      </w:r>
      <w:r>
        <w:rPr>
          <w:rFonts w:ascii="Times New Roman" w:hAnsi="Times New Roman"/>
          <w:b w:val="0"/>
          <w:sz w:val="22"/>
        </w:rPr>
        <w:t>11</w:t>
      </w:r>
    </w:p>
    <w:p>
      <w:pPr>
        <w:tabs>
          <w:tab w:pos="8669" w:val="right" w:leader="dot"/>
        </w:tabs>
        <w:spacing w:before="40" w:after="40" w:line="276" w:lineRule="auto"/>
        <w:ind w:left="0" w:firstLine="0"/>
      </w:pPr>
      <w:r>
        <w:rPr>
          <w:rFonts w:ascii="Times New Roman" w:hAnsi="Times New Roman"/>
          <w:b w:val="0"/>
          <w:sz w:val="22"/>
        </w:rPr>
        <w:t>Table 3.2 — Three-Schema Architecture Implementation in Starbase</w:t>
      </w:r>
      <w:r>
        <w:tab/>
      </w:r>
      <w:r>
        <w:rPr>
          <w:rFonts w:ascii="Times New Roman" w:hAnsi="Times New Roman"/>
          <w:b w:val="0"/>
          <w:sz w:val="22"/>
        </w:rPr>
        <w:t>11</w:t>
      </w:r>
    </w:p>
    <w:p>
      <w:pPr>
        <w:tabs>
          <w:tab w:pos="8669" w:val="right" w:leader="dot"/>
        </w:tabs>
        <w:spacing w:before="40" w:after="40" w:line="276" w:lineRule="auto"/>
        <w:ind w:left="0" w:firstLine="0"/>
      </w:pPr>
      <w:r>
        <w:rPr>
          <w:rFonts w:ascii="Times New Roman" w:hAnsi="Times New Roman"/>
          <w:b w:val="0"/>
          <w:sz w:val="22"/>
        </w:rPr>
        <w:t>Table 3.3 — Entity Cardinality and Relationship Constraints</w:t>
      </w:r>
      <w:r>
        <w:tab/>
      </w:r>
      <w:r>
        <w:rPr>
          <w:rFonts w:ascii="Times New Roman" w:hAnsi="Times New Roman"/>
          <w:b w:val="0"/>
          <w:sz w:val="22"/>
        </w:rPr>
        <w:t>13</w:t>
      </w:r>
    </w:p>
    <w:p>
      <w:pPr>
        <w:tabs>
          <w:tab w:pos="8669" w:val="right" w:leader="dot"/>
        </w:tabs>
        <w:spacing w:before="40" w:after="40" w:line="276" w:lineRule="auto"/>
        <w:ind w:left="0" w:firstLine="0"/>
      </w:pPr>
      <w:r>
        <w:rPr>
          <w:rFonts w:ascii="Times New Roman" w:hAnsi="Times New Roman"/>
          <w:b w:val="0"/>
          <w:sz w:val="22"/>
        </w:rPr>
        <w:t>Table 3.4 — Data Dictionary for Data_Source Entity</w:t>
      </w:r>
      <w:r>
        <w:tab/>
      </w:r>
      <w:r>
        <w:rPr>
          <w:rFonts w:ascii="Times New Roman" w:hAnsi="Times New Roman"/>
          <w:b w:val="0"/>
          <w:sz w:val="22"/>
        </w:rPr>
        <w:t>16</w:t>
      </w:r>
    </w:p>
    <w:p>
      <w:pPr>
        <w:tabs>
          <w:tab w:pos="8669" w:val="right" w:leader="dot"/>
        </w:tabs>
        <w:spacing w:before="40" w:after="40" w:line="276" w:lineRule="auto"/>
        <w:ind w:left="0" w:firstLine="0"/>
      </w:pPr>
      <w:r>
        <w:rPr>
          <w:rFonts w:ascii="Times New Roman" w:hAnsi="Times New Roman"/>
          <w:b w:val="0"/>
          <w:sz w:val="22"/>
        </w:rPr>
        <w:t>Table 3.5 — Data Dictionary for Material Entity</w:t>
      </w:r>
      <w:r>
        <w:tab/>
      </w:r>
      <w:r>
        <w:rPr>
          <w:rFonts w:ascii="Times New Roman" w:hAnsi="Times New Roman"/>
          <w:b w:val="0"/>
          <w:sz w:val="22"/>
        </w:rPr>
        <w:t>17</w:t>
      </w:r>
    </w:p>
    <w:p>
      <w:pPr>
        <w:tabs>
          <w:tab w:pos="8669" w:val="right" w:leader="dot"/>
        </w:tabs>
        <w:spacing w:before="40" w:after="40" w:line="276" w:lineRule="auto"/>
        <w:ind w:left="0" w:firstLine="0"/>
      </w:pPr>
      <w:r>
        <w:rPr>
          <w:rFonts w:ascii="Times New Roman" w:hAnsi="Times New Roman"/>
          <w:b w:val="0"/>
          <w:sz w:val="22"/>
        </w:rPr>
        <w:t>Table 3.6 — Data Dictionary for Property Entity</w:t>
      </w:r>
      <w:r>
        <w:tab/>
      </w:r>
      <w:r>
        <w:rPr>
          <w:rFonts w:ascii="Times New Roman" w:hAnsi="Times New Roman"/>
          <w:b w:val="0"/>
          <w:sz w:val="22"/>
        </w:rPr>
        <w:t>17</w:t>
      </w:r>
    </w:p>
    <w:p>
      <w:pPr>
        <w:tabs>
          <w:tab w:pos="8669" w:val="right" w:leader="dot"/>
        </w:tabs>
        <w:spacing w:before="40" w:after="40" w:line="276" w:lineRule="auto"/>
        <w:ind w:left="0" w:firstLine="0"/>
      </w:pPr>
      <w:r>
        <w:rPr>
          <w:rFonts w:ascii="Times New Roman" w:hAnsi="Times New Roman"/>
          <w:b w:val="0"/>
          <w:sz w:val="22"/>
        </w:rPr>
        <w:t>Table 3.7 — Data Dictionary for Material_Property Association Table</w:t>
      </w:r>
      <w:r>
        <w:tab/>
      </w:r>
      <w:r>
        <w:rPr>
          <w:rFonts w:ascii="Times New Roman" w:hAnsi="Times New Roman"/>
          <w:b w:val="0"/>
          <w:sz w:val="22"/>
        </w:rPr>
        <w:t>17</w:t>
      </w:r>
    </w:p>
    <w:p>
      <w:pPr>
        <w:tabs>
          <w:tab w:pos="8669" w:val="right" w:leader="dot"/>
        </w:tabs>
        <w:spacing w:before="40" w:after="40" w:line="276" w:lineRule="auto"/>
        <w:ind w:left="0" w:firstLine="0"/>
      </w:pPr>
      <w:r>
        <w:rPr>
          <w:rFonts w:ascii="Times New Roman" w:hAnsi="Times New Roman"/>
          <w:b w:val="0"/>
          <w:sz w:val="22"/>
        </w:rPr>
        <w:t>Table 3.16 — Relational Constraints and Cascade Actions</w:t>
      </w:r>
      <w:r>
        <w:tab/>
      </w:r>
      <w:r>
        <w:rPr>
          <w:rFonts w:ascii="Times New Roman" w:hAnsi="Times New Roman"/>
          <w:b w:val="0"/>
          <w:sz w:val="22"/>
        </w:rPr>
        <w:t>18</w:t>
      </w:r>
    </w:p>
    <w:p>
      <w:pPr>
        <w:tabs>
          <w:tab w:pos="8669" w:val="right" w:leader="dot"/>
        </w:tabs>
        <w:spacing w:before="40" w:after="40" w:line="276" w:lineRule="auto"/>
        <w:ind w:left="0" w:firstLine="0"/>
      </w:pPr>
      <w:r>
        <w:rPr>
          <w:rFonts w:ascii="Times New Roman" w:hAnsi="Times New Roman"/>
          <w:b w:val="0"/>
          <w:sz w:val="22"/>
        </w:rPr>
        <w:t>Table 3.17 — Database Indexing Strategy and Query Optimization Roles</w:t>
      </w:r>
      <w:r>
        <w:tab/>
      </w:r>
      <w:r>
        <w:rPr>
          <w:rFonts w:ascii="Times New Roman" w:hAnsi="Times New Roman"/>
          <w:b w:val="0"/>
          <w:sz w:val="22"/>
        </w:rPr>
        <w:t>18</w:t>
      </w:r>
    </w:p>
    <w:p>
      <w:pPr>
        <w:tabs>
          <w:tab w:pos="8669" w:val="right" w:leader="dot"/>
        </w:tabs>
        <w:spacing w:before="40" w:after="40" w:line="276" w:lineRule="auto"/>
        <w:ind w:left="0" w:firstLine="0"/>
      </w:pPr>
      <w:r>
        <w:rPr>
          <w:rFonts w:ascii="Times New Roman" w:hAnsi="Times New Roman"/>
          <w:b w:val="0"/>
          <w:sz w:val="22"/>
        </w:rPr>
        <w:t>Table 4.1 — Software Technology Stack and Architectural Roles</w:t>
      </w:r>
      <w:r>
        <w:tab/>
      </w:r>
      <w:r>
        <w:rPr>
          <w:rFonts w:ascii="Times New Roman" w:hAnsi="Times New Roman"/>
          <w:b w:val="0"/>
          <w:sz w:val="22"/>
        </w:rPr>
        <w:t>19</w:t>
      </w:r>
    </w:p>
    <w:p>
      <w:pPr>
        <w:tabs>
          <w:tab w:pos="8669" w:val="right" w:leader="dot"/>
        </w:tabs>
        <w:spacing w:before="40" w:after="40" w:line="276" w:lineRule="auto"/>
        <w:ind w:left="0" w:firstLine="0"/>
      </w:pPr>
      <w:r>
        <w:rPr>
          <w:rFonts w:ascii="Times New Roman" w:hAnsi="Times New Roman"/>
          <w:b w:val="0"/>
          <w:sz w:val="22"/>
        </w:rPr>
        <w:t>Table 4.2 — Software Module Responsibilities and Source Code Mapping</w:t>
      </w:r>
      <w:r>
        <w:tab/>
      </w:r>
      <w:r>
        <w:rPr>
          <w:rFonts w:ascii="Times New Roman" w:hAnsi="Times New Roman"/>
          <w:b w:val="0"/>
          <w:sz w:val="22"/>
        </w:rPr>
        <w:t>19</w:t>
      </w:r>
    </w:p>
    <w:p>
      <w:pPr>
        <w:tabs>
          <w:tab w:pos="8669" w:val="right" w:leader="dot"/>
        </w:tabs>
        <w:spacing w:before="40" w:after="40" w:line="276" w:lineRule="auto"/>
        <w:ind w:left="0" w:firstLine="0"/>
      </w:pPr>
      <w:r>
        <w:rPr>
          <w:rFonts w:ascii="Times New Roman" w:hAnsi="Times New Roman"/>
          <w:b w:val="0"/>
          <w:sz w:val="22"/>
        </w:rPr>
        <w:t>Table 4.3 — Ingested Catalog Data Sources and Ingestion Metrics</w:t>
      </w:r>
      <w:r>
        <w:tab/>
      </w:r>
      <w:r>
        <w:rPr>
          <w:rFonts w:ascii="Times New Roman" w:hAnsi="Times New Roman"/>
          <w:b w:val="0"/>
          <w:sz w:val="22"/>
        </w:rPr>
        <w:t>20</w:t>
      </w:r>
    </w:p>
    <w:p>
      <w:pPr>
        <w:tabs>
          <w:tab w:pos="8669" w:val="right" w:leader="dot"/>
        </w:tabs>
        <w:spacing w:before="40" w:after="40" w:line="276" w:lineRule="auto"/>
        <w:ind w:left="0" w:firstLine="0"/>
      </w:pPr>
      <w:r>
        <w:rPr>
          <w:rFonts w:ascii="Times New Roman" w:hAnsi="Times New Roman"/>
          <w:b w:val="0"/>
          <w:sz w:val="22"/>
        </w:rPr>
        <w:t>Table 4.4 — Starbase RESTful API Endpoint Specifications</w:t>
      </w:r>
      <w:r>
        <w:tab/>
      </w:r>
      <w:r>
        <w:rPr>
          <w:rFonts w:ascii="Times New Roman" w:hAnsi="Times New Roman"/>
          <w:b w:val="0"/>
          <w:sz w:val="22"/>
        </w:rPr>
        <w:t>23</w:t>
      </w:r>
    </w:p>
    <w:p>
      <w:pPr>
        <w:tabs>
          <w:tab w:pos="8669" w:val="right" w:leader="dot"/>
        </w:tabs>
        <w:spacing w:before="40" w:after="40" w:line="276" w:lineRule="auto"/>
        <w:ind w:left="0" w:firstLine="0"/>
      </w:pPr>
      <w:r>
        <w:rPr>
          <w:rFonts w:ascii="Times New Roman" w:hAnsi="Times New Roman"/>
          <w:b w:val="0"/>
          <w:sz w:val="22"/>
        </w:rPr>
        <w:t>Table 4.7 — Measured Query Execution Benchmarks and EXPLAIN Plans</w:t>
      </w:r>
      <w:r>
        <w:tab/>
      </w:r>
      <w:r>
        <w:rPr>
          <w:rFonts w:ascii="Times New Roman" w:hAnsi="Times New Roman"/>
          <w:b w:val="0"/>
          <w:sz w:val="22"/>
        </w:rPr>
        <w:t>22</w:t>
      </w:r>
    </w:p>
    <w:p>
      <w:pPr>
        <w:tabs>
          <w:tab w:pos="8669" w:val="right" w:leader="dot"/>
        </w:tabs>
        <w:spacing w:before="40" w:after="40" w:line="276" w:lineRule="auto"/>
        <w:ind w:left="0" w:firstLine="0"/>
      </w:pPr>
      <w:r>
        <w:rPr>
          <w:rFonts w:ascii="Times New Roman" w:hAnsi="Times New Roman"/>
          <w:b w:val="0"/>
          <w:sz w:val="22"/>
        </w:rPr>
        <w:t>Table 5.1 — Automated Integration and Regression Test Suite Results</w:t>
      </w:r>
      <w:r>
        <w:tab/>
      </w:r>
      <w:r>
        <w:rPr>
          <w:rFonts w:ascii="Times New Roman" w:hAnsi="Times New Roman"/>
          <w:b w:val="0"/>
          <w:sz w:val="22"/>
        </w:rPr>
        <w:t>24</w:t>
      </w:r>
    </w:p>
    <w:p>
      <w:pPr>
        <w:tabs>
          <w:tab w:pos="8669" w:val="right" w:leader="dot"/>
        </w:tabs>
        <w:spacing w:before="40" w:after="40" w:line="276" w:lineRule="auto"/>
        <w:ind w:left="0" w:firstLine="0"/>
      </w:pPr>
      <w:r>
        <w:rPr>
          <w:rFonts w:ascii="Times New Roman" w:hAnsi="Times New Roman"/>
          <w:b w:val="0"/>
          <w:sz w:val="22"/>
        </w:rPr>
        <w:t>Table 5.2 — Deployment and Hosting Architecture Status Matrix</w:t>
      </w:r>
      <w:r>
        <w:tab/>
      </w:r>
      <w:r>
        <w:rPr>
          <w:rFonts w:ascii="Times New Roman" w:hAnsi="Times New Roman"/>
          <w:b w:val="0"/>
          <w:sz w:val="22"/>
        </w:rPr>
        <w:t>28</w:t>
      </w:r>
    </w:p>
    <w:p>
      <w:pPr>
        <w:sectPr>
          <w:footerReference w:type="default" r:id="rId10"/>
          <w:pgSz w:w="11905" w:h="16838"/>
          <w:pgMar w:top="1440" w:right="1440" w:bottom="1440" w:left="1800" w:header="720" w:footer="720" w:gutter="0"/>
          <w:cols w:space="720"/>
          <w:docGrid w:linePitch="360"/>
          <w:pgNumType w:fmt="lowerRoman" w:start="1"/>
        </w:sectPr>
      </w:pPr>
    </w:p>
    <w:p>
      <w:pPr>
        <w:keepNext/>
        <w:pageBreakBefore/>
        <w:spacing w:before="360" w:after="280"/>
        <w:jc w:val="center"/>
      </w:pPr>
      <w:r>
        <w:rPr>
          <w:rFonts w:ascii="Times New Roman" w:hAnsi="Times New Roman"/>
          <w:b/>
          <w:sz w:val="32"/>
        </w:rPr>
        <w:t>1 INTRODUCTION</w:t>
      </w:r>
    </w:p>
    <w:p>
      <w:pPr>
        <w:keepNext/>
        <w:spacing w:before="240" w:after="80"/>
        <w:jc w:val="left"/>
      </w:pPr>
      <w:r>
        <w:rPr>
          <w:rFonts w:ascii="Times New Roman" w:hAnsi="Times New Roman"/>
          <w:b/>
          <w:sz w:val="26"/>
        </w:rPr>
        <w:t>1.1 Introduction</w:t>
      </w:r>
    </w:p>
    <w:p>
      <w:pPr>
        <w:spacing w:before="0" w:after="80" w:line="324" w:lineRule="auto"/>
        <w:jc w:val="both"/>
      </w:pPr>
      <w:r>
        <w:rPr>
          <w:rFonts w:ascii="Times New Roman" w:hAnsi="Times New Roman"/>
          <w:b w:val="0"/>
          <w:i w:val="0"/>
          <w:sz w:val="24"/>
        </w:rPr>
        <w:t>Every engineered physical artifact—from microelectronic lead frames and battery casings to aerospace thermal protection tiles and high-pressure cryogenic valves—is fundamentally constrained by the physical properties of its constituent materials. An engineer designing a component must systematically reconcile competing requirements, balancing structural yield strength, elastic stiffness, thermal conductivity, service temperature limits, environmental corrosion resistance, raw material costs, and manufacturing feasibility. In modern design methodology, selecting the optimal material is not an afterthought but the primary determinant of mass efficiency, structural integrity, and lifecycle economy [13].</w:t>
      </w:r>
    </w:p>
    <w:p>
      <w:pPr>
        <w:spacing w:before="0" w:after="80" w:line="324" w:lineRule="auto"/>
        <w:jc w:val="both"/>
      </w:pPr>
      <w:r>
        <w:rPr>
          <w:rFonts w:ascii="Times New Roman" w:hAnsi="Times New Roman"/>
          <w:b w:val="0"/>
          <w:i w:val="0"/>
          <w:sz w:val="24"/>
        </w:rPr>
        <w:t>Despite decades of scientific research yielding vast quantities of material data, utilizing this information in everyday engineering practice remains remarkably challenging. Computational crystal simulations, standardized tensile testing data, cryogenic outgassing metrics, and manufacturer alloy certifications are distributed across disparate silos [1–7, 9–12]. These sources employ conflicting nomenclature, proprietary schemas, incompatible physical units, and varying levels of experimental fidelity. Consequently, engineers are frequently forced to navigate between printed reference handbooks, individual PDF supplier datasheets, and specialized computational research portals [13].</w:t>
      </w:r>
    </w:p>
    <w:p>
      <w:pPr>
        <w:spacing w:before="0" w:after="80" w:line="324" w:lineRule="auto"/>
        <w:jc w:val="both"/>
      </w:pPr>
      <w:r>
        <w:rPr>
          <w:rFonts w:ascii="Times New Roman" w:hAnsi="Times New Roman"/>
          <w:b w:val="0"/>
          <w:i w:val="0"/>
          <w:sz w:val="24"/>
        </w:rPr>
        <w:t>From a database management systems perspective, material selection is an archetype of multi-criteria decision analysis over heterogeneous, sparse-matrix scientific data [14, 15]. Resolving this challenge requires a robust relational architecture capable of standardizing disparate entities, preserving complete cryptographic and legal provenance, and executing bounded multi-parameter screening queries at interactive speeds. This project, titled Starbase, was developed as part of the Database Management System (PBEOT504) Project-Based Learning curriculum for the B.Tech Electrical and Computer Engineering programme at College of Engineering Trivandrum.</w:t>
      </w:r>
    </w:p>
    <w:p>
      <w:pPr>
        <w:keepNext/>
        <w:spacing w:before="240" w:after="80"/>
        <w:jc w:val="left"/>
      </w:pPr>
      <w:r>
        <w:rPr>
          <w:rFonts w:ascii="Times New Roman" w:hAnsi="Times New Roman"/>
          <w:b/>
          <w:sz w:val="26"/>
        </w:rPr>
        <w:t>1.2 Problem Statement</w:t>
      </w:r>
    </w:p>
    <w:p>
      <w:pPr>
        <w:spacing w:before="0" w:after="80" w:line="324" w:lineRule="auto"/>
        <w:jc w:val="both"/>
      </w:pPr>
      <w:r>
        <w:rPr>
          <w:rFonts w:ascii="Times New Roman" w:hAnsi="Times New Roman"/>
          <w:b w:val="0"/>
          <w:i w:val="0"/>
          <w:sz w:val="24"/>
        </w:rPr>
        <w:t>Engineering organizations face four structural bottlenecks when attempting to screen and select materials across modern public and proprietary datasets:</w:t>
      </w:r>
    </w:p>
    <w:p>
      <w:pPr>
        <w:pStyle w:val="ListBullet"/>
        <w:spacing w:before="20" w:after="60" w:line="312" w:lineRule="auto"/>
        <w:ind w:left="432"/>
        <w:jc w:val="both"/>
      </w:pPr>
      <w:r>
        <w:rPr>
          <w:rFonts w:ascii="Times New Roman" w:hAnsi="Times New Roman"/>
          <w:b/>
          <w:sz w:val="24"/>
        </w:rPr>
        <w:t xml:space="preserve">Syntactic and Schema Heterogeneity: </w:t>
      </w:r>
      <w:r>
        <w:rPr>
          <w:rFonts w:ascii="Times New Roman" w:hAnsi="Times New Roman"/>
          <w:sz w:val="24"/>
        </w:rPr>
        <w:t>Open materials repositories publish data in non-interoperable formats. Computational repositories such as Materials Project [1] and AFLOW [3] utilize JSON REST APIs and crystallographic CIF files; Alexandria [7] provides dense BZip2-compressed tar archives; NASA TPSX [9] uses XML and PDF technical reports; and alloy manufacturers [12] distribute unstructured tabular PDF datasheets.</w:t>
      </w:r>
    </w:p>
    <w:p>
      <w:pPr>
        <w:pStyle w:val="ListBullet"/>
        <w:spacing w:before="20" w:after="60" w:line="312" w:lineRule="auto"/>
        <w:ind w:left="432"/>
        <w:jc w:val="both"/>
      </w:pPr>
      <w:r>
        <w:rPr>
          <w:rFonts w:ascii="Times New Roman" w:hAnsi="Times New Roman"/>
          <w:b/>
          <w:sz w:val="24"/>
        </w:rPr>
        <w:t xml:space="preserve">Semantic Divergence and Sparse Attributes: </w:t>
      </w:r>
      <w:r>
        <w:rPr>
          <w:rFonts w:ascii="Times New Roman" w:hAnsi="Times New Roman"/>
          <w:sz w:val="24"/>
        </w:rPr>
        <w:t>Mechanical properties (yield strength, elongation, fracture toughness) are reported predominantly for commercial alloys, whereas electronic and quantum-mechanical properties (band gaps, bulk modulus, formation energy) are reported for computational density functional theory (DFT) structures. Attempting to fit these diverse records into a single rigid relational table results in extreme column sparsity (over 95% NULL values) or data distortion.</w:t>
      </w:r>
    </w:p>
    <w:p>
      <w:pPr>
        <w:pStyle w:val="ListBullet"/>
        <w:spacing w:before="20" w:after="60" w:line="312" w:lineRule="auto"/>
        <w:ind w:left="432"/>
        <w:jc w:val="both"/>
      </w:pPr>
      <w:r>
        <w:rPr>
          <w:rFonts w:ascii="Times New Roman" w:hAnsi="Times New Roman"/>
          <w:b/>
          <w:sz w:val="24"/>
        </w:rPr>
        <w:t xml:space="preserve">Lack of Verifiable Provenance: </w:t>
      </w:r>
      <w:r>
        <w:rPr>
          <w:rFonts w:ascii="Times New Roman" w:hAnsi="Times New Roman"/>
          <w:sz w:val="24"/>
        </w:rPr>
        <w:t>Many aggregated commercial tools strip raw citations and licensing conditions. Engineers cannot verify whether a quoted yield strength represents a minimum design guarantee, an average laboratory test at 20°C, or an unvalidated computational approximation.</w:t>
      </w:r>
    </w:p>
    <w:p>
      <w:pPr>
        <w:pStyle w:val="ListBullet"/>
        <w:spacing w:before="20" w:after="60" w:line="312" w:lineRule="auto"/>
        <w:ind w:left="432"/>
        <w:jc w:val="both"/>
      </w:pPr>
      <w:r>
        <w:rPr>
          <w:rFonts w:ascii="Times New Roman" w:hAnsi="Times New Roman"/>
          <w:b/>
          <w:sz w:val="24"/>
        </w:rPr>
        <w:t xml:space="preserve">Multi-Attribute Decision Complexity: </w:t>
      </w:r>
      <w:r>
        <w:rPr>
          <w:rFonts w:ascii="Times New Roman" w:hAnsi="Times New Roman"/>
          <w:sz w:val="24"/>
        </w:rPr>
        <w:t>Designers require a mechanism that enforces non-negotiable hard constraints (e.g., minimum yield strength &gt; 400 MPa and service temperature &gt; 300°C) while simultaneously performing multi-objective optimization across normalized secondary priorities (e.g., maximizing strength-to-weight ratio while minimizing cost).</w:t>
      </w:r>
    </w:p>
    <w:p>
      <w:pPr>
        <w:keepNext/>
        <w:spacing w:before="240" w:after="80"/>
        <w:jc w:val="left"/>
      </w:pPr>
      <w:r>
        <w:rPr>
          <w:rFonts w:ascii="Times New Roman" w:hAnsi="Times New Roman"/>
          <w:b/>
          <w:sz w:val="26"/>
        </w:rPr>
        <w:t>1.3 Objectives</w:t>
      </w:r>
    </w:p>
    <w:p>
      <w:pPr>
        <w:spacing w:before="0" w:after="80" w:line="324" w:lineRule="auto"/>
        <w:jc w:val="both"/>
      </w:pPr>
      <w:r>
        <w:rPr>
          <w:rFonts w:ascii="Times New Roman" w:hAnsi="Times New Roman"/>
          <w:b w:val="0"/>
          <w:i w:val="0"/>
          <w:sz w:val="24"/>
        </w:rPr>
        <w:t>The primary objectives of the Starbase system are:</w:t>
      </w:r>
    </w:p>
    <w:p>
      <w:pPr>
        <w:pStyle w:val="ListBullet"/>
        <w:spacing w:before="20" w:after="60" w:line="312" w:lineRule="auto"/>
        <w:ind w:left="432"/>
        <w:jc w:val="both"/>
      </w:pPr>
      <w:r>
        <w:rPr>
          <w:rFonts w:ascii="Times New Roman" w:hAnsi="Times New Roman"/>
          <w:b/>
          <w:sz w:val="24"/>
        </w:rPr>
        <w:t xml:space="preserve">Relational Schema Normalization: </w:t>
      </w:r>
      <w:r>
        <w:rPr>
          <w:rFonts w:ascii="Times New Roman" w:hAnsi="Times New Roman"/>
          <w:sz w:val="24"/>
        </w:rPr>
        <w:t>Design and implement a Third Normal Form (3NF) relational database schema capable of accommodating millions of material records with arbitrary, extensible physical properties without schema mutations or column bloat.</w:t>
      </w:r>
    </w:p>
    <w:p>
      <w:pPr>
        <w:pStyle w:val="ListBullet"/>
        <w:spacing w:before="20" w:after="60" w:line="312" w:lineRule="auto"/>
        <w:ind w:left="432"/>
        <w:jc w:val="both"/>
      </w:pPr>
      <w:r>
        <w:rPr>
          <w:rFonts w:ascii="Times New Roman" w:hAnsi="Times New Roman"/>
          <w:b/>
          <w:sz w:val="24"/>
        </w:rPr>
        <w:t xml:space="preserve">Scalable Ingestion of Authoritative Repositories: </w:t>
      </w:r>
      <w:r>
        <w:rPr>
          <w:rFonts w:ascii="Times New Roman" w:hAnsi="Times New Roman"/>
          <w:sz w:val="24"/>
        </w:rPr>
        <w:t>Develop robust, transaction-safe ETL pipelines to ingest, normalize, and reconcile over 6 million records from 14 open and authorized materials repositories [1–7, 9–12].</w:t>
      </w:r>
    </w:p>
    <w:p>
      <w:pPr>
        <w:pStyle w:val="ListBullet"/>
        <w:spacing w:before="20" w:after="60" w:line="312" w:lineRule="auto"/>
        <w:ind w:left="432"/>
        <w:jc w:val="both"/>
      </w:pPr>
      <w:r>
        <w:rPr>
          <w:rFonts w:ascii="Times New Roman" w:hAnsi="Times New Roman"/>
          <w:b/>
          <w:sz w:val="24"/>
        </w:rPr>
        <w:t xml:space="preserve">Interactive Multi-Criteria Screening Engine: </w:t>
      </w:r>
      <w:r>
        <w:rPr>
          <w:rFonts w:ascii="Times New Roman" w:hAnsi="Times New Roman"/>
          <w:sz w:val="24"/>
        </w:rPr>
        <w:t>Implement a hybrid evaluation engine that executes SQL-level hard constraint pruning followed by min-max normalized weighted priority scoring.</w:t>
      </w:r>
    </w:p>
    <w:p>
      <w:pPr>
        <w:pStyle w:val="ListBullet"/>
        <w:spacing w:before="20" w:after="60" w:line="312" w:lineRule="auto"/>
        <w:ind w:left="432"/>
        <w:jc w:val="both"/>
      </w:pPr>
      <w:r>
        <w:rPr>
          <w:rFonts w:ascii="Times New Roman" w:hAnsi="Times New Roman"/>
          <w:b/>
          <w:sz w:val="24"/>
        </w:rPr>
        <w:t xml:space="preserve">Comprehensive Provenance Tracking: </w:t>
      </w:r>
      <w:r>
        <w:rPr>
          <w:rFonts w:ascii="Times New Roman" w:hAnsi="Times New Roman"/>
          <w:sz w:val="24"/>
        </w:rPr>
        <w:t>Record upstream repository keys, dataset licenses, source URLs, raw metadata JSON, and digital checksums for 100% of ingested materials.</w:t>
      </w:r>
    </w:p>
    <w:p>
      <w:pPr>
        <w:pStyle w:val="ListBullet"/>
        <w:spacing w:before="20" w:after="60" w:line="312" w:lineRule="auto"/>
        <w:ind w:left="432"/>
        <w:jc w:val="both"/>
      </w:pPr>
      <w:r>
        <w:rPr>
          <w:rFonts w:ascii="Times New Roman" w:hAnsi="Times New Roman"/>
          <w:b/>
          <w:sz w:val="24"/>
        </w:rPr>
        <w:t xml:space="preserve">Collaborative Engineering Workspaces: </w:t>
      </w:r>
      <w:r>
        <w:rPr>
          <w:rFonts w:ascii="Times New Roman" w:hAnsi="Times New Roman"/>
          <w:sz w:val="24"/>
        </w:rPr>
        <w:t>Provide multi-tenant project management capabilities with role-based access control (RBAC), requirement versioning, candidate shortlisting, and side-by-side comparison.</w:t>
      </w:r>
    </w:p>
    <w:p>
      <w:pPr>
        <w:pStyle w:val="ListBullet"/>
        <w:spacing w:before="20" w:after="60" w:line="312" w:lineRule="auto"/>
        <w:ind w:left="432"/>
        <w:jc w:val="both"/>
      </w:pPr>
      <w:r>
        <w:rPr>
          <w:rFonts w:ascii="Times New Roman" w:hAnsi="Times New Roman"/>
          <w:b/>
          <w:sz w:val="24"/>
        </w:rPr>
        <w:t xml:space="preserve">Enterprise Cloud &amp; Local Compatibility: </w:t>
      </w:r>
      <w:r>
        <w:rPr>
          <w:rFonts w:ascii="Times New Roman" w:hAnsi="Times New Roman"/>
          <w:sz w:val="24"/>
        </w:rPr>
        <w:t>Ensure seamless execution across local developer environments running MySQL 8.4 [16] and distributed cloud infrastructure running TiDB Serverless [17].</w:t>
      </w:r>
    </w:p>
    <w:p>
      <w:pPr>
        <w:keepNext/>
        <w:spacing w:before="240" w:after="80"/>
        <w:jc w:val="left"/>
      </w:pPr>
      <w:r>
        <w:rPr>
          <w:rFonts w:ascii="Times New Roman" w:hAnsi="Times New Roman"/>
          <w:b/>
          <w:sz w:val="26"/>
        </w:rPr>
        <w:t>1.4 Scope of the Project</w:t>
      </w:r>
    </w:p>
    <w:p>
      <w:pPr>
        <w:spacing w:before="0" w:after="80" w:line="324" w:lineRule="auto"/>
        <w:jc w:val="both"/>
      </w:pPr>
      <w:r>
        <w:rPr>
          <w:rFonts w:ascii="Times New Roman" w:hAnsi="Times New Roman"/>
          <w:b w:val="0"/>
          <w:i w:val="0"/>
          <w:sz w:val="24"/>
        </w:rPr>
        <w:t>The scope of Starbase encompasses relational schema modeling, automated bulk ingestion pipelines, backend RESTful web services, and an interactive React-based user interface. The system accommodates computational DFT crystals, empirical alloy test results, polymer specifications, ceramic properties, and spacecraft-certified outgassing measurements.</w:t>
      </w:r>
    </w:p>
    <w:p>
      <w:pPr>
        <w:spacing w:before="0" w:after="80" w:line="324" w:lineRule="auto"/>
        <w:jc w:val="both"/>
      </w:pPr>
      <w:r>
        <w:rPr>
          <w:rFonts w:ascii="Times New Roman" w:hAnsi="Times New Roman"/>
          <w:b/>
          <w:i w:val="0"/>
          <w:sz w:val="24"/>
        </w:rPr>
        <w:t xml:space="preserve">Clarification on Property Availability versus Catalog Coverage: </w:t>
      </w:r>
    </w:p>
    <w:p>
      <w:pPr>
        <w:spacing w:before="0" w:after="80" w:line="324" w:lineRule="auto"/>
        <w:jc w:val="both"/>
      </w:pPr>
      <w:r>
        <w:rPr>
          <w:rFonts w:ascii="Times New Roman" w:hAnsi="Times New Roman"/>
          <w:b w:val="0"/>
          <w:i w:val="0"/>
          <w:sz w:val="24"/>
        </w:rPr>
        <w:t>A critical engineering distinction maintained throughout Starbase is that while 100% of the 6,265,691 ingested materials possess verified source provenance, licenses, and categorization, physical property availability varies significantly across scientific domains. For example, 599 materials report empirical tensile strength in literature datasets, 81 commercial stainless-steel grades report temperature-dependent thermal conductivity, and millions of computational structures report calculated bulk modulus and formation energy. Starbase strictly avoids artificial zero-imputation: if a candidate material lacks a property demanded by an engineer's hard constraint, it is disqualified with explicit diagnostic feedback rather than evaluated with fabricated numerical approximations.</w:t>
      </w:r>
    </w:p>
    <w:p>
      <w:pPr>
        <w:keepNext/>
        <w:pageBreakBefore/>
        <w:spacing w:before="360" w:after="280"/>
        <w:jc w:val="center"/>
      </w:pPr>
      <w:r>
        <w:rPr>
          <w:rFonts w:ascii="Times New Roman" w:hAnsi="Times New Roman"/>
          <w:b/>
          <w:sz w:val="32"/>
        </w:rPr>
        <w:t>2 SYSTEM ANALYSIS AND DESIGN</w:t>
      </w:r>
    </w:p>
    <w:p>
      <w:pPr>
        <w:keepNext/>
        <w:spacing w:before="240" w:after="80"/>
        <w:jc w:val="left"/>
      </w:pPr>
      <w:r>
        <w:rPr>
          <w:rFonts w:ascii="Times New Roman" w:hAnsi="Times New Roman"/>
          <w:b/>
          <w:sz w:val="26"/>
        </w:rPr>
        <w:t>2.1 Existing System and Its Limitations</w:t>
      </w:r>
    </w:p>
    <w:p>
      <w:pPr>
        <w:spacing w:before="0" w:after="80" w:line="324" w:lineRule="auto"/>
        <w:jc w:val="both"/>
      </w:pPr>
      <w:r>
        <w:rPr>
          <w:rFonts w:ascii="Times New Roman" w:hAnsi="Times New Roman"/>
          <w:b w:val="0"/>
          <w:i w:val="0"/>
          <w:sz w:val="24"/>
        </w:rPr>
        <w:t>Engineering materials selection currently relies on three principal categories of tools, each exhibiting distinct operational limitations:</w:t>
      </w:r>
    </w:p>
    <w:p>
      <w:pPr>
        <w:pStyle w:val="ListBullet"/>
        <w:spacing w:before="20" w:after="60" w:line="312" w:lineRule="auto"/>
        <w:ind w:left="432"/>
        <w:jc w:val="both"/>
      </w:pPr>
      <w:r>
        <w:rPr>
          <w:rFonts w:ascii="Times New Roman" w:hAnsi="Times New Roman"/>
          <w:b/>
          <w:sz w:val="24"/>
        </w:rPr>
        <w:t xml:space="preserve">Printed Handbooks and Personal Spreadsheets: </w:t>
      </w:r>
      <w:r>
        <w:rPr>
          <w:rFonts w:ascii="Times New Roman" w:hAnsi="Times New Roman"/>
          <w:sz w:val="24"/>
        </w:rPr>
        <w:t>Handbooks such as ASM International reference manuals provide trustworthy experimental data but are static, cannot be queried programmatically, and do not scale to comparative multi-objective trade-offs. Ad-hoc engineering spreadsheets lack schema integrity, validation constraints, and multi-user collaboration controls.</w:t>
      </w:r>
    </w:p>
    <w:p>
      <w:pPr>
        <w:pStyle w:val="ListBullet"/>
        <w:spacing w:before="20" w:after="60" w:line="312" w:lineRule="auto"/>
        <w:ind w:left="432"/>
        <w:jc w:val="both"/>
      </w:pPr>
      <w:r>
        <w:rPr>
          <w:rFonts w:ascii="Times New Roman" w:hAnsi="Times New Roman"/>
          <w:b/>
          <w:sz w:val="24"/>
        </w:rPr>
        <w:t xml:space="preserve">Proprietary Commercial Databases: </w:t>
      </w:r>
      <w:r>
        <w:rPr>
          <w:rFonts w:ascii="Times New Roman" w:hAnsi="Times New Roman"/>
          <w:sz w:val="24"/>
        </w:rPr>
        <w:t>Enterprise solutions such as Ansys Granta Selector, Total Materia, and MatWeb provide extensive certified engineering properties. However, they are closed-source, require prohibitively expensive site licenses, and frequently treat their underlying scoring algorithms as black boxes.</w:t>
      </w:r>
    </w:p>
    <w:p>
      <w:pPr>
        <w:pStyle w:val="ListBullet"/>
        <w:spacing w:before="20" w:after="60" w:line="312" w:lineRule="auto"/>
        <w:ind w:left="432"/>
        <w:jc w:val="both"/>
      </w:pPr>
      <w:r>
        <w:rPr>
          <w:rFonts w:ascii="Times New Roman" w:hAnsi="Times New Roman"/>
          <w:b/>
          <w:sz w:val="24"/>
        </w:rPr>
        <w:t xml:space="preserve">Specialized Research Web Repositories: </w:t>
      </w:r>
      <w:r>
        <w:rPr>
          <w:rFonts w:ascii="Times New Roman" w:hAnsi="Times New Roman"/>
          <w:sz w:val="24"/>
        </w:rPr>
        <w:t>Open scientific portals (Materials Project [1], NIST JARVIS [2], AFLOW [3], NOMAD [4]) offer excellent deep APIs for solid-state physics and computational materials science. However, they are isolated from commercial manufacturing catalogs and lack integrated multi-attribute engineering selection studios.</w:t>
      </w:r>
    </w:p>
    <w:p>
      <w:pPr>
        <w:keepNext/>
        <w:spacing w:before="240" w:after="80"/>
        <w:jc w:val="left"/>
      </w:pPr>
      <w:r>
        <w:rPr>
          <w:rFonts w:ascii="Times New Roman" w:hAnsi="Times New Roman"/>
          <w:b/>
          <w:sz w:val="26"/>
        </w:rPr>
        <w:t>2.2 Proposed System</w:t>
      </w:r>
    </w:p>
    <w:p>
      <w:pPr>
        <w:spacing w:before="0" w:after="80" w:line="324" w:lineRule="auto"/>
        <w:jc w:val="both"/>
      </w:pPr>
      <w:r>
        <w:rPr>
          <w:rFonts w:ascii="Times New Roman" w:hAnsi="Times New Roman"/>
          <w:b w:val="0"/>
          <w:i w:val="0"/>
          <w:sz w:val="24"/>
        </w:rPr>
        <w:t>Starbase resolves these deficiencies by introducing an open, scalable, relational materials database and selection platform. The proposed system features:</w:t>
      </w:r>
    </w:p>
    <w:p>
      <w:pPr>
        <w:pStyle w:val="ListBullet"/>
        <w:spacing w:before="20" w:after="60" w:line="312" w:lineRule="auto"/>
        <w:ind w:left="432"/>
        <w:jc w:val="both"/>
      </w:pPr>
      <w:r>
        <w:rPr>
          <w:rFonts w:ascii="Times New Roman" w:hAnsi="Times New Roman"/>
          <w:b/>
          <w:sz w:val="24"/>
        </w:rPr>
        <w:t xml:space="preserve">A Property Dictionary Architecture: </w:t>
      </w:r>
      <w:r>
        <w:rPr>
          <w:rFonts w:ascii="Times New Roman" w:hAnsi="Times New Roman"/>
          <w:sz w:val="24"/>
        </w:rPr>
        <w:t>Decoupling property definitions from material entities via a normalized entity-attribute-value model, enabling thousands of physical attributes to be indexed without altering table DDL.</w:t>
      </w:r>
    </w:p>
    <w:p>
      <w:pPr>
        <w:pStyle w:val="ListBullet"/>
        <w:spacing w:before="20" w:after="60" w:line="312" w:lineRule="auto"/>
        <w:ind w:left="432"/>
        <w:jc w:val="both"/>
      </w:pPr>
      <w:r>
        <w:rPr>
          <w:rFonts w:ascii="Times New Roman" w:hAnsi="Times New Roman"/>
          <w:b/>
          <w:sz w:val="24"/>
        </w:rPr>
        <w:t xml:space="preserve">Dual-Engine Evaluation: </w:t>
      </w:r>
      <w:r>
        <w:rPr>
          <w:rFonts w:ascii="Times New Roman" w:hAnsi="Times New Roman"/>
          <w:sz w:val="24"/>
        </w:rPr>
        <w:t>Offloading hard boundary screening (minimum yield strength, maximum density, service temperature thresholds) to indexed SQL queries, followed by in-memory normalized ranking across user-weighted priorities.</w:t>
      </w:r>
    </w:p>
    <w:p>
      <w:pPr>
        <w:pStyle w:val="ListBullet"/>
        <w:spacing w:before="20" w:after="60" w:line="312" w:lineRule="auto"/>
        <w:ind w:left="432"/>
        <w:jc w:val="both"/>
      </w:pPr>
      <w:r>
        <w:rPr>
          <w:rFonts w:ascii="Times New Roman" w:hAnsi="Times New Roman"/>
          <w:b/>
          <w:sz w:val="24"/>
        </w:rPr>
        <w:t xml:space="preserve">Explainable Recommendation Logic: </w:t>
      </w:r>
      <w:r>
        <w:rPr>
          <w:rFonts w:ascii="Times New Roman" w:hAnsi="Times New Roman"/>
          <w:sz w:val="24"/>
        </w:rPr>
        <w:t>Every candidate evaluation produces detailed inclusion justifications, normalized sub-scores, and explicit disqualification audit logs.</w:t>
      </w:r>
    </w:p>
    <w:p>
      <w:pPr>
        <w:pStyle w:val="ListBullet"/>
        <w:spacing w:before="20" w:after="60" w:line="312" w:lineRule="auto"/>
        <w:ind w:left="432"/>
        <w:jc w:val="both"/>
      </w:pPr>
      <w:r>
        <w:rPr>
          <w:rFonts w:ascii="Times New Roman" w:hAnsi="Times New Roman"/>
          <w:b/>
          <w:sz w:val="24"/>
        </w:rPr>
        <w:t xml:space="preserve">Collaborative Workspaces: </w:t>
      </w:r>
      <w:r>
        <w:rPr>
          <w:rFonts w:ascii="Times New Roman" w:hAnsi="Times New Roman"/>
          <w:sz w:val="24"/>
        </w:rPr>
        <w:t>Project teams can persist selection requirements, save shortlisted candidates, and collaborate under Owner, Editor, or Viewer access permissions.</w:t>
      </w:r>
    </w:p>
    <w:p>
      <w:pPr>
        <w:keepNext/>
        <w:spacing w:before="240" w:after="80"/>
        <w:jc w:val="left"/>
      </w:pPr>
      <w:r>
        <w:rPr>
          <w:rFonts w:ascii="Times New Roman" w:hAnsi="Times New Roman"/>
          <w:b/>
          <w:sz w:val="26"/>
        </w:rPr>
        <w:t>2.3 System Requirements</w:t>
      </w:r>
    </w:p>
    <w:p>
      <w:pPr>
        <w:spacing w:before="0" w:after="80" w:line="324" w:lineRule="auto"/>
        <w:jc w:val="both"/>
      </w:pPr>
      <w:r>
        <w:rPr>
          <w:rFonts w:ascii="Times New Roman" w:hAnsi="Times New Roman"/>
          <w:b w:val="0"/>
          <w:i w:val="0"/>
          <w:sz w:val="24"/>
        </w:rPr>
        <w:t>The functional and non-functional requirements governing the Starbase architecture are summarized in Table 2.1.</w:t>
      </w:r>
    </w:p>
    <w:p>
      <w:pPr>
        <w:keepNext/>
        <w:spacing w:before="160" w:after="60"/>
        <w:jc w:val="left"/>
      </w:pPr>
      <w:r>
        <w:rPr>
          <w:rFonts w:ascii="Times New Roman" w:hAnsi="Times New Roman"/>
          <w:b/>
          <w:sz w:val="21"/>
        </w:rPr>
        <w:t>Table 2.1 — System Requirements Specifications.</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888"/>
        <w:gridCol w:w="2888"/>
        <w:gridCol w:w="2888"/>
      </w:tblGrid>
      <w:tr>
        <w:trPr>
          <w:cantSplit/>
          <w:tblHeader/>
        </w:trPr>
        <w:tc>
          <w:tcPr>
            <w:tcW w:type="dxa" w:w="1440"/>
            <w:shd w:val="clear" w:color="auto" w:fill="EAEFF5"/>
            <w:vAlign w:val="center"/>
          </w:tcPr>
          <w:p>
            <w:pPr>
              <w:spacing w:line="252" w:lineRule="auto" w:before="40" w:after="40"/>
              <w:jc w:val="left"/>
            </w:pPr>
            <w:r>
              <w:rPr>
                <w:rFonts w:ascii="Times New Roman" w:hAnsi="Times New Roman"/>
                <w:b/>
                <w:sz w:val="19"/>
              </w:rPr>
              <w:t>ID</w:t>
            </w:r>
          </w:p>
        </w:tc>
        <w:tc>
          <w:tcPr>
            <w:tcW w:type="dxa" w:w="2592"/>
            <w:shd w:val="clear" w:color="auto" w:fill="EAEFF5"/>
            <w:vAlign w:val="center"/>
          </w:tcPr>
          <w:p>
            <w:pPr>
              <w:spacing w:line="252" w:lineRule="auto" w:before="40" w:after="40"/>
              <w:jc w:val="left"/>
            </w:pPr>
            <w:r>
              <w:rPr>
                <w:rFonts w:ascii="Times New Roman" w:hAnsi="Times New Roman"/>
                <w:b/>
                <w:sz w:val="19"/>
              </w:rPr>
              <w:t>Requirement Category</w:t>
            </w:r>
          </w:p>
        </w:tc>
        <w:tc>
          <w:tcPr>
            <w:tcW w:type="dxa" w:w="4637"/>
            <w:shd w:val="clear" w:color="auto" w:fill="EAEFF5"/>
            <w:vAlign w:val="center"/>
          </w:tcPr>
          <w:p>
            <w:pPr>
              <w:spacing w:line="252" w:lineRule="auto" w:before="40" w:after="40"/>
              <w:jc w:val="left"/>
            </w:pPr>
            <w:r>
              <w:rPr>
                <w:rFonts w:ascii="Times New Roman" w:hAnsi="Times New Roman"/>
                <w:b/>
                <w:sz w:val="19"/>
              </w:rPr>
              <w:t>Description and Acceptance Criteria</w:t>
            </w:r>
          </w:p>
        </w:tc>
      </w:tr>
      <w:tr>
        <w:trPr>
          <w:cantSplit/>
        </w:trPr>
        <w:tc>
          <w:tcPr>
            <w:tcW w:type="dxa" w:w="1440"/>
            <w:shd w:val="clear" w:color="auto" w:fill="FAFBFC"/>
            <w:vAlign w:val="center"/>
          </w:tcPr>
          <w:p>
            <w:pPr>
              <w:spacing w:line="252" w:lineRule="auto" w:before="20" w:after="20"/>
              <w:jc w:val="left"/>
            </w:pPr>
            <w:r>
              <w:rPr>
                <w:rFonts w:ascii="Times New Roman" w:hAnsi="Times New Roman"/>
                <w:sz w:val="18"/>
              </w:rPr>
              <w:t>FR-1</w:t>
            </w:r>
          </w:p>
        </w:tc>
        <w:tc>
          <w:tcPr>
            <w:tcW w:type="dxa" w:w="2592"/>
            <w:shd w:val="clear" w:color="auto" w:fill="FAFBFC"/>
            <w:vAlign w:val="center"/>
          </w:tcPr>
          <w:p>
            <w:pPr>
              <w:spacing w:line="252" w:lineRule="auto" w:before="20" w:after="20"/>
              <w:jc w:val="left"/>
            </w:pPr>
            <w:r>
              <w:rPr>
                <w:rFonts w:ascii="Times New Roman" w:hAnsi="Times New Roman"/>
                <w:sz w:val="18"/>
              </w:rPr>
              <w:t>Catalog Browsing</w:t>
            </w:r>
          </w:p>
        </w:tc>
        <w:tc>
          <w:tcPr>
            <w:tcW w:type="dxa" w:w="4637"/>
            <w:shd w:val="clear" w:color="auto" w:fill="FAFBFC"/>
            <w:vAlign w:val="center"/>
          </w:tcPr>
          <w:p>
            <w:pPr>
              <w:spacing w:line="252" w:lineRule="auto" w:before="20" w:after="20"/>
              <w:jc w:val="left"/>
            </w:pPr>
            <w:r>
              <w:rPr>
                <w:rFonts w:ascii="Times New Roman" w:hAnsi="Times New Roman"/>
                <w:sz w:val="18"/>
              </w:rPr>
              <w:t>Search, filter, and paginate 6.26M+ materials by keyword, collection, category, and source repository with sub-50ms latency.</w:t>
            </w:r>
          </w:p>
        </w:tc>
      </w:tr>
      <w:tr>
        <w:trPr>
          <w:cantSplit/>
        </w:trPr>
        <w:tc>
          <w:tcPr>
            <w:tcW w:type="dxa" w:w="1440"/>
            <w:vAlign w:val="center"/>
          </w:tcPr>
          <w:p>
            <w:pPr>
              <w:spacing w:line="252" w:lineRule="auto" w:before="20" w:after="20"/>
              <w:jc w:val="left"/>
            </w:pPr>
            <w:r>
              <w:rPr>
                <w:rFonts w:ascii="Times New Roman" w:hAnsi="Times New Roman"/>
                <w:sz w:val="18"/>
              </w:rPr>
              <w:t>FR-2</w:t>
            </w:r>
          </w:p>
        </w:tc>
        <w:tc>
          <w:tcPr>
            <w:tcW w:type="dxa" w:w="2592"/>
            <w:vAlign w:val="center"/>
          </w:tcPr>
          <w:p>
            <w:pPr>
              <w:spacing w:line="252" w:lineRule="auto" w:before="20" w:after="20"/>
              <w:jc w:val="left"/>
            </w:pPr>
            <w:r>
              <w:rPr>
                <w:rFonts w:ascii="Times New Roman" w:hAnsi="Times New Roman"/>
                <w:sz w:val="18"/>
              </w:rPr>
              <w:t>Multi-Criteria Screening</w:t>
            </w:r>
          </w:p>
        </w:tc>
        <w:tc>
          <w:tcPr>
            <w:tcW w:type="dxa" w:w="4637"/>
            <w:vAlign w:val="center"/>
          </w:tcPr>
          <w:p>
            <w:pPr>
              <w:spacing w:line="252" w:lineRule="auto" w:before="20" w:after="20"/>
              <w:jc w:val="left"/>
            </w:pPr>
            <w:r>
              <w:rPr>
                <w:rFonts w:ascii="Times New Roman" w:hAnsi="Times New Roman"/>
                <w:sz w:val="18"/>
              </w:rPr>
              <w:t>Execute SQL-filtered property screening based on numerical thresholds, category masks, and environment limits.</w:t>
            </w:r>
          </w:p>
        </w:tc>
      </w:tr>
      <w:tr>
        <w:trPr>
          <w:cantSplit/>
        </w:trPr>
        <w:tc>
          <w:tcPr>
            <w:tcW w:type="dxa" w:w="1440"/>
            <w:shd w:val="clear" w:color="auto" w:fill="FAFBFC"/>
            <w:vAlign w:val="center"/>
          </w:tcPr>
          <w:p>
            <w:pPr>
              <w:spacing w:line="252" w:lineRule="auto" w:before="20" w:after="20"/>
              <w:jc w:val="left"/>
            </w:pPr>
            <w:r>
              <w:rPr>
                <w:rFonts w:ascii="Times New Roman" w:hAnsi="Times New Roman"/>
                <w:sz w:val="18"/>
              </w:rPr>
              <w:t>FR-3</w:t>
            </w:r>
          </w:p>
        </w:tc>
        <w:tc>
          <w:tcPr>
            <w:tcW w:type="dxa" w:w="2592"/>
            <w:shd w:val="clear" w:color="auto" w:fill="FAFBFC"/>
            <w:vAlign w:val="center"/>
          </w:tcPr>
          <w:p>
            <w:pPr>
              <w:spacing w:line="252" w:lineRule="auto" w:before="20" w:after="20"/>
              <w:jc w:val="left"/>
            </w:pPr>
            <w:r>
              <w:rPr>
                <w:rFonts w:ascii="Times New Roman" w:hAnsi="Times New Roman"/>
                <w:sz w:val="18"/>
              </w:rPr>
              <w:t>Weighted Priority Scoring</w:t>
            </w:r>
          </w:p>
        </w:tc>
        <w:tc>
          <w:tcPr>
            <w:tcW w:type="dxa" w:w="4637"/>
            <w:shd w:val="clear" w:color="auto" w:fill="FAFBFC"/>
            <w:vAlign w:val="center"/>
          </w:tcPr>
          <w:p>
            <w:pPr>
              <w:spacing w:line="252" w:lineRule="auto" w:before="20" w:after="20"/>
              <w:jc w:val="left"/>
            </w:pPr>
            <w:r>
              <w:rPr>
                <w:rFonts w:ascii="Times New Roman" w:hAnsi="Times New Roman"/>
                <w:sz w:val="18"/>
              </w:rPr>
              <w:t>Compute normalized composite scores based on user-allocated weights across strength, lightness, stiffness, thermal, and cost.</w:t>
            </w:r>
          </w:p>
        </w:tc>
      </w:tr>
      <w:tr>
        <w:trPr>
          <w:cantSplit/>
        </w:trPr>
        <w:tc>
          <w:tcPr>
            <w:tcW w:type="dxa" w:w="1440"/>
            <w:vAlign w:val="center"/>
          </w:tcPr>
          <w:p>
            <w:pPr>
              <w:spacing w:line="252" w:lineRule="auto" w:before="20" w:after="20"/>
              <w:jc w:val="left"/>
            </w:pPr>
            <w:r>
              <w:rPr>
                <w:rFonts w:ascii="Times New Roman" w:hAnsi="Times New Roman"/>
                <w:sz w:val="18"/>
              </w:rPr>
              <w:t>FR-4</w:t>
            </w:r>
          </w:p>
        </w:tc>
        <w:tc>
          <w:tcPr>
            <w:tcW w:type="dxa" w:w="2592"/>
            <w:vAlign w:val="center"/>
          </w:tcPr>
          <w:p>
            <w:pPr>
              <w:spacing w:line="252" w:lineRule="auto" w:before="20" w:after="20"/>
              <w:jc w:val="left"/>
            </w:pPr>
            <w:r>
              <w:rPr>
                <w:rFonts w:ascii="Times New Roman" w:hAnsi="Times New Roman"/>
                <w:sz w:val="18"/>
              </w:rPr>
              <w:t>Provenance Auditing</w:t>
            </w:r>
          </w:p>
        </w:tc>
        <w:tc>
          <w:tcPr>
            <w:tcW w:type="dxa" w:w="4637"/>
            <w:vAlign w:val="center"/>
          </w:tcPr>
          <w:p>
            <w:pPr>
              <w:spacing w:line="252" w:lineRule="auto" w:before="20" w:after="20"/>
              <w:jc w:val="left"/>
            </w:pPr>
            <w:r>
              <w:rPr>
                <w:rFonts w:ascii="Times New Roman" w:hAnsi="Times New Roman"/>
                <w:sz w:val="18"/>
              </w:rPr>
              <w:t>Display upstream repository URL, license classification, checksum, and experimental versus computational evidence kind.</w:t>
            </w:r>
          </w:p>
        </w:tc>
      </w:tr>
      <w:tr>
        <w:trPr>
          <w:cantSplit/>
        </w:trPr>
        <w:tc>
          <w:tcPr>
            <w:tcW w:type="dxa" w:w="1440"/>
            <w:shd w:val="clear" w:color="auto" w:fill="FAFBFC"/>
            <w:vAlign w:val="center"/>
          </w:tcPr>
          <w:p>
            <w:pPr>
              <w:spacing w:line="252" w:lineRule="auto" w:before="20" w:after="20"/>
              <w:jc w:val="left"/>
            </w:pPr>
            <w:r>
              <w:rPr>
                <w:rFonts w:ascii="Times New Roman" w:hAnsi="Times New Roman"/>
                <w:sz w:val="18"/>
              </w:rPr>
              <w:t>FR-5</w:t>
            </w:r>
          </w:p>
        </w:tc>
        <w:tc>
          <w:tcPr>
            <w:tcW w:type="dxa" w:w="2592"/>
            <w:shd w:val="clear" w:color="auto" w:fill="FAFBFC"/>
            <w:vAlign w:val="center"/>
          </w:tcPr>
          <w:p>
            <w:pPr>
              <w:spacing w:line="252" w:lineRule="auto" w:before="20" w:after="20"/>
              <w:jc w:val="left"/>
            </w:pPr>
            <w:r>
              <w:rPr>
                <w:rFonts w:ascii="Times New Roman" w:hAnsi="Times New Roman"/>
                <w:sz w:val="18"/>
              </w:rPr>
              <w:t>Material Comparison</w:t>
            </w:r>
          </w:p>
        </w:tc>
        <w:tc>
          <w:tcPr>
            <w:tcW w:type="dxa" w:w="4637"/>
            <w:shd w:val="clear" w:color="auto" w:fill="FAFBFC"/>
            <w:vAlign w:val="center"/>
          </w:tcPr>
          <w:p>
            <w:pPr>
              <w:spacing w:line="252" w:lineRule="auto" w:before="20" w:after="20"/>
              <w:jc w:val="left"/>
            </w:pPr>
            <w:r>
              <w:rPr>
                <w:rFonts w:ascii="Times New Roman" w:hAnsi="Times New Roman"/>
                <w:sz w:val="18"/>
              </w:rPr>
              <w:t>Render tabular side-by-side property comparisons with delta highlighting for up to 4 shortlisted materials.</w:t>
            </w:r>
          </w:p>
        </w:tc>
      </w:tr>
      <w:tr>
        <w:trPr>
          <w:cantSplit/>
        </w:trPr>
        <w:tc>
          <w:tcPr>
            <w:tcW w:type="dxa" w:w="1440"/>
            <w:vAlign w:val="center"/>
          </w:tcPr>
          <w:p>
            <w:pPr>
              <w:spacing w:line="252" w:lineRule="auto" w:before="20" w:after="20"/>
              <w:jc w:val="left"/>
            </w:pPr>
            <w:r>
              <w:rPr>
                <w:rFonts w:ascii="Times New Roman" w:hAnsi="Times New Roman"/>
                <w:sz w:val="18"/>
              </w:rPr>
              <w:t>FR-6</w:t>
            </w:r>
          </w:p>
        </w:tc>
        <w:tc>
          <w:tcPr>
            <w:tcW w:type="dxa" w:w="2592"/>
            <w:vAlign w:val="center"/>
          </w:tcPr>
          <w:p>
            <w:pPr>
              <w:spacing w:line="252" w:lineRule="auto" w:before="20" w:after="20"/>
              <w:jc w:val="left"/>
            </w:pPr>
            <w:r>
              <w:rPr>
                <w:rFonts w:ascii="Times New Roman" w:hAnsi="Times New Roman"/>
                <w:sz w:val="18"/>
              </w:rPr>
              <w:t>Project Workspace</w:t>
            </w:r>
          </w:p>
        </w:tc>
        <w:tc>
          <w:tcPr>
            <w:tcW w:type="dxa" w:w="4637"/>
            <w:vAlign w:val="center"/>
          </w:tcPr>
          <w:p>
            <w:pPr>
              <w:spacing w:line="252" w:lineRule="auto" w:before="20" w:after="20"/>
              <w:jc w:val="left"/>
            </w:pPr>
            <w:r>
              <w:rPr>
                <w:rFonts w:ascii="Times New Roman" w:hAnsi="Times New Roman"/>
                <w:sz w:val="18"/>
              </w:rPr>
              <w:t>Create named engineering projects, save requirement parameters, shortlist candidates, and share access via RBAC.</w:t>
            </w:r>
          </w:p>
        </w:tc>
      </w:tr>
      <w:tr>
        <w:trPr>
          <w:cantSplit/>
        </w:trPr>
        <w:tc>
          <w:tcPr>
            <w:tcW w:type="dxa" w:w="1440"/>
            <w:shd w:val="clear" w:color="auto" w:fill="FAFBFC"/>
            <w:vAlign w:val="center"/>
          </w:tcPr>
          <w:p>
            <w:pPr>
              <w:spacing w:line="252" w:lineRule="auto" w:before="20" w:after="20"/>
              <w:jc w:val="left"/>
            </w:pPr>
            <w:r>
              <w:rPr>
                <w:rFonts w:ascii="Times New Roman" w:hAnsi="Times New Roman"/>
                <w:sz w:val="18"/>
              </w:rPr>
              <w:t>NFR-1</w:t>
            </w:r>
          </w:p>
        </w:tc>
        <w:tc>
          <w:tcPr>
            <w:tcW w:type="dxa" w:w="2592"/>
            <w:shd w:val="clear" w:color="auto" w:fill="FAFBFC"/>
            <w:vAlign w:val="center"/>
          </w:tcPr>
          <w:p>
            <w:pPr>
              <w:spacing w:line="252" w:lineRule="auto" w:before="20" w:after="20"/>
              <w:jc w:val="left"/>
            </w:pPr>
            <w:r>
              <w:rPr>
                <w:rFonts w:ascii="Times New Roman" w:hAnsi="Times New Roman"/>
                <w:sz w:val="18"/>
              </w:rPr>
              <w:t>Scalability &amp; Performance</w:t>
            </w:r>
          </w:p>
        </w:tc>
        <w:tc>
          <w:tcPr>
            <w:tcW w:type="dxa" w:w="4637"/>
            <w:shd w:val="clear" w:color="auto" w:fill="FAFBFC"/>
            <w:vAlign w:val="center"/>
          </w:tcPr>
          <w:p>
            <w:pPr>
              <w:spacing w:line="252" w:lineRule="auto" w:before="20" w:after="20"/>
              <w:jc w:val="left"/>
            </w:pPr>
            <w:r>
              <w:rPr>
                <w:rFonts w:ascii="Times New Roman" w:hAnsi="Times New Roman"/>
                <w:sz w:val="18"/>
              </w:rPr>
              <w:t>Execute indexed candidate queries across 6.26M+ records in under 20ms on dedicated MySQL 8.4 and TiDB Cloud.</w:t>
            </w:r>
          </w:p>
        </w:tc>
      </w:tr>
      <w:tr>
        <w:trPr>
          <w:cantSplit/>
        </w:trPr>
        <w:tc>
          <w:tcPr>
            <w:tcW w:type="dxa" w:w="1440"/>
            <w:vAlign w:val="center"/>
          </w:tcPr>
          <w:p>
            <w:pPr>
              <w:spacing w:line="252" w:lineRule="auto" w:before="20" w:after="20"/>
              <w:jc w:val="left"/>
            </w:pPr>
            <w:r>
              <w:rPr>
                <w:rFonts w:ascii="Times New Roman" w:hAnsi="Times New Roman"/>
                <w:sz w:val="18"/>
              </w:rPr>
              <w:t>NFR-2</w:t>
            </w:r>
          </w:p>
        </w:tc>
        <w:tc>
          <w:tcPr>
            <w:tcW w:type="dxa" w:w="2592"/>
            <w:vAlign w:val="center"/>
          </w:tcPr>
          <w:p>
            <w:pPr>
              <w:spacing w:line="252" w:lineRule="auto" w:before="20" w:after="20"/>
              <w:jc w:val="left"/>
            </w:pPr>
            <w:r>
              <w:rPr>
                <w:rFonts w:ascii="Times New Roman" w:hAnsi="Times New Roman"/>
                <w:sz w:val="18"/>
              </w:rPr>
              <w:t>Data Integrity</w:t>
            </w:r>
          </w:p>
        </w:tc>
        <w:tc>
          <w:tcPr>
            <w:tcW w:type="dxa" w:w="4637"/>
            <w:vAlign w:val="center"/>
          </w:tcPr>
          <w:p>
            <w:pPr>
              <w:spacing w:line="252" w:lineRule="auto" w:before="20" w:after="20"/>
              <w:jc w:val="left"/>
            </w:pPr>
            <w:r>
              <w:rPr>
                <w:rFonts w:ascii="Times New Roman" w:hAnsi="Times New Roman"/>
                <w:sz w:val="18"/>
              </w:rPr>
              <w:t>Enforce relational foreign keys, unique constraint indexes, atomic batch ETL transactions, and non-imputation of missing properties.</w:t>
            </w:r>
          </w:p>
        </w:tc>
      </w:tr>
    </w:tbl>
    <w:p>
      <w:pPr>
        <w:keepNext/>
        <w:spacing w:before="240" w:after="80"/>
        <w:jc w:val="left"/>
      </w:pPr>
      <w:r>
        <w:rPr>
          <w:rFonts w:ascii="Times New Roman" w:hAnsi="Times New Roman"/>
          <w:b/>
          <w:sz w:val="26"/>
        </w:rPr>
        <w:t>2.4 System Architecture</w:t>
      </w:r>
    </w:p>
    <w:p>
      <w:pPr>
        <w:spacing w:before="0" w:after="80" w:line="324" w:lineRule="auto"/>
        <w:jc w:val="both"/>
      </w:pPr>
      <w:r>
        <w:rPr>
          <w:rFonts w:ascii="Times New Roman" w:hAnsi="Times New Roman"/>
          <w:b w:val="0"/>
          <w:i w:val="0"/>
          <w:sz w:val="24"/>
        </w:rPr>
        <w:t>Starbase is architected as a decoupled, multi-tier system comprising a presentation tier, an application tier, a relational data tier, and an offline bulk ingestion pipeline. Figure 2.1 illustrates the structural relationship between these architectural layers.</w:t>
      </w:r>
    </w:p>
    <w:p>
      <w:pPr>
        <w:keepNext/>
        <w:spacing w:before="160" w:after="40"/>
        <w:jc w:val="center"/>
      </w:pPr>
      <w:r>
        <w:drawing>
          <wp:inline xmlns:a="http://schemas.openxmlformats.org/drawingml/2006/main" xmlns:pic="http://schemas.openxmlformats.org/drawingml/2006/picture">
            <wp:extent cx="5486400" cy="4626864"/>
            <wp:docPr id="2" name="Picture 2"/>
            <wp:cNvGraphicFramePr>
              <a:graphicFrameLocks noChangeAspect="1"/>
            </wp:cNvGraphicFramePr>
            <a:graphic>
              <a:graphicData uri="http://schemas.openxmlformats.org/drawingml/2006/picture">
                <pic:pic>
                  <pic:nvPicPr>
                    <pic:cNvPr id="0" name="Fig2-1_System_Architecture.png"/>
                    <pic:cNvPicPr/>
                  </pic:nvPicPr>
                  <pic:blipFill>
                    <a:blip r:embed="rId12"/>
                    <a:stretch>
                      <a:fillRect/>
                    </a:stretch>
                  </pic:blipFill>
                  <pic:spPr>
                    <a:xfrm>
                      <a:off x="0" y="0"/>
                      <a:ext cx="5486400" cy="4626864"/>
                    </a:xfrm>
                    <a:prstGeom prst="rect"/>
                  </pic:spPr>
                </pic:pic>
              </a:graphicData>
            </a:graphic>
          </wp:inline>
        </w:drawing>
      </w:r>
    </w:p>
    <w:p>
      <w:pPr>
        <w:keepNext w:val="0"/>
        <w:spacing w:before="40" w:after="200"/>
        <w:jc w:val="center"/>
      </w:pPr>
      <w:r>
        <w:rPr>
          <w:rFonts w:ascii="Times New Roman" w:hAnsi="Times New Roman"/>
          <w:b/>
          <w:sz w:val="21"/>
        </w:rPr>
        <w:t>Figure 2.1 — Starbase three-tier system architecture and offline ingestion pipeline.</w:t>
      </w:r>
    </w:p>
    <w:p>
      <w:pPr>
        <w:spacing w:before="0" w:after="80" w:line="324" w:lineRule="auto"/>
        <w:jc w:val="both"/>
      </w:pPr>
      <w:r>
        <w:rPr>
          <w:rFonts w:ascii="Times New Roman" w:hAnsi="Times New Roman"/>
          <w:b w:val="0"/>
          <w:i w:val="0"/>
          <w:sz w:val="24"/>
        </w:rPr>
        <w:t>The architectural tiers fulfill the following responsibilities:</w:t>
      </w:r>
    </w:p>
    <w:p>
      <w:pPr>
        <w:pStyle w:val="ListBullet"/>
        <w:spacing w:before="20" w:after="60" w:line="312" w:lineRule="auto"/>
        <w:ind w:left="432"/>
        <w:jc w:val="both"/>
      </w:pPr>
      <w:r>
        <w:rPr>
          <w:rFonts w:ascii="Times New Roman" w:hAnsi="Times New Roman"/>
          <w:b/>
          <w:sz w:val="24"/>
        </w:rPr>
        <w:t xml:space="preserve">Presentation Tier: </w:t>
      </w:r>
      <w:r>
        <w:rPr>
          <w:rFonts w:ascii="Times New Roman" w:hAnsi="Times New Roman"/>
          <w:sz w:val="24"/>
        </w:rPr>
        <w:t>Implemented in React 18 with modern component-driven styling. Communicates with backend services over asynchronous RESTful HTTP calls, managing local client-side state for real-time slider adjustments and comparative views.</w:t>
      </w:r>
    </w:p>
    <w:p>
      <w:pPr>
        <w:pStyle w:val="ListBullet"/>
        <w:spacing w:before="20" w:after="60" w:line="312" w:lineRule="auto"/>
        <w:ind w:left="432"/>
        <w:jc w:val="both"/>
      </w:pPr>
      <w:r>
        <w:rPr>
          <w:rFonts w:ascii="Times New Roman" w:hAnsi="Times New Roman"/>
          <w:b/>
          <w:sz w:val="24"/>
        </w:rPr>
        <w:t xml:space="preserve">Application Tier: </w:t>
      </w:r>
      <w:r>
        <w:rPr>
          <w:rFonts w:ascii="Times New Roman" w:hAnsi="Times New Roman"/>
          <w:sz w:val="24"/>
        </w:rPr>
        <w:t>Built with Node.js and Express 5, providing RESTful API controllers, JWT authentication, query parameter sanitization, and the multi-criteria ranking engine.</w:t>
      </w:r>
    </w:p>
    <w:p>
      <w:pPr>
        <w:pStyle w:val="ListBullet"/>
        <w:spacing w:before="20" w:after="60" w:line="312" w:lineRule="auto"/>
        <w:ind w:left="432"/>
        <w:jc w:val="both"/>
      </w:pPr>
      <w:r>
        <w:rPr>
          <w:rFonts w:ascii="Times New Roman" w:hAnsi="Times New Roman"/>
          <w:b/>
          <w:sz w:val="24"/>
        </w:rPr>
        <w:t xml:space="preserve">Data Tier: </w:t>
      </w:r>
      <w:r>
        <w:rPr>
          <w:rFonts w:ascii="Times New Roman" w:hAnsi="Times New Roman"/>
          <w:sz w:val="24"/>
        </w:rPr>
        <w:t>A high-performance relational database engine (MySQL 8.4 locally and TiDB Serverless in the cloud) managing core entity tables, property dictionaries, composite indexes, and project collaboration schemas.</w:t>
      </w:r>
    </w:p>
    <w:p>
      <w:pPr>
        <w:pStyle w:val="ListBullet"/>
        <w:spacing w:before="20" w:after="60" w:line="312" w:lineRule="auto"/>
        <w:ind w:left="432"/>
        <w:jc w:val="both"/>
      </w:pPr>
      <w:r>
        <w:rPr>
          <w:rFonts w:ascii="Times New Roman" w:hAnsi="Times New Roman"/>
          <w:b/>
          <w:sz w:val="24"/>
        </w:rPr>
        <w:t xml:space="preserve">Offline Ingestion Pipeline: </w:t>
      </w:r>
      <w:r>
        <w:rPr>
          <w:rFonts w:ascii="Times New Roman" w:hAnsi="Times New Roman"/>
          <w:sz w:val="24"/>
        </w:rPr>
        <w:t>Python and Node.js extraction scripts that pull open datasets, unpack crystal lattices, compute cryptographic SHA-256 hashes, normalize units, and execute atomic batch SQL insertions.</w:t>
      </w:r>
    </w:p>
    <w:p>
      <w:pPr>
        <w:keepNext/>
        <w:spacing w:before="240" w:after="80"/>
        <w:jc w:val="left"/>
      </w:pPr>
      <w:r>
        <w:rPr>
          <w:rFonts w:ascii="Times New Roman" w:hAnsi="Times New Roman"/>
          <w:b/>
          <w:sz w:val="26"/>
        </w:rPr>
        <w:t>2.5 System Workflow</w:t>
      </w:r>
    </w:p>
    <w:p>
      <w:pPr>
        <w:spacing w:before="0" w:after="80" w:line="324" w:lineRule="auto"/>
        <w:jc w:val="both"/>
      </w:pPr>
      <w:r>
        <w:rPr>
          <w:rFonts w:ascii="Times New Roman" w:hAnsi="Times New Roman"/>
          <w:b w:val="0"/>
          <w:i w:val="0"/>
          <w:sz w:val="24"/>
        </w:rPr>
        <w:t>The end-to-end engineering selection workflow follows five discrete operational stages:</w:t>
      </w:r>
    </w:p>
    <w:p>
      <w:pPr>
        <w:pStyle w:val="ListBullet"/>
        <w:spacing w:before="20" w:after="60" w:line="312" w:lineRule="auto"/>
        <w:ind w:left="432"/>
        <w:jc w:val="both"/>
      </w:pPr>
      <w:r>
        <w:rPr>
          <w:rFonts w:ascii="Times New Roman" w:hAnsi="Times New Roman"/>
          <w:b/>
          <w:sz w:val="24"/>
        </w:rPr>
        <w:t xml:space="preserve">1. Requirement Specification: </w:t>
      </w:r>
      <w:r>
        <w:rPr>
          <w:rFonts w:ascii="Times New Roman" w:hAnsi="Times New Roman"/>
          <w:sz w:val="24"/>
        </w:rPr>
        <w:t>The engineer establishes non-negotiable physical constraints (e.g., Yield Strength ≥ 450 MPa, Max Density ≤ 4.5 g/cm³) and specifies relative priority weights for optimization goals.</w:t>
      </w:r>
    </w:p>
    <w:p>
      <w:pPr>
        <w:pStyle w:val="ListBullet"/>
        <w:spacing w:before="20" w:after="60" w:line="312" w:lineRule="auto"/>
        <w:ind w:left="432"/>
        <w:jc w:val="both"/>
      </w:pPr>
      <w:r>
        <w:rPr>
          <w:rFonts w:ascii="Times New Roman" w:hAnsi="Times New Roman"/>
          <w:b/>
          <w:sz w:val="24"/>
        </w:rPr>
        <w:t xml:space="preserve">2. Indexed SQL Candidate Screening: </w:t>
      </w:r>
      <w:r>
        <w:rPr>
          <w:rFonts w:ascii="Times New Roman" w:hAnsi="Times New Roman"/>
          <w:sz w:val="24"/>
        </w:rPr>
        <w:t>The backend maps specified criteria to database property keys, executing parameterized queries against composite indexes to filter eligible candidates.</w:t>
      </w:r>
    </w:p>
    <w:p>
      <w:pPr>
        <w:pStyle w:val="ListBullet"/>
        <w:spacing w:before="20" w:after="60" w:line="312" w:lineRule="auto"/>
        <w:ind w:left="432"/>
        <w:jc w:val="both"/>
      </w:pPr>
      <w:r>
        <w:rPr>
          <w:rFonts w:ascii="Times New Roman" w:hAnsi="Times New Roman"/>
          <w:b/>
          <w:sz w:val="24"/>
        </w:rPr>
        <w:t xml:space="preserve">3. Min-Max Normalization: </w:t>
      </w:r>
      <w:r>
        <w:rPr>
          <w:rFonts w:ascii="Times New Roman" w:hAnsi="Times New Roman"/>
          <w:sz w:val="24"/>
        </w:rPr>
        <w:t>For surviving candidates, each property value is normalized against global catalog extremes to generate dimensionless metrics between 0.0 and 1.0.</w:t>
      </w:r>
    </w:p>
    <w:p>
      <w:pPr>
        <w:pStyle w:val="ListBullet"/>
        <w:spacing w:before="20" w:after="60" w:line="312" w:lineRule="auto"/>
        <w:ind w:left="432"/>
        <w:jc w:val="both"/>
      </w:pPr>
      <w:r>
        <w:rPr>
          <w:rFonts w:ascii="Times New Roman" w:hAnsi="Times New Roman"/>
          <w:b/>
          <w:sz w:val="24"/>
        </w:rPr>
        <w:t xml:space="preserve">4. Composite Scoring &amp; Ranking: </w:t>
      </w:r>
      <w:r>
        <w:rPr>
          <w:rFonts w:ascii="Times New Roman" w:hAnsi="Times New Roman"/>
          <w:sz w:val="24"/>
        </w:rPr>
        <w:t>Normalized metrics are multiplied by user priority weights to produce an overall suitability score. Disqualified materials are categorized with explicit exclusion reasons.</w:t>
      </w:r>
    </w:p>
    <w:p>
      <w:pPr>
        <w:pStyle w:val="ListBullet"/>
        <w:spacing w:before="20" w:after="60" w:line="312" w:lineRule="auto"/>
        <w:ind w:left="432"/>
        <w:jc w:val="both"/>
      </w:pPr>
      <w:r>
        <w:rPr>
          <w:rFonts w:ascii="Times New Roman" w:hAnsi="Times New Roman"/>
          <w:b/>
          <w:sz w:val="24"/>
        </w:rPr>
        <w:t xml:space="preserve">5. Workspace Collaboration: </w:t>
      </w:r>
      <w:r>
        <w:rPr>
          <w:rFonts w:ascii="Times New Roman" w:hAnsi="Times New Roman"/>
          <w:sz w:val="24"/>
        </w:rPr>
        <w:t>The resulting shortlist is persisted to the engineer's project workspace, enabling team-wide reviews, note additions, and side-by-side comparative trade-off studies.</w:t>
      </w:r>
    </w:p>
    <w:p>
      <w:pPr>
        <w:spacing w:before="0" w:after="80" w:line="324" w:lineRule="auto"/>
        <w:jc w:val="both"/>
      </w:pPr>
      <w:r>
        <w:rPr>
          <w:rFonts w:ascii="Times New Roman" w:hAnsi="Times New Roman"/>
          <w:b w:val="0"/>
          <w:i w:val="0"/>
          <w:sz w:val="24"/>
        </w:rPr>
        <w:t>Figure 2.2 illustrates the detailed multi-criteria screening, property validation, min-max normalization, and weighted priority ranking algorithm flowchart implemented across the SQL query engine and Node.js application tier.</w:t>
      </w:r>
    </w:p>
    <w:p>
      <w:pPr>
        <w:keepNext/>
        <w:spacing w:before="160" w:after="40"/>
        <w:jc w:val="center"/>
      </w:pPr>
      <w:r>
        <w:drawing>
          <wp:inline xmlns:a="http://schemas.openxmlformats.org/drawingml/2006/main" xmlns:pic="http://schemas.openxmlformats.org/drawingml/2006/picture">
            <wp:extent cx="5486400" cy="4937760"/>
            <wp:docPr id="3" name="Picture 3"/>
            <wp:cNvGraphicFramePr>
              <a:graphicFrameLocks noChangeAspect="1"/>
            </wp:cNvGraphicFramePr>
            <a:graphic>
              <a:graphicData uri="http://schemas.openxmlformats.org/drawingml/2006/picture">
                <pic:pic>
                  <pic:nvPicPr>
                    <pic:cNvPr id="0" name="Fig2-4_Selection_Algorithm.png"/>
                    <pic:cNvPicPr/>
                  </pic:nvPicPr>
                  <pic:blipFill>
                    <a:blip r:embed="rId13"/>
                    <a:stretch>
                      <a:fillRect/>
                    </a:stretch>
                  </pic:blipFill>
                  <pic:spPr>
                    <a:xfrm>
                      <a:off x="0" y="0"/>
                      <a:ext cx="5486400" cy="4937760"/>
                    </a:xfrm>
                    <a:prstGeom prst="rect"/>
                  </pic:spPr>
                </pic:pic>
              </a:graphicData>
            </a:graphic>
          </wp:inline>
        </w:drawing>
      </w:r>
    </w:p>
    <w:p>
      <w:pPr>
        <w:keepNext w:val="0"/>
        <w:spacing w:before="40" w:after="200"/>
        <w:jc w:val="center"/>
      </w:pPr>
      <w:r>
        <w:rPr>
          <w:rFonts w:ascii="Times New Roman" w:hAnsi="Times New Roman"/>
          <w:b/>
          <w:sz w:val="21"/>
        </w:rPr>
        <w:t>Figure 2.2 — Multi-criteria screening and weighted priority ranking algorithm flowchart.</w:t>
      </w:r>
    </w:p>
    <w:p>
      <w:pPr>
        <w:keepNext/>
        <w:spacing w:before="240" w:after="80"/>
        <w:jc w:val="left"/>
      </w:pPr>
      <w:r>
        <w:rPr>
          <w:rFonts w:ascii="Times New Roman" w:hAnsi="Times New Roman"/>
          <w:b/>
          <w:sz w:val="26"/>
        </w:rPr>
        <w:t>2.6 Dataflow Diagrams</w:t>
      </w:r>
    </w:p>
    <w:p>
      <w:pPr>
        <w:spacing w:before="0" w:after="80" w:line="324" w:lineRule="auto"/>
        <w:jc w:val="both"/>
      </w:pPr>
      <w:r>
        <w:rPr>
          <w:rFonts w:ascii="Times New Roman" w:hAnsi="Times New Roman"/>
          <w:b w:val="0"/>
          <w:i w:val="0"/>
          <w:sz w:val="24"/>
        </w:rPr>
        <w:t>The data interactions within Starbase are formalized through Level 0 and Level 1 Data Flow Diagrams (DFDs) shown in Figure 2.3 and Figure 2.4. Table 2.2 defines the functional processes and data store interactions.</w:t>
      </w:r>
    </w:p>
    <w:p>
      <w:pPr>
        <w:keepNext/>
        <w:spacing w:before="160" w:after="60"/>
        <w:jc w:val="left"/>
      </w:pPr>
      <w:r>
        <w:rPr>
          <w:rFonts w:ascii="Times New Roman" w:hAnsi="Times New Roman"/>
          <w:b/>
          <w:sz w:val="21"/>
        </w:rPr>
        <w:t>Table 2.2 — DFD Process Specifications and Data Store Interactions.</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166"/>
        <w:gridCol w:w="2166"/>
        <w:gridCol w:w="2166"/>
        <w:gridCol w:w="2166"/>
      </w:tblGrid>
      <w:tr>
        <w:trPr>
          <w:cantSplit/>
          <w:tblHeader/>
        </w:trPr>
        <w:tc>
          <w:tcPr>
            <w:tcW w:type="dxa" w:w="1296"/>
            <w:shd w:val="clear" w:color="auto" w:fill="EAEFF5"/>
            <w:vAlign w:val="center"/>
          </w:tcPr>
          <w:p>
            <w:pPr>
              <w:spacing w:line="252" w:lineRule="auto" w:before="40" w:after="40"/>
              <w:jc w:val="left"/>
            </w:pPr>
            <w:r>
              <w:rPr>
                <w:rFonts w:ascii="Times New Roman" w:hAnsi="Times New Roman"/>
                <w:b/>
                <w:sz w:val="19"/>
              </w:rPr>
              <w:t>Process ID</w:t>
            </w:r>
          </w:p>
        </w:tc>
        <w:tc>
          <w:tcPr>
            <w:tcW w:type="dxa" w:w="2592"/>
            <w:shd w:val="clear" w:color="auto" w:fill="EAEFF5"/>
            <w:vAlign w:val="center"/>
          </w:tcPr>
          <w:p>
            <w:pPr>
              <w:spacing w:line="252" w:lineRule="auto" w:before="40" w:after="40"/>
              <w:jc w:val="left"/>
            </w:pPr>
            <w:r>
              <w:rPr>
                <w:rFonts w:ascii="Times New Roman" w:hAnsi="Times New Roman"/>
                <w:b/>
                <w:sz w:val="19"/>
              </w:rPr>
              <w:t>Process Name</w:t>
            </w:r>
          </w:p>
        </w:tc>
        <w:tc>
          <w:tcPr>
            <w:tcW w:type="dxa" w:w="2592"/>
            <w:shd w:val="clear" w:color="auto" w:fill="EAEFF5"/>
            <w:vAlign w:val="center"/>
          </w:tcPr>
          <w:p>
            <w:pPr>
              <w:spacing w:line="252" w:lineRule="auto" w:before="40" w:after="40"/>
              <w:jc w:val="left"/>
            </w:pPr>
            <w:r>
              <w:rPr>
                <w:rFonts w:ascii="Times New Roman" w:hAnsi="Times New Roman"/>
                <w:b/>
                <w:sz w:val="19"/>
              </w:rPr>
              <w:t>Input Data Streams</w:t>
            </w:r>
          </w:p>
        </w:tc>
        <w:tc>
          <w:tcPr>
            <w:tcW w:type="dxa" w:w="2189"/>
            <w:shd w:val="clear" w:color="auto" w:fill="EAEFF5"/>
            <w:vAlign w:val="center"/>
          </w:tcPr>
          <w:p>
            <w:pPr>
              <w:spacing w:line="252" w:lineRule="auto" w:before="40" w:after="40"/>
              <w:jc w:val="left"/>
            </w:pPr>
            <w:r>
              <w:rPr>
                <w:rFonts w:ascii="Times New Roman" w:hAnsi="Times New Roman"/>
                <w:b/>
                <w:sz w:val="19"/>
              </w:rPr>
              <w:t>Data Stores &amp; Outputs</w:t>
            </w:r>
          </w:p>
        </w:tc>
      </w:tr>
      <w:tr>
        <w:trPr>
          <w:cantSplit/>
        </w:trPr>
        <w:tc>
          <w:tcPr>
            <w:tcW w:type="dxa" w:w="1296"/>
            <w:shd w:val="clear" w:color="auto" w:fill="FAFBFC"/>
            <w:vAlign w:val="center"/>
          </w:tcPr>
          <w:p>
            <w:pPr>
              <w:spacing w:line="252" w:lineRule="auto" w:before="20" w:after="20"/>
              <w:jc w:val="left"/>
            </w:pPr>
            <w:r>
              <w:rPr>
                <w:rFonts w:ascii="Times New Roman" w:hAnsi="Times New Roman"/>
                <w:sz w:val="18"/>
              </w:rPr>
              <w:t>P1</w:t>
            </w:r>
          </w:p>
        </w:tc>
        <w:tc>
          <w:tcPr>
            <w:tcW w:type="dxa" w:w="2592"/>
            <w:shd w:val="clear" w:color="auto" w:fill="FAFBFC"/>
            <w:vAlign w:val="center"/>
          </w:tcPr>
          <w:p>
            <w:pPr>
              <w:spacing w:line="252" w:lineRule="auto" w:before="20" w:after="20"/>
              <w:jc w:val="left"/>
            </w:pPr>
            <w:r>
              <w:rPr>
                <w:rFonts w:ascii="Times New Roman" w:hAnsi="Times New Roman"/>
                <w:sz w:val="18"/>
              </w:rPr>
              <w:t>User Authentication</w:t>
            </w:r>
          </w:p>
        </w:tc>
        <w:tc>
          <w:tcPr>
            <w:tcW w:type="dxa" w:w="2592"/>
            <w:shd w:val="clear" w:color="auto" w:fill="FAFBFC"/>
            <w:vAlign w:val="center"/>
          </w:tcPr>
          <w:p>
            <w:pPr>
              <w:spacing w:line="252" w:lineRule="auto" w:before="20" w:after="20"/>
              <w:jc w:val="left"/>
            </w:pPr>
            <w:r>
              <w:rPr>
                <w:rFonts w:ascii="Times New Roman" w:hAnsi="Times New Roman"/>
                <w:sz w:val="18"/>
              </w:rPr>
              <w:t>Credentials, registration data</w:t>
            </w:r>
          </w:p>
        </w:tc>
        <w:tc>
          <w:tcPr>
            <w:tcW w:type="dxa" w:w="2189"/>
            <w:shd w:val="clear" w:color="auto" w:fill="FAFBFC"/>
            <w:vAlign w:val="center"/>
          </w:tcPr>
          <w:p>
            <w:pPr>
              <w:spacing w:line="252" w:lineRule="auto" w:before="20" w:after="20"/>
              <w:jc w:val="left"/>
            </w:pPr>
            <w:r>
              <w:rPr>
                <w:rFonts w:ascii="Times New Roman" w:hAnsi="Times New Roman"/>
                <w:sz w:val="18"/>
              </w:rPr>
              <w:t>D1 (Users) -&gt; JWT Auth Token</w:t>
            </w:r>
          </w:p>
        </w:tc>
      </w:tr>
      <w:tr>
        <w:trPr>
          <w:cantSplit/>
        </w:trPr>
        <w:tc>
          <w:tcPr>
            <w:tcW w:type="dxa" w:w="1296"/>
            <w:vAlign w:val="center"/>
          </w:tcPr>
          <w:p>
            <w:pPr>
              <w:spacing w:line="252" w:lineRule="auto" w:before="20" w:after="20"/>
              <w:jc w:val="left"/>
            </w:pPr>
            <w:r>
              <w:rPr>
                <w:rFonts w:ascii="Times New Roman" w:hAnsi="Times New Roman"/>
                <w:sz w:val="18"/>
              </w:rPr>
              <w:t>P2</w:t>
            </w:r>
          </w:p>
        </w:tc>
        <w:tc>
          <w:tcPr>
            <w:tcW w:type="dxa" w:w="2592"/>
            <w:vAlign w:val="center"/>
          </w:tcPr>
          <w:p>
            <w:pPr>
              <w:spacing w:line="252" w:lineRule="auto" w:before="20" w:after="20"/>
              <w:jc w:val="left"/>
            </w:pPr>
            <w:r>
              <w:rPr>
                <w:rFonts w:ascii="Times New Roman" w:hAnsi="Times New Roman"/>
                <w:sz w:val="18"/>
              </w:rPr>
              <w:t>Catalog Exploration</w:t>
            </w:r>
          </w:p>
        </w:tc>
        <w:tc>
          <w:tcPr>
            <w:tcW w:type="dxa" w:w="2592"/>
            <w:vAlign w:val="center"/>
          </w:tcPr>
          <w:p>
            <w:pPr>
              <w:spacing w:line="252" w:lineRule="auto" w:before="20" w:after="20"/>
              <w:jc w:val="left"/>
            </w:pPr>
            <w:r>
              <w:rPr>
                <w:rFonts w:ascii="Times New Roman" w:hAnsi="Times New Roman"/>
                <w:sz w:val="18"/>
              </w:rPr>
              <w:t>Search query, filters, pagination</w:t>
            </w:r>
          </w:p>
        </w:tc>
        <w:tc>
          <w:tcPr>
            <w:tcW w:type="dxa" w:w="2189"/>
            <w:vAlign w:val="center"/>
          </w:tcPr>
          <w:p>
            <w:pPr>
              <w:spacing w:line="252" w:lineRule="auto" w:before="20" w:after="20"/>
              <w:jc w:val="left"/>
            </w:pPr>
            <w:r>
              <w:rPr>
                <w:rFonts w:ascii="Times New Roman" w:hAnsi="Times New Roman"/>
                <w:sz w:val="18"/>
              </w:rPr>
              <w:t>D2 (Catalog) -&gt; Material Summaries</w:t>
            </w:r>
          </w:p>
        </w:tc>
      </w:tr>
      <w:tr>
        <w:trPr>
          <w:cantSplit/>
        </w:trPr>
        <w:tc>
          <w:tcPr>
            <w:tcW w:type="dxa" w:w="1296"/>
            <w:shd w:val="clear" w:color="auto" w:fill="FAFBFC"/>
            <w:vAlign w:val="center"/>
          </w:tcPr>
          <w:p>
            <w:pPr>
              <w:spacing w:line="252" w:lineRule="auto" w:before="20" w:after="20"/>
              <w:jc w:val="left"/>
            </w:pPr>
            <w:r>
              <w:rPr>
                <w:rFonts w:ascii="Times New Roman" w:hAnsi="Times New Roman"/>
                <w:sz w:val="18"/>
              </w:rPr>
              <w:t>P3</w:t>
            </w:r>
          </w:p>
        </w:tc>
        <w:tc>
          <w:tcPr>
            <w:tcW w:type="dxa" w:w="2592"/>
            <w:shd w:val="clear" w:color="auto" w:fill="FAFBFC"/>
            <w:vAlign w:val="center"/>
          </w:tcPr>
          <w:p>
            <w:pPr>
              <w:spacing w:line="252" w:lineRule="auto" w:before="20" w:after="20"/>
              <w:jc w:val="left"/>
            </w:pPr>
            <w:r>
              <w:rPr>
                <w:rFonts w:ascii="Times New Roman" w:hAnsi="Times New Roman"/>
                <w:sz w:val="18"/>
              </w:rPr>
              <w:t>Multi-Criteria Screening</w:t>
            </w:r>
          </w:p>
        </w:tc>
        <w:tc>
          <w:tcPr>
            <w:tcW w:type="dxa" w:w="2592"/>
            <w:shd w:val="clear" w:color="auto" w:fill="FAFBFC"/>
            <w:vAlign w:val="center"/>
          </w:tcPr>
          <w:p>
            <w:pPr>
              <w:spacing w:line="252" w:lineRule="auto" w:before="20" w:after="20"/>
              <w:jc w:val="left"/>
            </w:pPr>
            <w:r>
              <w:rPr>
                <w:rFonts w:ascii="Times New Roman" w:hAnsi="Times New Roman"/>
                <w:sz w:val="18"/>
              </w:rPr>
              <w:t>Hard physical limits, property keys</w:t>
            </w:r>
          </w:p>
        </w:tc>
        <w:tc>
          <w:tcPr>
            <w:tcW w:type="dxa" w:w="2189"/>
            <w:shd w:val="clear" w:color="auto" w:fill="FAFBFC"/>
            <w:vAlign w:val="center"/>
          </w:tcPr>
          <w:p>
            <w:pPr>
              <w:spacing w:line="252" w:lineRule="auto" w:before="20" w:after="20"/>
              <w:jc w:val="left"/>
            </w:pPr>
            <w:r>
              <w:rPr>
                <w:rFonts w:ascii="Times New Roman" w:hAnsi="Times New Roman"/>
                <w:sz w:val="18"/>
              </w:rPr>
              <w:t>D2 (Catalog), D3 (Properties) -&gt; Candidate Set</w:t>
            </w:r>
          </w:p>
        </w:tc>
      </w:tr>
      <w:tr>
        <w:trPr>
          <w:cantSplit/>
        </w:trPr>
        <w:tc>
          <w:tcPr>
            <w:tcW w:type="dxa" w:w="1296"/>
            <w:vAlign w:val="center"/>
          </w:tcPr>
          <w:p>
            <w:pPr>
              <w:spacing w:line="252" w:lineRule="auto" w:before="20" w:after="20"/>
              <w:jc w:val="left"/>
            </w:pPr>
            <w:r>
              <w:rPr>
                <w:rFonts w:ascii="Times New Roman" w:hAnsi="Times New Roman"/>
                <w:sz w:val="18"/>
              </w:rPr>
              <w:t>P4</w:t>
            </w:r>
          </w:p>
        </w:tc>
        <w:tc>
          <w:tcPr>
            <w:tcW w:type="dxa" w:w="2592"/>
            <w:vAlign w:val="center"/>
          </w:tcPr>
          <w:p>
            <w:pPr>
              <w:spacing w:line="252" w:lineRule="auto" w:before="20" w:after="20"/>
              <w:jc w:val="left"/>
            </w:pPr>
            <w:r>
              <w:rPr>
                <w:rFonts w:ascii="Times New Roman" w:hAnsi="Times New Roman"/>
                <w:sz w:val="18"/>
              </w:rPr>
              <w:t>Scoring &amp; Ranking</w:t>
            </w:r>
          </w:p>
        </w:tc>
        <w:tc>
          <w:tcPr>
            <w:tcW w:type="dxa" w:w="2592"/>
            <w:vAlign w:val="center"/>
          </w:tcPr>
          <w:p>
            <w:pPr>
              <w:spacing w:line="252" w:lineRule="auto" w:before="20" w:after="20"/>
              <w:jc w:val="left"/>
            </w:pPr>
            <w:r>
              <w:rPr>
                <w:rFonts w:ascii="Times New Roman" w:hAnsi="Times New Roman"/>
                <w:sz w:val="18"/>
              </w:rPr>
              <w:t>Priority weights, component volume</w:t>
            </w:r>
          </w:p>
        </w:tc>
        <w:tc>
          <w:tcPr>
            <w:tcW w:type="dxa" w:w="2189"/>
            <w:vAlign w:val="center"/>
          </w:tcPr>
          <w:p>
            <w:pPr>
              <w:spacing w:line="252" w:lineRule="auto" w:before="20" w:after="20"/>
              <w:jc w:val="left"/>
            </w:pPr>
            <w:r>
              <w:rPr>
                <w:rFonts w:ascii="Times New Roman" w:hAnsi="Times New Roman"/>
                <w:sz w:val="18"/>
              </w:rPr>
              <w:t>Candidate Set -&gt; Ranked Shortlist &amp; Audit</w:t>
            </w:r>
          </w:p>
        </w:tc>
      </w:tr>
      <w:tr>
        <w:trPr>
          <w:cantSplit/>
        </w:trPr>
        <w:tc>
          <w:tcPr>
            <w:tcW w:type="dxa" w:w="1296"/>
            <w:shd w:val="clear" w:color="auto" w:fill="FAFBFC"/>
            <w:vAlign w:val="center"/>
          </w:tcPr>
          <w:p>
            <w:pPr>
              <w:spacing w:line="252" w:lineRule="auto" w:before="20" w:after="20"/>
              <w:jc w:val="left"/>
            </w:pPr>
            <w:r>
              <w:rPr>
                <w:rFonts w:ascii="Times New Roman" w:hAnsi="Times New Roman"/>
                <w:sz w:val="18"/>
              </w:rPr>
              <w:t>P5</w:t>
            </w:r>
          </w:p>
        </w:tc>
        <w:tc>
          <w:tcPr>
            <w:tcW w:type="dxa" w:w="2592"/>
            <w:shd w:val="clear" w:color="auto" w:fill="FAFBFC"/>
            <w:vAlign w:val="center"/>
          </w:tcPr>
          <w:p>
            <w:pPr>
              <w:spacing w:line="252" w:lineRule="auto" w:before="20" w:after="20"/>
              <w:jc w:val="left"/>
            </w:pPr>
            <w:r>
              <w:rPr>
                <w:rFonts w:ascii="Times New Roman" w:hAnsi="Times New Roman"/>
                <w:sz w:val="18"/>
              </w:rPr>
              <w:t>Project Management</w:t>
            </w:r>
          </w:p>
        </w:tc>
        <w:tc>
          <w:tcPr>
            <w:tcW w:type="dxa" w:w="2592"/>
            <w:shd w:val="clear" w:color="auto" w:fill="FAFBFC"/>
            <w:vAlign w:val="center"/>
          </w:tcPr>
          <w:p>
            <w:pPr>
              <w:spacing w:line="252" w:lineRule="auto" w:before="20" w:after="20"/>
              <w:jc w:val="left"/>
            </w:pPr>
            <w:r>
              <w:rPr>
                <w:rFonts w:ascii="Times New Roman" w:hAnsi="Times New Roman"/>
                <w:sz w:val="18"/>
              </w:rPr>
              <w:t>Requirements, shortlists, collaborators</w:t>
            </w:r>
          </w:p>
        </w:tc>
        <w:tc>
          <w:tcPr>
            <w:tcW w:type="dxa" w:w="2189"/>
            <w:shd w:val="clear" w:color="auto" w:fill="FAFBFC"/>
            <w:vAlign w:val="center"/>
          </w:tcPr>
          <w:p>
            <w:pPr>
              <w:spacing w:line="252" w:lineRule="auto" w:before="20" w:after="20"/>
              <w:jc w:val="left"/>
            </w:pPr>
            <w:r>
              <w:rPr>
                <w:rFonts w:ascii="Times New Roman" w:hAnsi="Times New Roman"/>
                <w:sz w:val="18"/>
              </w:rPr>
              <w:t>D4 (Projects) -&gt; Persisted Workspace</w:t>
            </w:r>
          </w:p>
        </w:tc>
      </w:tr>
      <w:tr>
        <w:trPr>
          <w:cantSplit/>
        </w:trPr>
        <w:tc>
          <w:tcPr>
            <w:tcW w:type="dxa" w:w="1296"/>
            <w:vAlign w:val="center"/>
          </w:tcPr>
          <w:p>
            <w:pPr>
              <w:spacing w:line="252" w:lineRule="auto" w:before="20" w:after="20"/>
              <w:jc w:val="left"/>
            </w:pPr>
            <w:r>
              <w:rPr>
                <w:rFonts w:ascii="Times New Roman" w:hAnsi="Times New Roman"/>
                <w:sz w:val="18"/>
              </w:rPr>
              <w:t>P6</w:t>
            </w:r>
          </w:p>
        </w:tc>
        <w:tc>
          <w:tcPr>
            <w:tcW w:type="dxa" w:w="2592"/>
            <w:vAlign w:val="center"/>
          </w:tcPr>
          <w:p>
            <w:pPr>
              <w:spacing w:line="252" w:lineRule="auto" w:before="20" w:after="20"/>
              <w:jc w:val="left"/>
            </w:pPr>
            <w:r>
              <w:rPr>
                <w:rFonts w:ascii="Times New Roman" w:hAnsi="Times New Roman"/>
                <w:sz w:val="18"/>
              </w:rPr>
              <w:t>Catalog Data Ingestion</w:t>
            </w:r>
          </w:p>
        </w:tc>
        <w:tc>
          <w:tcPr>
            <w:tcW w:type="dxa" w:w="2592"/>
            <w:vAlign w:val="center"/>
          </w:tcPr>
          <w:p>
            <w:pPr>
              <w:spacing w:line="252" w:lineRule="auto" w:before="20" w:after="20"/>
              <w:jc w:val="left"/>
            </w:pPr>
            <w:r>
              <w:rPr>
                <w:rFonts w:ascii="Times New Roman" w:hAnsi="Times New Roman"/>
                <w:sz w:val="18"/>
              </w:rPr>
              <w:t>Raw source files (JSON, CSV, CIF)</w:t>
            </w:r>
          </w:p>
        </w:tc>
        <w:tc>
          <w:tcPr>
            <w:tcW w:type="dxa" w:w="2189"/>
            <w:vAlign w:val="center"/>
          </w:tcPr>
          <w:p>
            <w:pPr>
              <w:spacing w:line="252" w:lineRule="auto" w:before="20" w:after="20"/>
              <w:jc w:val="left"/>
            </w:pPr>
            <w:r>
              <w:rPr>
                <w:rFonts w:ascii="Times New Roman" w:hAnsi="Times New Roman"/>
                <w:sz w:val="18"/>
              </w:rPr>
              <w:t>D2 (Catalog), D3 (Properties) -&gt; Database Rows</w:t>
            </w:r>
          </w:p>
        </w:tc>
      </w:tr>
    </w:tbl>
    <w:p>
      <w:pPr>
        <w:keepNext/>
        <w:spacing w:before="160" w:after="40"/>
        <w:jc w:val="center"/>
      </w:pPr>
      <w:r>
        <w:drawing>
          <wp:inline xmlns:a="http://schemas.openxmlformats.org/drawingml/2006/main" xmlns:pic="http://schemas.openxmlformats.org/drawingml/2006/picture">
            <wp:extent cx="5303520" cy="2828544"/>
            <wp:docPr id="4" name="Picture 4"/>
            <wp:cNvGraphicFramePr>
              <a:graphicFrameLocks noChangeAspect="1"/>
            </wp:cNvGraphicFramePr>
            <a:graphic>
              <a:graphicData uri="http://schemas.openxmlformats.org/drawingml/2006/picture">
                <pic:pic>
                  <pic:nvPicPr>
                    <pic:cNvPr id="0" name="Fig2-2_DFD_Level0.png"/>
                    <pic:cNvPicPr/>
                  </pic:nvPicPr>
                  <pic:blipFill>
                    <a:blip r:embed="rId14"/>
                    <a:stretch>
                      <a:fillRect/>
                    </a:stretch>
                  </pic:blipFill>
                  <pic:spPr>
                    <a:xfrm>
                      <a:off x="0" y="0"/>
                      <a:ext cx="5303520" cy="2828544"/>
                    </a:xfrm>
                    <a:prstGeom prst="rect"/>
                  </pic:spPr>
                </pic:pic>
              </a:graphicData>
            </a:graphic>
          </wp:inline>
        </w:drawing>
      </w:r>
    </w:p>
    <w:p>
      <w:pPr>
        <w:keepNext w:val="0"/>
        <w:spacing w:before="40" w:after="200"/>
        <w:jc w:val="center"/>
      </w:pPr>
      <w:r>
        <w:rPr>
          <w:rFonts w:ascii="Times New Roman" w:hAnsi="Times New Roman"/>
          <w:b/>
          <w:sz w:val="21"/>
        </w:rPr>
        <w:t>Figure 2.3 — Level 0 Data Flow Diagram (Context Analysis).</w:t>
      </w:r>
    </w:p>
    <w:p>
      <w:pPr>
        <w:keepNext/>
        <w:spacing w:before="160" w:after="40"/>
        <w:jc w:val="center"/>
      </w:pPr>
      <w:r>
        <w:drawing>
          <wp:inline xmlns:a="http://schemas.openxmlformats.org/drawingml/2006/main" xmlns:pic="http://schemas.openxmlformats.org/drawingml/2006/picture">
            <wp:extent cx="5029200" cy="5666232"/>
            <wp:docPr id="5" name="Picture 5"/>
            <wp:cNvGraphicFramePr>
              <a:graphicFrameLocks noChangeAspect="1"/>
            </wp:cNvGraphicFramePr>
            <a:graphic>
              <a:graphicData uri="http://schemas.openxmlformats.org/drawingml/2006/picture">
                <pic:pic>
                  <pic:nvPicPr>
                    <pic:cNvPr id="0" name="Fig2-3_DFD_Level1.png"/>
                    <pic:cNvPicPr/>
                  </pic:nvPicPr>
                  <pic:blipFill>
                    <a:blip r:embed="rId15"/>
                    <a:stretch>
                      <a:fillRect/>
                    </a:stretch>
                  </pic:blipFill>
                  <pic:spPr>
                    <a:xfrm>
                      <a:off x="0" y="0"/>
                      <a:ext cx="5029200" cy="5666232"/>
                    </a:xfrm>
                    <a:prstGeom prst="rect"/>
                  </pic:spPr>
                </pic:pic>
              </a:graphicData>
            </a:graphic>
          </wp:inline>
        </w:drawing>
      </w:r>
    </w:p>
    <w:p>
      <w:pPr>
        <w:keepNext w:val="0"/>
        <w:spacing w:before="40" w:after="200"/>
        <w:jc w:val="center"/>
      </w:pPr>
      <w:r>
        <w:rPr>
          <w:rFonts w:ascii="Times New Roman" w:hAnsi="Times New Roman"/>
          <w:b/>
          <w:sz w:val="21"/>
        </w:rPr>
        <w:t>Figure 2.4 — Level 1 Data Flow Diagram (Decomposed Functional Modules).</w:t>
      </w:r>
    </w:p>
    <w:p>
      <w:pPr>
        <w:keepNext/>
        <w:pageBreakBefore/>
        <w:spacing w:before="360" w:after="280"/>
        <w:jc w:val="center"/>
      </w:pPr>
      <w:r>
        <w:rPr>
          <w:rFonts w:ascii="Times New Roman" w:hAnsi="Times New Roman"/>
          <w:b/>
          <w:sz w:val="32"/>
        </w:rPr>
        <w:t>3 DATABASE DESIGN</w:t>
      </w:r>
    </w:p>
    <w:p>
      <w:pPr>
        <w:keepNext/>
        <w:spacing w:before="240" w:after="80"/>
        <w:jc w:val="left"/>
      </w:pPr>
      <w:r>
        <w:rPr>
          <w:rFonts w:ascii="Times New Roman" w:hAnsi="Times New Roman"/>
          <w:b/>
          <w:sz w:val="26"/>
        </w:rPr>
        <w:t>3.1 Database Overview</w:t>
      </w:r>
    </w:p>
    <w:p>
      <w:pPr>
        <w:spacing w:before="0" w:after="80" w:line="324" w:lineRule="auto"/>
        <w:jc w:val="both"/>
      </w:pPr>
      <w:r>
        <w:rPr>
          <w:rFonts w:ascii="Times New Roman" w:hAnsi="Times New Roman"/>
          <w:b w:val="0"/>
          <w:i w:val="0"/>
          <w:sz w:val="24"/>
        </w:rPr>
        <w:t>The Starbase relational database is structured to balance rigorous Third Normal Form (3NF) relational integrity with high-throughput query performance across millions of scientific records. The local application DDL specifies exactly 18 relational tables, comprising 17 active application tables and one legacy user review table retained for backward compatibility. In the cloud deployment on TiDB Serverless, this footprint expands to 20 tables through the addition of two dedicated migration and audit support tables: Contribution_Review (which tracks collaborative dataset staging) and Catalog_Import_Progress (which records idempotent file byte offsets and batch transaction states during bulk cloud transfers).</w:t>
      </w:r>
    </w:p>
    <w:p>
      <w:pPr>
        <w:spacing w:before="0" w:after="80" w:line="324" w:lineRule="auto"/>
        <w:jc w:val="both"/>
      </w:pPr>
      <w:r>
        <w:rPr>
          <w:rFonts w:ascii="Times New Roman" w:hAnsi="Times New Roman"/>
          <w:b w:val="0"/>
          <w:i w:val="0"/>
          <w:sz w:val="24"/>
        </w:rPr>
        <w:t>The schema is partitioned into four logical functional groups, as detailed in Table 3.1.</w:t>
      </w:r>
    </w:p>
    <w:p>
      <w:pPr>
        <w:keepNext/>
        <w:spacing w:before="160" w:after="60"/>
        <w:jc w:val="left"/>
      </w:pPr>
      <w:r>
        <w:rPr>
          <w:rFonts w:ascii="Times New Roman" w:hAnsi="Times New Roman"/>
          <w:b/>
          <w:sz w:val="21"/>
        </w:rPr>
        <w:t>Table 3.1 — Database Schema Architecture and Entity Groupings.</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166"/>
        <w:gridCol w:w="2166"/>
        <w:gridCol w:w="2166"/>
        <w:gridCol w:w="2166"/>
      </w:tblGrid>
      <w:tr>
        <w:trPr>
          <w:cantSplit/>
          <w:tblHeader/>
        </w:trPr>
        <w:tc>
          <w:tcPr>
            <w:tcW w:type="dxa" w:w="2160"/>
            <w:shd w:val="clear" w:color="auto" w:fill="EAEFF5"/>
            <w:vAlign w:val="center"/>
          </w:tcPr>
          <w:p>
            <w:pPr>
              <w:spacing w:line="252" w:lineRule="auto" w:before="40" w:after="40"/>
              <w:jc w:val="left"/>
            </w:pPr>
            <w:r>
              <w:rPr>
                <w:rFonts w:ascii="Times New Roman" w:hAnsi="Times New Roman"/>
                <w:b/>
                <w:sz w:val="19"/>
              </w:rPr>
              <w:t>Group Name</w:t>
            </w:r>
          </w:p>
        </w:tc>
        <w:tc>
          <w:tcPr>
            <w:tcW w:type="dxa" w:w="1296"/>
            <w:shd w:val="clear" w:color="auto" w:fill="EAEFF5"/>
            <w:vAlign w:val="center"/>
          </w:tcPr>
          <w:p>
            <w:pPr>
              <w:spacing w:line="252" w:lineRule="auto" w:before="40" w:after="40"/>
              <w:jc w:val="left"/>
            </w:pPr>
            <w:r>
              <w:rPr>
                <w:rFonts w:ascii="Times New Roman" w:hAnsi="Times New Roman"/>
                <w:b/>
                <w:sz w:val="19"/>
              </w:rPr>
              <w:t>Table Count</w:t>
            </w:r>
          </w:p>
        </w:tc>
        <w:tc>
          <w:tcPr>
            <w:tcW w:type="dxa" w:w="2736"/>
            <w:shd w:val="clear" w:color="auto" w:fill="EAEFF5"/>
            <w:vAlign w:val="center"/>
          </w:tcPr>
          <w:p>
            <w:pPr>
              <w:spacing w:line="252" w:lineRule="auto" w:before="40" w:after="40"/>
              <w:jc w:val="left"/>
            </w:pPr>
            <w:r>
              <w:rPr>
                <w:rFonts w:ascii="Times New Roman" w:hAnsi="Times New Roman"/>
                <w:b/>
                <w:sz w:val="19"/>
              </w:rPr>
              <w:t>Entity Tables Included</w:t>
            </w:r>
          </w:p>
        </w:tc>
        <w:tc>
          <w:tcPr>
            <w:tcW w:type="dxa" w:w="2477"/>
            <w:shd w:val="clear" w:color="auto" w:fill="EAEFF5"/>
            <w:vAlign w:val="center"/>
          </w:tcPr>
          <w:p>
            <w:pPr>
              <w:spacing w:line="252" w:lineRule="auto" w:before="40" w:after="40"/>
              <w:jc w:val="left"/>
            </w:pPr>
            <w:r>
              <w:rPr>
                <w:rFonts w:ascii="Times New Roman" w:hAnsi="Times New Roman"/>
                <w:b/>
                <w:sz w:val="19"/>
              </w:rPr>
              <w:t>Functional Scope and Role</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Material Catalog Core</w:t>
            </w:r>
          </w:p>
        </w:tc>
        <w:tc>
          <w:tcPr>
            <w:tcW w:type="dxa" w:w="1296"/>
            <w:shd w:val="clear" w:color="auto" w:fill="FAFBFC"/>
            <w:vAlign w:val="center"/>
          </w:tcPr>
          <w:p>
            <w:pPr>
              <w:spacing w:line="252" w:lineRule="auto" w:before="20" w:after="20"/>
              <w:jc w:val="left"/>
            </w:pPr>
            <w:r>
              <w:rPr>
                <w:rFonts w:ascii="Times New Roman" w:hAnsi="Times New Roman"/>
                <w:sz w:val="18"/>
              </w:rPr>
              <w:t>7 Tables</w:t>
            </w:r>
          </w:p>
        </w:tc>
        <w:tc>
          <w:tcPr>
            <w:tcW w:type="dxa" w:w="2736"/>
            <w:shd w:val="clear" w:color="auto" w:fill="FAFBFC"/>
            <w:vAlign w:val="center"/>
          </w:tcPr>
          <w:p>
            <w:pPr>
              <w:spacing w:line="252" w:lineRule="auto" w:before="20" w:after="20"/>
              <w:jc w:val="left"/>
            </w:pPr>
            <w:r>
              <w:rPr>
                <w:rFonts w:ascii="Times New Roman" w:hAnsi="Times New Roman"/>
                <w:sz w:val="18"/>
              </w:rPr>
              <w:t>Material, Property, Material_Property, Data_Source, Material_Category, Application, Material_Application</w:t>
            </w:r>
          </w:p>
        </w:tc>
        <w:tc>
          <w:tcPr>
            <w:tcW w:type="dxa" w:w="2477"/>
            <w:shd w:val="clear" w:color="auto" w:fill="FAFBFC"/>
            <w:vAlign w:val="center"/>
          </w:tcPr>
          <w:p>
            <w:pPr>
              <w:spacing w:line="252" w:lineRule="auto" w:before="20" w:after="20"/>
              <w:jc w:val="left"/>
            </w:pPr>
            <w:r>
              <w:rPr>
                <w:rFonts w:ascii="Times New Roman" w:hAnsi="Times New Roman"/>
                <w:sz w:val="18"/>
              </w:rPr>
              <w:t>Stores materials, property dictionaries, physical measurements, units, categories, and applications.</w:t>
            </w:r>
          </w:p>
        </w:tc>
      </w:tr>
      <w:tr>
        <w:trPr>
          <w:cantSplit/>
        </w:trPr>
        <w:tc>
          <w:tcPr>
            <w:tcW w:type="dxa" w:w="2160"/>
            <w:vAlign w:val="center"/>
          </w:tcPr>
          <w:p>
            <w:pPr>
              <w:spacing w:line="252" w:lineRule="auto" w:before="20" w:after="20"/>
              <w:jc w:val="left"/>
            </w:pPr>
            <w:r>
              <w:rPr>
                <w:rFonts w:ascii="Times New Roman" w:hAnsi="Times New Roman"/>
                <w:sz w:val="18"/>
              </w:rPr>
              <w:t>Projects &amp; Selections</w:t>
            </w:r>
          </w:p>
        </w:tc>
        <w:tc>
          <w:tcPr>
            <w:tcW w:type="dxa" w:w="1296"/>
            <w:vAlign w:val="center"/>
          </w:tcPr>
          <w:p>
            <w:pPr>
              <w:spacing w:line="252" w:lineRule="auto" w:before="20" w:after="20"/>
              <w:jc w:val="left"/>
            </w:pPr>
            <w:r>
              <w:rPr>
                <w:rFonts w:ascii="Times New Roman" w:hAnsi="Times New Roman"/>
                <w:sz w:val="18"/>
              </w:rPr>
              <w:t>7 Tables</w:t>
            </w:r>
          </w:p>
        </w:tc>
        <w:tc>
          <w:tcPr>
            <w:tcW w:type="dxa" w:w="2736"/>
            <w:vAlign w:val="center"/>
          </w:tcPr>
          <w:p>
            <w:pPr>
              <w:spacing w:line="252" w:lineRule="auto" w:before="20" w:after="20"/>
              <w:jc w:val="left"/>
            </w:pPr>
            <w:r>
              <w:rPr>
                <w:rFonts w:ascii="Times New Roman" w:hAnsi="Times New Roman"/>
                <w:sz w:val="18"/>
              </w:rPr>
              <w:t>Project, Project_Collaborator, Saved_Selection, Selection_Requirement, Shortlisted_Material, Material_Comparison, Project_Activity</w:t>
            </w:r>
          </w:p>
        </w:tc>
        <w:tc>
          <w:tcPr>
            <w:tcW w:type="dxa" w:w="2477"/>
            <w:vAlign w:val="center"/>
          </w:tcPr>
          <w:p>
            <w:pPr>
              <w:spacing w:line="252" w:lineRule="auto" w:before="20" w:after="20"/>
              <w:jc w:val="left"/>
            </w:pPr>
            <w:r>
              <w:rPr>
                <w:rFonts w:ascii="Times New Roman" w:hAnsi="Times New Roman"/>
                <w:sz w:val="18"/>
              </w:rPr>
              <w:t>Manages collaborative engineering workspaces, selection parameter histories, shortlists, and activity feeds.</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User Management &amp; Auth</w:t>
            </w:r>
          </w:p>
        </w:tc>
        <w:tc>
          <w:tcPr>
            <w:tcW w:type="dxa" w:w="1296"/>
            <w:shd w:val="clear" w:color="auto" w:fill="FAFBFC"/>
            <w:vAlign w:val="center"/>
          </w:tcPr>
          <w:p>
            <w:pPr>
              <w:spacing w:line="252" w:lineRule="auto" w:before="20" w:after="20"/>
              <w:jc w:val="left"/>
            </w:pPr>
            <w:r>
              <w:rPr>
                <w:rFonts w:ascii="Times New Roman" w:hAnsi="Times New Roman"/>
                <w:sz w:val="18"/>
              </w:rPr>
              <w:t>4 Tables</w:t>
            </w:r>
          </w:p>
        </w:tc>
        <w:tc>
          <w:tcPr>
            <w:tcW w:type="dxa" w:w="2736"/>
            <w:shd w:val="clear" w:color="auto" w:fill="FAFBFC"/>
            <w:vAlign w:val="center"/>
          </w:tcPr>
          <w:p>
            <w:pPr>
              <w:spacing w:line="252" w:lineRule="auto" w:before="20" w:after="20"/>
              <w:jc w:val="left"/>
            </w:pPr>
            <w:r>
              <w:rPr>
                <w:rFonts w:ascii="Times New Roman" w:hAnsi="Times New Roman"/>
                <w:sz w:val="18"/>
              </w:rPr>
              <w:t>User, User_Session, System_Log, Material_Reviews (legacy)</w:t>
            </w:r>
          </w:p>
        </w:tc>
        <w:tc>
          <w:tcPr>
            <w:tcW w:type="dxa" w:w="2477"/>
            <w:shd w:val="clear" w:color="auto" w:fill="FAFBFC"/>
            <w:vAlign w:val="center"/>
          </w:tcPr>
          <w:p>
            <w:pPr>
              <w:spacing w:line="252" w:lineRule="auto" w:before="20" w:after="20"/>
              <w:jc w:val="left"/>
            </w:pPr>
            <w:r>
              <w:rPr>
                <w:rFonts w:ascii="Times New Roman" w:hAnsi="Times New Roman"/>
                <w:sz w:val="18"/>
              </w:rPr>
              <w:t>Handles authentication, bcrypt password hashing, session tokens, audit logging, and legacy user ratings.</w:t>
            </w:r>
          </w:p>
        </w:tc>
      </w:tr>
      <w:tr>
        <w:trPr>
          <w:cantSplit/>
        </w:trPr>
        <w:tc>
          <w:tcPr>
            <w:tcW w:type="dxa" w:w="2160"/>
            <w:vAlign w:val="center"/>
          </w:tcPr>
          <w:p>
            <w:pPr>
              <w:spacing w:line="252" w:lineRule="auto" w:before="20" w:after="20"/>
              <w:jc w:val="left"/>
            </w:pPr>
            <w:r>
              <w:rPr>
                <w:rFonts w:ascii="Times New Roman" w:hAnsi="Times New Roman"/>
                <w:sz w:val="18"/>
              </w:rPr>
              <w:t>Cloud Migration &amp; Audit</w:t>
            </w:r>
          </w:p>
        </w:tc>
        <w:tc>
          <w:tcPr>
            <w:tcW w:type="dxa" w:w="1296"/>
            <w:vAlign w:val="center"/>
          </w:tcPr>
          <w:p>
            <w:pPr>
              <w:spacing w:line="252" w:lineRule="auto" w:before="20" w:after="20"/>
              <w:jc w:val="left"/>
            </w:pPr>
            <w:r>
              <w:rPr>
                <w:rFonts w:ascii="Times New Roman" w:hAnsi="Times New Roman"/>
                <w:sz w:val="18"/>
              </w:rPr>
              <w:t>2 Tables</w:t>
            </w:r>
          </w:p>
        </w:tc>
        <w:tc>
          <w:tcPr>
            <w:tcW w:type="dxa" w:w="2736"/>
            <w:vAlign w:val="center"/>
          </w:tcPr>
          <w:p>
            <w:pPr>
              <w:spacing w:line="252" w:lineRule="auto" w:before="20" w:after="20"/>
              <w:jc w:val="left"/>
            </w:pPr>
            <w:r>
              <w:rPr>
                <w:rFonts w:ascii="Times New Roman" w:hAnsi="Times New Roman"/>
                <w:sz w:val="18"/>
              </w:rPr>
              <w:t>Contribution_Review, Catalog_Import_Progress</w:t>
            </w:r>
          </w:p>
        </w:tc>
        <w:tc>
          <w:tcPr>
            <w:tcW w:type="dxa" w:w="2477"/>
            <w:vAlign w:val="center"/>
          </w:tcPr>
          <w:p>
            <w:pPr>
              <w:spacing w:line="252" w:lineRule="auto" w:before="20" w:after="20"/>
              <w:jc w:val="left"/>
            </w:pPr>
            <w:r>
              <w:rPr>
                <w:rFonts w:ascii="Times New Roman" w:hAnsi="Times New Roman"/>
                <w:sz w:val="18"/>
              </w:rPr>
              <w:t>Dedicated to TiDB Cloud migration tracking, idempotent batch replays, and schema verification.</w:t>
            </w:r>
          </w:p>
        </w:tc>
      </w:tr>
    </w:tbl>
    <w:p>
      <w:pPr>
        <w:keepNext/>
        <w:spacing w:before="240" w:after="80"/>
        <w:jc w:val="left"/>
      </w:pPr>
      <w:r>
        <w:rPr>
          <w:rFonts w:ascii="Times New Roman" w:hAnsi="Times New Roman"/>
          <w:b/>
          <w:sz w:val="26"/>
        </w:rPr>
        <w:t>3.2 Three-Schema Architecture</w:t>
      </w:r>
    </w:p>
    <w:p>
      <w:pPr>
        <w:spacing w:before="0" w:after="80" w:line="324" w:lineRule="auto"/>
        <w:jc w:val="both"/>
      </w:pPr>
      <w:r>
        <w:rPr>
          <w:rFonts w:ascii="Times New Roman" w:hAnsi="Times New Roman"/>
          <w:b w:val="0"/>
          <w:i w:val="0"/>
          <w:sz w:val="24"/>
        </w:rPr>
        <w:t>Starbase adheres to the ANSI/SPARC Three-Schema Architecture [14, 15], cleanly decoupling physical disk storage, logical relational structures, and client presentation views. Table 3.2 outlines this mapping.</w:t>
      </w:r>
    </w:p>
    <w:p>
      <w:pPr>
        <w:keepNext/>
        <w:spacing w:before="160" w:after="60"/>
        <w:jc w:val="left"/>
      </w:pPr>
      <w:r>
        <w:rPr>
          <w:rFonts w:ascii="Times New Roman" w:hAnsi="Times New Roman"/>
          <w:b/>
          <w:sz w:val="21"/>
        </w:rPr>
        <w:t>Table 3.2 — Three-Schema Architecture Implementation in Starbase.</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888"/>
        <w:gridCol w:w="2888"/>
        <w:gridCol w:w="2888"/>
      </w:tblGrid>
      <w:tr>
        <w:trPr>
          <w:cantSplit/>
          <w:tblHeader/>
        </w:trPr>
        <w:tc>
          <w:tcPr>
            <w:tcW w:type="dxa" w:w="2160"/>
            <w:shd w:val="clear" w:color="auto" w:fill="EAEFF5"/>
            <w:vAlign w:val="center"/>
          </w:tcPr>
          <w:p>
            <w:pPr>
              <w:spacing w:line="252" w:lineRule="auto" w:before="40" w:after="40"/>
              <w:jc w:val="left"/>
            </w:pPr>
            <w:r>
              <w:rPr>
                <w:rFonts w:ascii="Times New Roman" w:hAnsi="Times New Roman"/>
                <w:b/>
                <w:sz w:val="19"/>
              </w:rPr>
              <w:t>Architecture Level</w:t>
            </w:r>
          </w:p>
        </w:tc>
        <w:tc>
          <w:tcPr>
            <w:tcW w:type="dxa" w:w="3600"/>
            <w:shd w:val="clear" w:color="auto" w:fill="EAEFF5"/>
            <w:vAlign w:val="center"/>
          </w:tcPr>
          <w:p>
            <w:pPr>
              <w:spacing w:line="252" w:lineRule="auto" w:before="40" w:after="40"/>
              <w:jc w:val="left"/>
            </w:pPr>
            <w:r>
              <w:rPr>
                <w:rFonts w:ascii="Times New Roman" w:hAnsi="Times New Roman"/>
                <w:b/>
                <w:sz w:val="19"/>
              </w:rPr>
              <w:t>Implementation in Starbase</w:t>
            </w:r>
          </w:p>
        </w:tc>
        <w:tc>
          <w:tcPr>
            <w:tcW w:type="dxa" w:w="2909"/>
            <w:shd w:val="clear" w:color="auto" w:fill="EAEFF5"/>
            <w:vAlign w:val="center"/>
          </w:tcPr>
          <w:p>
            <w:pPr>
              <w:spacing w:line="252" w:lineRule="auto" w:before="40" w:after="40"/>
              <w:jc w:val="left"/>
            </w:pPr>
            <w:r>
              <w:rPr>
                <w:rFonts w:ascii="Times New Roman" w:hAnsi="Times New Roman"/>
                <w:b/>
                <w:sz w:val="19"/>
              </w:rPr>
              <w:t>Representative Technologies &amp; Artifacts</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Internal Schema (Physical)</w:t>
            </w:r>
          </w:p>
        </w:tc>
        <w:tc>
          <w:tcPr>
            <w:tcW w:type="dxa" w:w="3600"/>
            <w:shd w:val="clear" w:color="auto" w:fill="FAFBFC"/>
            <w:vAlign w:val="center"/>
          </w:tcPr>
          <w:p>
            <w:pPr>
              <w:spacing w:line="252" w:lineRule="auto" w:before="20" w:after="20"/>
              <w:jc w:val="left"/>
            </w:pPr>
            <w:r>
              <w:rPr>
                <w:rFonts w:ascii="Times New Roman" w:hAnsi="Times New Roman"/>
                <w:sz w:val="18"/>
              </w:rPr>
              <w:t>InnoDB storage engine files, B-tree primary and secondary composite indexes, page allocation, UTF-8 MB4 character encodings, and TiDB Raft storage regions.</w:t>
            </w:r>
          </w:p>
        </w:tc>
        <w:tc>
          <w:tcPr>
            <w:tcW w:type="dxa" w:w="2909"/>
            <w:shd w:val="clear" w:color="auto" w:fill="FAFBFC"/>
            <w:vAlign w:val="center"/>
          </w:tcPr>
          <w:p>
            <w:pPr>
              <w:spacing w:line="252" w:lineRule="auto" w:before="20" w:after="20"/>
              <w:jc w:val="left"/>
            </w:pPr>
            <w:r>
              <w:rPr>
                <w:rFonts w:ascii="Times New Roman" w:hAnsi="Times New Roman"/>
                <w:sz w:val="18"/>
              </w:rPr>
              <w:t>MySQL 8.4 InnoDB table spaces, buffer pool memory allocation, composite index definitions, and TiKV peer regions.</w:t>
            </w:r>
          </w:p>
        </w:tc>
      </w:tr>
      <w:tr>
        <w:trPr>
          <w:cantSplit/>
        </w:trPr>
        <w:tc>
          <w:tcPr>
            <w:tcW w:type="dxa" w:w="2160"/>
            <w:vAlign w:val="center"/>
          </w:tcPr>
          <w:p>
            <w:pPr>
              <w:spacing w:line="252" w:lineRule="auto" w:before="20" w:after="20"/>
              <w:jc w:val="left"/>
            </w:pPr>
            <w:r>
              <w:rPr>
                <w:rFonts w:ascii="Times New Roman" w:hAnsi="Times New Roman"/>
                <w:sz w:val="18"/>
              </w:rPr>
              <w:t>Conceptual Schema (Logical)</w:t>
            </w:r>
          </w:p>
        </w:tc>
        <w:tc>
          <w:tcPr>
            <w:tcW w:type="dxa" w:w="3600"/>
            <w:vAlign w:val="center"/>
          </w:tcPr>
          <w:p>
            <w:pPr>
              <w:spacing w:line="252" w:lineRule="auto" w:before="20" w:after="20"/>
              <w:jc w:val="left"/>
            </w:pPr>
            <w:r>
              <w:rPr>
                <w:rFonts w:ascii="Times New Roman" w:hAnsi="Times New Roman"/>
                <w:sz w:val="18"/>
              </w:rPr>
              <w:t>Normalized 3NF relational tables, entity keys, referential foreign key constraints, NOT NULL declarations, and UNIQUE composite integrity rules.</w:t>
            </w:r>
          </w:p>
        </w:tc>
        <w:tc>
          <w:tcPr>
            <w:tcW w:type="dxa" w:w="2909"/>
            <w:vAlign w:val="center"/>
          </w:tcPr>
          <w:p>
            <w:pPr>
              <w:spacing w:line="252" w:lineRule="auto" w:before="20" w:after="20"/>
              <w:jc w:val="left"/>
            </w:pPr>
            <w:r>
              <w:rPr>
                <w:rFonts w:ascii="Times New Roman" w:hAnsi="Times New Roman"/>
                <w:sz w:val="18"/>
              </w:rPr>
              <w:t>schema.sql DDL, Data_Source, Material, Property, and Material_Property entity tables.</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External Schema (View)</w:t>
            </w:r>
          </w:p>
        </w:tc>
        <w:tc>
          <w:tcPr>
            <w:tcW w:type="dxa" w:w="3600"/>
            <w:shd w:val="clear" w:color="auto" w:fill="FAFBFC"/>
            <w:vAlign w:val="center"/>
          </w:tcPr>
          <w:p>
            <w:pPr>
              <w:spacing w:line="252" w:lineRule="auto" w:before="20" w:after="20"/>
              <w:jc w:val="left"/>
            </w:pPr>
            <w:r>
              <w:rPr>
                <w:rFonts w:ascii="Times New Roman" w:hAnsi="Times New Roman"/>
                <w:sz w:val="18"/>
              </w:rPr>
              <w:t>Tailored JSON REST payloads, client-scoped material summary cards, comparative property projection tables, and anonymized user workspace states.</w:t>
            </w:r>
          </w:p>
        </w:tc>
        <w:tc>
          <w:tcPr>
            <w:tcW w:type="dxa" w:w="2909"/>
            <w:shd w:val="clear" w:color="auto" w:fill="FAFBFC"/>
            <w:vAlign w:val="center"/>
          </w:tcPr>
          <w:p>
            <w:pPr>
              <w:spacing w:line="252" w:lineRule="auto" w:before="20" w:after="20"/>
              <w:jc w:val="left"/>
            </w:pPr>
            <w:r>
              <w:rPr>
                <w:rFonts w:ascii="Times New Roman" w:hAnsi="Times New Roman"/>
                <w:sz w:val="18"/>
              </w:rPr>
              <w:t>Express API route projections (/api/materials, /api/materials/recommend), React state views.</w:t>
            </w:r>
          </w:p>
        </w:tc>
      </w:tr>
    </w:tbl>
    <w:p>
      <w:pPr>
        <w:keepNext/>
        <w:spacing w:before="240" w:after="80"/>
        <w:jc w:val="left"/>
      </w:pPr>
      <w:r>
        <w:rPr>
          <w:rFonts w:ascii="Times New Roman" w:hAnsi="Times New Roman"/>
          <w:b/>
          <w:sz w:val="26"/>
        </w:rPr>
        <w:t>3.3 Entity–Relationship (ER) Diagram</w:t>
      </w:r>
    </w:p>
    <w:p>
      <w:pPr>
        <w:spacing w:before="0" w:after="80" w:line="324" w:lineRule="auto"/>
        <w:jc w:val="both"/>
      </w:pPr>
      <w:r>
        <w:rPr>
          <w:rFonts w:ascii="Times New Roman" w:hAnsi="Times New Roman"/>
          <w:b w:val="0"/>
          <w:i w:val="0"/>
          <w:sz w:val="24"/>
        </w:rPr>
        <w:t>The conceptual data model of Starbase represents the entities governing materials science data and collaborative engineering workflows. Figure 3.1 presents the complete Entity–Relationship (ER) diagram.</w:t>
      </w:r>
    </w:p>
    <w:p>
      <w:pPr>
        <w:keepNext/>
        <w:spacing w:before="160" w:after="40"/>
        <w:jc w:val="center"/>
      </w:pPr>
      <w:r>
        <w:drawing>
          <wp:inline xmlns:a="http://schemas.openxmlformats.org/drawingml/2006/main" xmlns:pic="http://schemas.openxmlformats.org/drawingml/2006/picture">
            <wp:extent cx="5303520" cy="6132195"/>
            <wp:docPr id="6" name="Picture 6"/>
            <wp:cNvGraphicFramePr>
              <a:graphicFrameLocks noChangeAspect="1"/>
            </wp:cNvGraphicFramePr>
            <a:graphic>
              <a:graphicData uri="http://schemas.openxmlformats.org/drawingml/2006/picture">
                <pic:pic>
                  <pic:nvPicPr>
                    <pic:cNvPr id="0" name="Fig3-1_ER_Diagram.png"/>
                    <pic:cNvPicPr/>
                  </pic:nvPicPr>
                  <pic:blipFill>
                    <a:blip r:embed="rId16"/>
                    <a:stretch>
                      <a:fillRect/>
                    </a:stretch>
                  </pic:blipFill>
                  <pic:spPr>
                    <a:xfrm>
                      <a:off x="0" y="0"/>
                      <a:ext cx="5303520" cy="6132195"/>
                    </a:xfrm>
                    <a:prstGeom prst="rect"/>
                  </pic:spPr>
                </pic:pic>
              </a:graphicData>
            </a:graphic>
          </wp:inline>
        </w:drawing>
      </w:r>
    </w:p>
    <w:p>
      <w:pPr>
        <w:keepNext w:val="0"/>
        <w:spacing w:before="40" w:after="200"/>
        <w:jc w:val="center"/>
      </w:pPr>
      <w:r>
        <w:rPr>
          <w:rFonts w:ascii="Times New Roman" w:hAnsi="Times New Roman"/>
          <w:b/>
          <w:sz w:val="21"/>
        </w:rPr>
        <w:t>Figure 3.1 — Entity–Relationship (ER) diagram for Starbase material catalog and workspace.</w:t>
      </w:r>
    </w:p>
    <w:p>
      <w:pPr>
        <w:spacing w:before="0" w:after="80" w:line="324" w:lineRule="auto"/>
        <w:jc w:val="both"/>
      </w:pPr>
      <w:r>
        <w:rPr>
          <w:rFonts w:ascii="Times New Roman" w:hAnsi="Times New Roman"/>
          <w:b w:val="0"/>
          <w:i w:val="0"/>
          <w:sz w:val="24"/>
        </w:rPr>
        <w:t>Table 3.3 documents the cardinality and referential rules governing the primary relationships in the ER model.</w:t>
      </w:r>
    </w:p>
    <w:p>
      <w:pPr>
        <w:keepNext/>
        <w:spacing w:before="160" w:after="60"/>
        <w:jc w:val="left"/>
      </w:pPr>
      <w:r>
        <w:rPr>
          <w:rFonts w:ascii="Times New Roman" w:hAnsi="Times New Roman"/>
          <w:b/>
          <w:sz w:val="21"/>
        </w:rPr>
        <w:t>Table 3.3 — Entity Cardinality and Relationship Constraints.</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888"/>
        <w:gridCol w:w="2888"/>
        <w:gridCol w:w="2888"/>
      </w:tblGrid>
      <w:tr>
        <w:trPr>
          <w:cantSplit/>
          <w:tblHeader/>
        </w:trPr>
        <w:tc>
          <w:tcPr>
            <w:tcW w:type="dxa" w:w="2592"/>
            <w:shd w:val="clear" w:color="auto" w:fill="EAEFF5"/>
            <w:vAlign w:val="center"/>
          </w:tcPr>
          <w:p>
            <w:pPr>
              <w:spacing w:line="252" w:lineRule="auto" w:before="40" w:after="40"/>
              <w:jc w:val="left"/>
            </w:pPr>
            <w:r>
              <w:rPr>
                <w:rFonts w:ascii="Times New Roman" w:hAnsi="Times New Roman"/>
                <w:b/>
                <w:sz w:val="19"/>
              </w:rPr>
              <w:t>Relationship</w:t>
            </w:r>
          </w:p>
        </w:tc>
        <w:tc>
          <w:tcPr>
            <w:tcW w:type="dxa" w:w="2016"/>
            <w:shd w:val="clear" w:color="auto" w:fill="EAEFF5"/>
            <w:vAlign w:val="center"/>
          </w:tcPr>
          <w:p>
            <w:pPr>
              <w:spacing w:line="252" w:lineRule="auto" w:before="40" w:after="40"/>
              <w:jc w:val="left"/>
            </w:pPr>
            <w:r>
              <w:rPr>
                <w:rFonts w:ascii="Times New Roman" w:hAnsi="Times New Roman"/>
                <w:b/>
                <w:sz w:val="19"/>
              </w:rPr>
              <w:t>Cardinality</w:t>
            </w:r>
          </w:p>
        </w:tc>
        <w:tc>
          <w:tcPr>
            <w:tcW w:type="dxa" w:w="4061"/>
            <w:shd w:val="clear" w:color="auto" w:fill="EAEFF5"/>
            <w:vAlign w:val="center"/>
          </w:tcPr>
          <w:p>
            <w:pPr>
              <w:spacing w:line="252" w:lineRule="auto" w:before="40" w:after="40"/>
              <w:jc w:val="left"/>
            </w:pPr>
            <w:r>
              <w:rPr>
                <w:rFonts w:ascii="Times New Roman" w:hAnsi="Times New Roman"/>
                <w:b/>
                <w:sz w:val="19"/>
              </w:rPr>
              <w:t>Integrity Rules &amp; Structural Notes</w:t>
            </w:r>
          </w:p>
        </w:tc>
      </w:tr>
      <w:tr>
        <w:trPr>
          <w:cantSplit/>
        </w:trPr>
        <w:tc>
          <w:tcPr>
            <w:tcW w:type="dxa" w:w="2592"/>
            <w:shd w:val="clear" w:color="auto" w:fill="FAFBFC"/>
            <w:vAlign w:val="center"/>
          </w:tcPr>
          <w:p>
            <w:pPr>
              <w:spacing w:line="252" w:lineRule="auto" w:before="20" w:after="20"/>
              <w:jc w:val="left"/>
            </w:pPr>
            <w:r>
              <w:rPr>
                <w:rFonts w:ascii="Times New Roman" w:hAnsi="Times New Roman"/>
                <w:sz w:val="18"/>
              </w:rPr>
              <w:t>Data_Source to Material</w:t>
            </w:r>
          </w:p>
        </w:tc>
        <w:tc>
          <w:tcPr>
            <w:tcW w:type="dxa" w:w="2016"/>
            <w:shd w:val="clear" w:color="auto" w:fill="FAFBFC"/>
            <w:vAlign w:val="center"/>
          </w:tcPr>
          <w:p>
            <w:pPr>
              <w:spacing w:line="252" w:lineRule="auto" w:before="20" w:after="20"/>
              <w:jc w:val="left"/>
            </w:pPr>
            <w:r>
              <w:rPr>
                <w:rFonts w:ascii="Times New Roman" w:hAnsi="Times New Roman"/>
                <w:sz w:val="18"/>
              </w:rPr>
              <w:t>1 : N (One-to-Many)</w:t>
            </w:r>
          </w:p>
        </w:tc>
        <w:tc>
          <w:tcPr>
            <w:tcW w:type="dxa" w:w="4061"/>
            <w:shd w:val="clear" w:color="auto" w:fill="FAFBFC"/>
            <w:vAlign w:val="center"/>
          </w:tcPr>
          <w:p>
            <w:pPr>
              <w:spacing w:line="252" w:lineRule="auto" w:before="20" w:after="20"/>
              <w:jc w:val="left"/>
            </w:pPr>
            <w:r>
              <w:rPr>
                <w:rFonts w:ascii="Times New Roman" w:hAnsi="Times New Roman"/>
                <w:sz w:val="18"/>
              </w:rPr>
              <w:t>Every material must reference exactly one data source. Deleting a source is restricted if materials exist.</w:t>
            </w:r>
          </w:p>
        </w:tc>
      </w:tr>
      <w:tr>
        <w:trPr>
          <w:cantSplit/>
        </w:trPr>
        <w:tc>
          <w:tcPr>
            <w:tcW w:type="dxa" w:w="2592"/>
            <w:vAlign w:val="center"/>
          </w:tcPr>
          <w:p>
            <w:pPr>
              <w:spacing w:line="252" w:lineRule="auto" w:before="20" w:after="20"/>
              <w:jc w:val="left"/>
            </w:pPr>
            <w:r>
              <w:rPr>
                <w:rFonts w:ascii="Times New Roman" w:hAnsi="Times New Roman"/>
                <w:sz w:val="18"/>
              </w:rPr>
              <w:t>Material_Category to Material</w:t>
            </w:r>
          </w:p>
        </w:tc>
        <w:tc>
          <w:tcPr>
            <w:tcW w:type="dxa" w:w="2016"/>
            <w:vAlign w:val="center"/>
          </w:tcPr>
          <w:p>
            <w:pPr>
              <w:spacing w:line="252" w:lineRule="auto" w:before="20" w:after="20"/>
              <w:jc w:val="left"/>
            </w:pPr>
            <w:r>
              <w:rPr>
                <w:rFonts w:ascii="Times New Roman" w:hAnsi="Times New Roman"/>
                <w:sz w:val="18"/>
              </w:rPr>
              <w:t>1 : N (One-to-Many)</w:t>
            </w:r>
          </w:p>
        </w:tc>
        <w:tc>
          <w:tcPr>
            <w:tcW w:type="dxa" w:w="4061"/>
            <w:vAlign w:val="center"/>
          </w:tcPr>
          <w:p>
            <w:pPr>
              <w:spacing w:line="252" w:lineRule="auto" w:before="20" w:after="20"/>
              <w:jc w:val="left"/>
            </w:pPr>
            <w:r>
              <w:rPr>
                <w:rFonts w:ascii="Times New Roman" w:hAnsi="Times New Roman"/>
                <w:sz w:val="18"/>
              </w:rPr>
              <w:t>Every material belongs to exactly one category (e.g., Metal, Polymer, Ceramic, Composite).</w:t>
            </w:r>
          </w:p>
        </w:tc>
      </w:tr>
      <w:tr>
        <w:trPr>
          <w:cantSplit/>
        </w:trPr>
        <w:tc>
          <w:tcPr>
            <w:tcW w:type="dxa" w:w="2592"/>
            <w:shd w:val="clear" w:color="auto" w:fill="FAFBFC"/>
            <w:vAlign w:val="center"/>
          </w:tcPr>
          <w:p>
            <w:pPr>
              <w:spacing w:line="252" w:lineRule="auto" w:before="20" w:after="20"/>
              <w:jc w:val="left"/>
            </w:pPr>
            <w:r>
              <w:rPr>
                <w:rFonts w:ascii="Times New Roman" w:hAnsi="Times New Roman"/>
                <w:sz w:val="18"/>
              </w:rPr>
              <w:t>Material to Property</w:t>
            </w:r>
          </w:p>
        </w:tc>
        <w:tc>
          <w:tcPr>
            <w:tcW w:type="dxa" w:w="2016"/>
            <w:shd w:val="clear" w:color="auto" w:fill="FAFBFC"/>
            <w:vAlign w:val="center"/>
          </w:tcPr>
          <w:p>
            <w:pPr>
              <w:spacing w:line="252" w:lineRule="auto" w:before="20" w:after="20"/>
              <w:jc w:val="left"/>
            </w:pPr>
            <w:r>
              <w:rPr>
                <w:rFonts w:ascii="Times New Roman" w:hAnsi="Times New Roman"/>
                <w:sz w:val="18"/>
              </w:rPr>
              <w:t>M : N (Many-to-Many)</w:t>
            </w:r>
          </w:p>
        </w:tc>
        <w:tc>
          <w:tcPr>
            <w:tcW w:type="dxa" w:w="4061"/>
            <w:shd w:val="clear" w:color="auto" w:fill="FAFBFC"/>
            <w:vAlign w:val="center"/>
          </w:tcPr>
          <w:p>
            <w:pPr>
              <w:spacing w:line="252" w:lineRule="auto" w:before="20" w:after="20"/>
              <w:jc w:val="left"/>
            </w:pPr>
            <w:r>
              <w:rPr>
                <w:rFonts w:ascii="Times New Roman" w:hAnsi="Times New Roman"/>
                <w:sz w:val="18"/>
              </w:rPr>
              <w:t>Resolved via the Material_Property association table. Composite primary key on (material_id, property_id).</w:t>
            </w:r>
          </w:p>
        </w:tc>
      </w:tr>
      <w:tr>
        <w:trPr>
          <w:cantSplit/>
        </w:trPr>
        <w:tc>
          <w:tcPr>
            <w:tcW w:type="dxa" w:w="2592"/>
            <w:vAlign w:val="center"/>
          </w:tcPr>
          <w:p>
            <w:pPr>
              <w:spacing w:line="252" w:lineRule="auto" w:before="20" w:after="20"/>
              <w:jc w:val="left"/>
            </w:pPr>
            <w:r>
              <w:rPr>
                <w:rFonts w:ascii="Times New Roman" w:hAnsi="Times New Roman"/>
                <w:sz w:val="18"/>
              </w:rPr>
              <w:t>Material to Application</w:t>
            </w:r>
          </w:p>
        </w:tc>
        <w:tc>
          <w:tcPr>
            <w:tcW w:type="dxa" w:w="2016"/>
            <w:vAlign w:val="center"/>
          </w:tcPr>
          <w:p>
            <w:pPr>
              <w:spacing w:line="252" w:lineRule="auto" w:before="20" w:after="20"/>
              <w:jc w:val="left"/>
            </w:pPr>
            <w:r>
              <w:rPr>
                <w:rFonts w:ascii="Times New Roman" w:hAnsi="Times New Roman"/>
                <w:sz w:val="18"/>
              </w:rPr>
              <w:t>M : N (Many-to-Many)</w:t>
            </w:r>
          </w:p>
        </w:tc>
        <w:tc>
          <w:tcPr>
            <w:tcW w:type="dxa" w:w="4061"/>
            <w:vAlign w:val="center"/>
          </w:tcPr>
          <w:p>
            <w:pPr>
              <w:spacing w:line="252" w:lineRule="auto" w:before="20" w:after="20"/>
              <w:jc w:val="left"/>
            </w:pPr>
            <w:r>
              <w:rPr>
                <w:rFonts w:ascii="Times New Roman" w:hAnsi="Times New Roman"/>
                <w:sz w:val="18"/>
              </w:rPr>
              <w:t>Resolved via the Material_Application association table. Cascades deletion upon material removal.</w:t>
            </w:r>
          </w:p>
        </w:tc>
      </w:tr>
      <w:tr>
        <w:trPr>
          <w:cantSplit/>
        </w:trPr>
        <w:tc>
          <w:tcPr>
            <w:tcW w:type="dxa" w:w="2592"/>
            <w:shd w:val="clear" w:color="auto" w:fill="FAFBFC"/>
            <w:vAlign w:val="center"/>
          </w:tcPr>
          <w:p>
            <w:pPr>
              <w:spacing w:line="252" w:lineRule="auto" w:before="20" w:after="20"/>
              <w:jc w:val="left"/>
            </w:pPr>
            <w:r>
              <w:rPr>
                <w:rFonts w:ascii="Times New Roman" w:hAnsi="Times New Roman"/>
                <w:sz w:val="18"/>
              </w:rPr>
              <w:t>User to Project</w:t>
            </w:r>
          </w:p>
        </w:tc>
        <w:tc>
          <w:tcPr>
            <w:tcW w:type="dxa" w:w="2016"/>
            <w:shd w:val="clear" w:color="auto" w:fill="FAFBFC"/>
            <w:vAlign w:val="center"/>
          </w:tcPr>
          <w:p>
            <w:pPr>
              <w:spacing w:line="252" w:lineRule="auto" w:before="20" w:after="20"/>
              <w:jc w:val="left"/>
            </w:pPr>
            <w:r>
              <w:rPr>
                <w:rFonts w:ascii="Times New Roman" w:hAnsi="Times New Roman"/>
                <w:sz w:val="18"/>
              </w:rPr>
              <w:t>1 : N (One-to-Many)</w:t>
            </w:r>
          </w:p>
        </w:tc>
        <w:tc>
          <w:tcPr>
            <w:tcW w:type="dxa" w:w="4061"/>
            <w:shd w:val="clear" w:color="auto" w:fill="FAFBFC"/>
            <w:vAlign w:val="center"/>
          </w:tcPr>
          <w:p>
            <w:pPr>
              <w:spacing w:line="252" w:lineRule="auto" w:before="20" w:after="20"/>
              <w:jc w:val="left"/>
            </w:pPr>
            <w:r>
              <w:rPr>
                <w:rFonts w:ascii="Times New Roman" w:hAnsi="Times New Roman"/>
                <w:sz w:val="18"/>
              </w:rPr>
              <w:t>A user acts as Owner of zero or more engineering projects. Projects cascade upon owner deletion.</w:t>
            </w:r>
          </w:p>
        </w:tc>
      </w:tr>
      <w:tr>
        <w:trPr>
          <w:cantSplit/>
        </w:trPr>
        <w:tc>
          <w:tcPr>
            <w:tcW w:type="dxa" w:w="2592"/>
            <w:vAlign w:val="center"/>
          </w:tcPr>
          <w:p>
            <w:pPr>
              <w:spacing w:line="252" w:lineRule="auto" w:before="20" w:after="20"/>
              <w:jc w:val="left"/>
            </w:pPr>
            <w:r>
              <w:rPr>
                <w:rFonts w:ascii="Times New Roman" w:hAnsi="Times New Roman"/>
                <w:sz w:val="18"/>
              </w:rPr>
              <w:t>Project to Collaborator</w:t>
            </w:r>
          </w:p>
        </w:tc>
        <w:tc>
          <w:tcPr>
            <w:tcW w:type="dxa" w:w="2016"/>
            <w:vAlign w:val="center"/>
          </w:tcPr>
          <w:p>
            <w:pPr>
              <w:spacing w:line="252" w:lineRule="auto" w:before="20" w:after="20"/>
              <w:jc w:val="left"/>
            </w:pPr>
            <w:r>
              <w:rPr>
                <w:rFonts w:ascii="Times New Roman" w:hAnsi="Times New Roman"/>
                <w:sz w:val="18"/>
              </w:rPr>
              <w:t>1 : N (One-to-Many)</w:t>
            </w:r>
          </w:p>
        </w:tc>
        <w:tc>
          <w:tcPr>
            <w:tcW w:type="dxa" w:w="4061"/>
            <w:vAlign w:val="center"/>
          </w:tcPr>
          <w:p>
            <w:pPr>
              <w:spacing w:line="252" w:lineRule="auto" w:before="20" w:after="20"/>
              <w:jc w:val="left"/>
            </w:pPr>
            <w:r>
              <w:rPr>
                <w:rFonts w:ascii="Times New Roman" w:hAnsi="Times New Roman"/>
                <w:sz w:val="18"/>
              </w:rPr>
              <w:t>Users are invited to projects under 'read', 'write', or 'admin' access roles via Project_Collaborator.</w:t>
            </w:r>
          </w:p>
        </w:tc>
      </w:tr>
      <w:tr>
        <w:trPr>
          <w:cantSplit/>
        </w:trPr>
        <w:tc>
          <w:tcPr>
            <w:tcW w:type="dxa" w:w="2592"/>
            <w:shd w:val="clear" w:color="auto" w:fill="FAFBFC"/>
            <w:vAlign w:val="center"/>
          </w:tcPr>
          <w:p>
            <w:pPr>
              <w:spacing w:line="252" w:lineRule="auto" w:before="20" w:after="20"/>
              <w:jc w:val="left"/>
            </w:pPr>
            <w:r>
              <w:rPr>
                <w:rFonts w:ascii="Times New Roman" w:hAnsi="Times New Roman"/>
                <w:sz w:val="18"/>
              </w:rPr>
              <w:t>Project to Saved_Selection</w:t>
            </w:r>
          </w:p>
        </w:tc>
        <w:tc>
          <w:tcPr>
            <w:tcW w:type="dxa" w:w="2016"/>
            <w:shd w:val="clear" w:color="auto" w:fill="FAFBFC"/>
            <w:vAlign w:val="center"/>
          </w:tcPr>
          <w:p>
            <w:pPr>
              <w:spacing w:line="252" w:lineRule="auto" w:before="20" w:after="20"/>
              <w:jc w:val="left"/>
            </w:pPr>
            <w:r>
              <w:rPr>
                <w:rFonts w:ascii="Times New Roman" w:hAnsi="Times New Roman"/>
                <w:sz w:val="18"/>
              </w:rPr>
              <w:t>1 : N (One-to-Many)</w:t>
            </w:r>
          </w:p>
        </w:tc>
        <w:tc>
          <w:tcPr>
            <w:tcW w:type="dxa" w:w="4061"/>
            <w:shd w:val="clear" w:color="auto" w:fill="FAFBFC"/>
            <w:vAlign w:val="center"/>
          </w:tcPr>
          <w:p>
            <w:pPr>
              <w:spacing w:line="252" w:lineRule="auto" w:before="20" w:after="20"/>
              <w:jc w:val="left"/>
            </w:pPr>
            <w:r>
              <w:rPr>
                <w:rFonts w:ascii="Times New Roman" w:hAnsi="Times New Roman"/>
                <w:sz w:val="18"/>
              </w:rPr>
              <w:t>A project records multiple selection iterations, capturing evolving engineering specifications.</w:t>
            </w:r>
          </w:p>
        </w:tc>
      </w:tr>
      <w:tr>
        <w:trPr>
          <w:cantSplit/>
        </w:trPr>
        <w:tc>
          <w:tcPr>
            <w:tcW w:type="dxa" w:w="2592"/>
            <w:vAlign w:val="center"/>
          </w:tcPr>
          <w:p>
            <w:pPr>
              <w:spacing w:line="252" w:lineRule="auto" w:before="20" w:after="20"/>
              <w:jc w:val="left"/>
            </w:pPr>
            <w:r>
              <w:rPr>
                <w:rFonts w:ascii="Times New Roman" w:hAnsi="Times New Roman"/>
                <w:sz w:val="18"/>
              </w:rPr>
              <w:t>Saved_Selection to Requirement</w:t>
            </w:r>
          </w:p>
        </w:tc>
        <w:tc>
          <w:tcPr>
            <w:tcW w:type="dxa" w:w="2016"/>
            <w:vAlign w:val="center"/>
          </w:tcPr>
          <w:p>
            <w:pPr>
              <w:spacing w:line="252" w:lineRule="auto" w:before="20" w:after="20"/>
              <w:jc w:val="left"/>
            </w:pPr>
            <w:r>
              <w:rPr>
                <w:rFonts w:ascii="Times New Roman" w:hAnsi="Times New Roman"/>
                <w:sz w:val="18"/>
              </w:rPr>
              <w:t>1 : N (One-to-Many)</w:t>
            </w:r>
          </w:p>
        </w:tc>
        <w:tc>
          <w:tcPr>
            <w:tcW w:type="dxa" w:w="4061"/>
            <w:vAlign w:val="center"/>
          </w:tcPr>
          <w:p>
            <w:pPr>
              <w:spacing w:line="252" w:lineRule="auto" w:before="20" w:after="20"/>
              <w:jc w:val="left"/>
            </w:pPr>
            <w:r>
              <w:rPr>
                <w:rFonts w:ascii="Times New Roman" w:hAnsi="Times New Roman"/>
                <w:sz w:val="18"/>
              </w:rPr>
              <w:t>Captures the exact numerical constraints and priority weights used during that selection run.</w:t>
            </w:r>
          </w:p>
        </w:tc>
      </w:tr>
    </w:tbl>
    <w:p>
      <w:pPr>
        <w:keepNext/>
        <w:spacing w:before="240" w:after="80"/>
        <w:jc w:val="left"/>
      </w:pPr>
      <w:r>
        <w:rPr>
          <w:rFonts w:ascii="Times New Roman" w:hAnsi="Times New Roman"/>
          <w:b/>
          <w:sz w:val="26"/>
        </w:rPr>
        <w:t>3.4 Relational Schema &amp; Normalization Analysis</w:t>
      </w:r>
    </w:p>
    <w:p>
      <w:pPr>
        <w:spacing w:before="0" w:after="80" w:line="324" w:lineRule="auto"/>
        <w:jc w:val="both"/>
      </w:pPr>
      <w:r>
        <w:rPr>
          <w:rFonts w:ascii="Times New Roman" w:hAnsi="Times New Roman"/>
          <w:b w:val="0"/>
          <w:i w:val="0"/>
          <w:sz w:val="24"/>
        </w:rPr>
        <w:t>The conceptual ER model is mapped to a formal relational schema. In relational notation, primary keys are underlined, and foreign keys are designated in italics:</w:t>
      </w:r>
    </w:p>
    <w:p>
      <w:pPr>
        <w:pStyle w:val="ListBullet"/>
        <w:spacing w:before="20" w:after="60" w:line="312" w:lineRule="auto"/>
        <w:ind w:left="432"/>
        <w:jc w:val="both"/>
      </w:pPr>
      <w:r>
        <w:rPr>
          <w:rFonts w:ascii="Times New Roman" w:hAnsi="Times New Roman"/>
          <w:b/>
          <w:sz w:val="24"/>
        </w:rPr>
        <w:t>Data_Source</w:t>
      </w:r>
      <w:r>
        <w:rPr>
          <w:rFonts w:ascii="Times New Roman" w:hAnsi="Times New Roman"/>
          <w:sz w:val="24"/>
        </w:rPr>
        <w:t>(source_id, source_key, name, url, note, data_kind, license, version, checksum, imported_at, summary_json, import_state)</w:t>
      </w:r>
    </w:p>
    <w:p>
      <w:pPr>
        <w:pStyle w:val="ListBullet"/>
        <w:spacing w:before="20" w:after="60" w:line="312" w:lineRule="auto"/>
        <w:ind w:left="432"/>
        <w:jc w:val="both"/>
      </w:pPr>
      <w:r>
        <w:rPr>
          <w:rFonts w:ascii="Times New Roman" w:hAnsi="Times New Roman"/>
          <w:b/>
          <w:sz w:val="24"/>
        </w:rPr>
        <w:t>Material_Category</w:t>
      </w:r>
      <w:r>
        <w:rPr>
          <w:rFonts w:ascii="Times New Roman" w:hAnsi="Times New Roman"/>
          <w:sz w:val="24"/>
        </w:rPr>
        <w:t>(category_id, name, description)</w:t>
      </w:r>
    </w:p>
    <w:p>
      <w:pPr>
        <w:pStyle w:val="ListBullet"/>
        <w:spacing w:before="20" w:after="60" w:line="312" w:lineRule="auto"/>
        <w:ind w:left="432"/>
        <w:jc w:val="both"/>
      </w:pPr>
      <w:r>
        <w:rPr>
          <w:rFonts w:ascii="Times New Roman" w:hAnsi="Times New Roman"/>
          <w:b/>
          <w:sz w:val="24"/>
        </w:rPr>
        <w:t>Material</w:t>
      </w:r>
      <w:r>
        <w:rPr>
          <w:rFonts w:ascii="Times New Roman" w:hAnsi="Times New Roman"/>
          <w:sz w:val="24"/>
        </w:rPr>
        <w:t>(material_id, source_id, category_id, external_id, name, description, formula, crystal_system, space_group_number, is_active, metadata_json, created_at, updated_at)</w:t>
      </w:r>
    </w:p>
    <w:p>
      <w:pPr>
        <w:pStyle w:val="ListBullet"/>
        <w:spacing w:before="20" w:after="60" w:line="312" w:lineRule="auto"/>
        <w:ind w:left="432"/>
        <w:jc w:val="both"/>
      </w:pPr>
      <w:r>
        <w:rPr>
          <w:rFonts w:ascii="Times New Roman" w:hAnsi="Times New Roman"/>
          <w:b/>
          <w:sz w:val="24"/>
        </w:rPr>
        <w:t>Property</w:t>
      </w:r>
      <w:r>
        <w:rPr>
          <w:rFonts w:ascii="Times New Roman" w:hAnsi="Times New Roman"/>
          <w:sz w:val="24"/>
        </w:rPr>
        <w:t>(property_id, property_key, name, unit, data_type, category, description, is_active)</w:t>
      </w:r>
    </w:p>
    <w:p>
      <w:pPr>
        <w:pStyle w:val="ListBullet"/>
        <w:spacing w:before="20" w:after="60" w:line="312" w:lineRule="auto"/>
        <w:ind w:left="432"/>
        <w:jc w:val="both"/>
      </w:pPr>
      <w:r>
        <w:rPr>
          <w:rFonts w:ascii="Times New Roman" w:hAnsi="Times New Roman"/>
          <w:b/>
          <w:sz w:val="24"/>
        </w:rPr>
        <w:t>Material_Property</w:t>
      </w:r>
      <w:r>
        <w:rPr>
          <w:rFonts w:ascii="Times New Roman" w:hAnsi="Times New Roman"/>
          <w:sz w:val="24"/>
        </w:rPr>
        <w:t>(material_id, property_id, numeric_value, text_value, uncertainty, test_conditions, is_estimated)</w:t>
      </w:r>
    </w:p>
    <w:p>
      <w:pPr>
        <w:pStyle w:val="ListBullet"/>
        <w:spacing w:before="20" w:after="60" w:line="312" w:lineRule="auto"/>
        <w:ind w:left="432"/>
        <w:jc w:val="both"/>
      </w:pPr>
      <w:r>
        <w:rPr>
          <w:rFonts w:ascii="Times New Roman" w:hAnsi="Times New Roman"/>
          <w:b/>
          <w:sz w:val="24"/>
        </w:rPr>
        <w:t>Application</w:t>
      </w:r>
      <w:r>
        <w:rPr>
          <w:rFonts w:ascii="Times New Roman" w:hAnsi="Times New Roman"/>
          <w:sz w:val="24"/>
        </w:rPr>
        <w:t>(application_id, name, category, description)</w:t>
      </w:r>
    </w:p>
    <w:p>
      <w:pPr>
        <w:pStyle w:val="ListBullet"/>
        <w:spacing w:before="20" w:after="60" w:line="312" w:lineRule="auto"/>
        <w:ind w:left="432"/>
        <w:jc w:val="both"/>
      </w:pPr>
      <w:r>
        <w:rPr>
          <w:rFonts w:ascii="Times New Roman" w:hAnsi="Times New Roman"/>
          <w:b/>
          <w:sz w:val="24"/>
        </w:rPr>
        <w:t>Material_Application</w:t>
      </w:r>
      <w:r>
        <w:rPr>
          <w:rFonts w:ascii="Times New Roman" w:hAnsi="Times New Roman"/>
          <w:sz w:val="24"/>
        </w:rPr>
        <w:t>(material_id, application_id, suitability_score, notes)</w:t>
      </w:r>
    </w:p>
    <w:p>
      <w:pPr>
        <w:pStyle w:val="ListBullet"/>
        <w:spacing w:before="20" w:after="60" w:line="312" w:lineRule="auto"/>
        <w:ind w:left="432"/>
        <w:jc w:val="both"/>
      </w:pPr>
      <w:r>
        <w:rPr>
          <w:rFonts w:ascii="Times New Roman" w:hAnsi="Times New Roman"/>
          <w:b/>
          <w:sz w:val="24"/>
        </w:rPr>
        <w:t>User</w:t>
      </w:r>
      <w:r>
        <w:rPr>
          <w:rFonts w:ascii="Times New Roman" w:hAnsi="Times New Roman"/>
          <w:sz w:val="24"/>
        </w:rPr>
        <w:t>(user_id, email, password_hash, full_name, role, created_at, last_login)</w:t>
      </w:r>
    </w:p>
    <w:p>
      <w:pPr>
        <w:pStyle w:val="ListBullet"/>
        <w:spacing w:before="20" w:after="60" w:line="312" w:lineRule="auto"/>
        <w:ind w:left="432"/>
        <w:jc w:val="both"/>
      </w:pPr>
      <w:r>
        <w:rPr>
          <w:rFonts w:ascii="Times New Roman" w:hAnsi="Times New Roman"/>
          <w:b/>
          <w:sz w:val="24"/>
        </w:rPr>
        <w:t>Project</w:t>
      </w:r>
      <w:r>
        <w:rPr>
          <w:rFonts w:ascii="Times New Roman" w:hAnsi="Times New Roman"/>
          <w:sz w:val="24"/>
        </w:rPr>
        <w:t>(project_id, owner_id, name, description, status, created_at, updated_at)</w:t>
      </w:r>
    </w:p>
    <w:p>
      <w:pPr>
        <w:pStyle w:val="ListBullet"/>
        <w:spacing w:before="20" w:after="60" w:line="312" w:lineRule="auto"/>
        <w:ind w:left="432"/>
        <w:jc w:val="both"/>
      </w:pPr>
      <w:r>
        <w:rPr>
          <w:rFonts w:ascii="Times New Roman" w:hAnsi="Times New Roman"/>
          <w:b/>
          <w:sz w:val="24"/>
        </w:rPr>
        <w:t>Project_Collaborator</w:t>
      </w:r>
      <w:r>
        <w:rPr>
          <w:rFonts w:ascii="Times New Roman" w:hAnsi="Times New Roman"/>
          <w:sz w:val="24"/>
        </w:rPr>
        <w:t>(project_id, user_id, permission, invited_at)</w:t>
      </w:r>
    </w:p>
    <w:p>
      <w:pPr>
        <w:pStyle w:val="ListBullet"/>
        <w:spacing w:before="20" w:after="60" w:line="312" w:lineRule="auto"/>
        <w:ind w:left="432"/>
        <w:jc w:val="both"/>
      </w:pPr>
      <w:r>
        <w:rPr>
          <w:rFonts w:ascii="Times New Roman" w:hAnsi="Times New Roman"/>
          <w:b/>
          <w:sz w:val="24"/>
        </w:rPr>
        <w:t>Saved_Selection</w:t>
      </w:r>
      <w:r>
        <w:rPr>
          <w:rFonts w:ascii="Times New Roman" w:hAnsi="Times New Roman"/>
          <w:sz w:val="24"/>
        </w:rPr>
        <w:t>(selection_id, project_id, user_id, title, notes, created_at)</w:t>
      </w:r>
    </w:p>
    <w:p>
      <w:pPr>
        <w:pStyle w:val="ListBullet"/>
        <w:spacing w:before="20" w:after="60" w:line="312" w:lineRule="auto"/>
        <w:ind w:left="432"/>
        <w:jc w:val="both"/>
      </w:pPr>
      <w:r>
        <w:rPr>
          <w:rFonts w:ascii="Times New Roman" w:hAnsi="Times New Roman"/>
          <w:b/>
          <w:sz w:val="24"/>
        </w:rPr>
        <w:t>Selection_Requirement</w:t>
      </w:r>
      <w:r>
        <w:rPr>
          <w:rFonts w:ascii="Times New Roman" w:hAnsi="Times New Roman"/>
          <w:sz w:val="24"/>
        </w:rPr>
        <w:t>(requirement_id, selection_id, property_id, min_value, max_value, target_value, weight, is_mandatory)</w:t>
      </w:r>
    </w:p>
    <w:p>
      <w:pPr>
        <w:spacing w:before="0" w:after="80" w:line="324" w:lineRule="auto"/>
        <w:jc w:val="both"/>
      </w:pPr>
      <w:r>
        <w:rPr>
          <w:rFonts w:ascii="Times New Roman" w:hAnsi="Times New Roman"/>
          <w:b w:val="0"/>
          <w:i w:val="0"/>
          <w:sz w:val="24"/>
        </w:rPr>
        <w:t>Figure 3.2 illustrates the physical relational schema dependency and foreign key map across the active database tables, designating primary keys, foreign key constraints, cascade rules, and entity groupings.</w:t>
      </w:r>
    </w:p>
    <w:p>
      <w:pPr>
        <w:keepNext/>
        <w:spacing w:before="160" w:after="40"/>
        <w:jc w:val="center"/>
      </w:pPr>
      <w:r>
        <w:drawing>
          <wp:inline xmlns:a="http://schemas.openxmlformats.org/drawingml/2006/main" xmlns:pic="http://schemas.openxmlformats.org/drawingml/2006/picture">
            <wp:extent cx="5486400" cy="4629150"/>
            <wp:docPr id="7" name="Picture 7"/>
            <wp:cNvGraphicFramePr>
              <a:graphicFrameLocks noChangeAspect="1"/>
            </wp:cNvGraphicFramePr>
            <a:graphic>
              <a:graphicData uri="http://schemas.openxmlformats.org/drawingml/2006/picture">
                <pic:pic>
                  <pic:nvPicPr>
                    <pic:cNvPr id="0" name="Fig3-2_Relational_Schema_Map.png"/>
                    <pic:cNvPicPr/>
                  </pic:nvPicPr>
                  <pic:blipFill>
                    <a:blip r:embed="rId17"/>
                    <a:stretch>
                      <a:fillRect/>
                    </a:stretch>
                  </pic:blipFill>
                  <pic:spPr>
                    <a:xfrm>
                      <a:off x="0" y="0"/>
                      <a:ext cx="5486400" cy="4629150"/>
                    </a:xfrm>
                    <a:prstGeom prst="rect"/>
                  </pic:spPr>
                </pic:pic>
              </a:graphicData>
            </a:graphic>
          </wp:inline>
        </w:drawing>
      </w:r>
    </w:p>
    <w:p>
      <w:pPr>
        <w:keepNext w:val="0"/>
        <w:spacing w:before="40" w:after="200"/>
        <w:jc w:val="center"/>
      </w:pPr>
      <w:r>
        <w:rPr>
          <w:rFonts w:ascii="Times New Roman" w:hAnsi="Times New Roman"/>
          <w:b/>
          <w:sz w:val="21"/>
        </w:rPr>
        <w:t>Figure 3.2 — Relational schema dependency and foreign key map across the core database tables.</w:t>
      </w:r>
    </w:p>
    <w:p>
      <w:pPr>
        <w:keepNext/>
        <w:spacing w:before="160" w:after="40"/>
        <w:jc w:val="left"/>
      </w:pPr>
      <w:r>
        <w:rPr>
          <w:rFonts w:ascii="Times New Roman" w:hAnsi="Times New Roman"/>
          <w:b/>
          <w:i/>
          <w:sz w:val="24"/>
        </w:rPr>
        <w:t>Formal Third Normal Form (3NF) Normalization Proof</w:t>
      </w:r>
    </w:p>
    <w:p>
      <w:pPr>
        <w:spacing w:before="0" w:after="80" w:line="324" w:lineRule="auto"/>
        <w:jc w:val="both"/>
      </w:pPr>
      <w:r>
        <w:rPr>
          <w:rFonts w:ascii="Times New Roman" w:hAnsi="Times New Roman"/>
          <w:b w:val="0"/>
          <w:i w:val="0"/>
          <w:sz w:val="24"/>
        </w:rPr>
        <w:t>To ensure optimal data consistency and prevent update, insertion, and deletion anomalies, the Starbase relational design was systematically normalized to Third Normal Form (3NF) [14, 15]. The proof proceeds through functional dependency (FD) analysis across the core entities:</w:t>
      </w:r>
    </w:p>
    <w:p>
      <w:pPr>
        <w:spacing w:before="0" w:after="80" w:line="324" w:lineRule="auto"/>
        <w:jc w:val="both"/>
      </w:pPr>
      <w:r>
        <w:rPr>
          <w:rFonts w:ascii="Times New Roman" w:hAnsi="Times New Roman"/>
          <w:b/>
          <w:i w:val="0"/>
          <w:sz w:val="24"/>
        </w:rPr>
        <w:t>1. Functional Dependencies Governing the Domain:</w:t>
      </w:r>
    </w:p>
    <w:p>
      <w:pPr>
        <w:spacing w:before="0" w:after="80" w:line="324" w:lineRule="auto"/>
        <w:jc w:val="both"/>
      </w:pPr>
      <w:r>
        <w:rPr>
          <w:rFonts w:ascii="Times New Roman" w:hAnsi="Times New Roman"/>
          <w:b w:val="0"/>
          <w:i w:val="0"/>
          <w:sz w:val="24"/>
        </w:rPr>
        <w:t>Let the primary functional dependencies identified in the materials selection domain be:</w:t>
        <w:br/>
        <w:t>• FD1 (Data_Source): source_id -&gt; {source_key, name, url, data_kind, license, version, checksum}</w:t>
        <w:br/>
        <w:t>• FD2 (Material_Category): category_id -&gt; {name, description}</w:t>
        <w:br/>
        <w:t>• FD3 (Property): property_id -&gt; {property_key, name, unit, data_type, category, description}</w:t>
        <w:br/>
        <w:t>• FD4 (Material): material_id -&gt; {source_id, category_id, external_id, name, description, formula, crystal_system, space_group_number}</w:t>
        <w:br/>
        <w:t>• FD5 (Material_Property): {material_id, property_id} -&gt; {numeric_value, text_value, uncertainty, test_conditions, is_estimated}</w:t>
        <w:br/>
        <w:t>• FD6 (Project): project_id -&gt; {owner_id, name, description, status, created_at}</w:t>
        <w:br/>
        <w:t>• FD7 (User): user_id -&gt; {email, password_hash, full_name, role}</w:t>
      </w:r>
    </w:p>
    <w:p>
      <w:pPr>
        <w:spacing w:before="0" w:after="80" w:line="324" w:lineRule="auto"/>
        <w:jc w:val="both"/>
      </w:pPr>
      <w:r>
        <w:rPr>
          <w:rFonts w:ascii="Times New Roman" w:hAnsi="Times New Roman"/>
          <w:b/>
          <w:i w:val="0"/>
          <w:sz w:val="24"/>
        </w:rPr>
        <w:t>2. First Normal Form (1NF) Compliance:</w:t>
      </w:r>
    </w:p>
    <w:p>
      <w:pPr>
        <w:spacing w:before="0" w:after="80" w:line="324" w:lineRule="auto"/>
        <w:jc w:val="both"/>
      </w:pPr>
      <w:r>
        <w:rPr>
          <w:rFonts w:ascii="Times New Roman" w:hAnsi="Times New Roman"/>
          <w:b w:val="0"/>
          <w:i w:val="0"/>
          <w:sz w:val="24"/>
        </w:rPr>
        <w:t>A relation is in 1NF if and only if all underlying domains contain only atomic (indivisible) values, and there are no repeating groups. In unnormalized materials tables, multiple physical properties (e.g., tensile strength, density, thermal conductivity) are frequently packed into delimited strings or varying multi-valued arrays. In Starbase, every property measurement is decoupled into an atomic row in Material_Property, where numeric_value is a scalar DOUBLE and text_value is an atomic VARCHAR. No multi-valued attributes exist; hence, all relations satisfy 1NF.</w:t>
      </w:r>
    </w:p>
    <w:p>
      <w:pPr>
        <w:spacing w:before="0" w:after="80" w:line="324" w:lineRule="auto"/>
        <w:jc w:val="both"/>
      </w:pPr>
      <w:r>
        <w:rPr>
          <w:rFonts w:ascii="Times New Roman" w:hAnsi="Times New Roman"/>
          <w:b/>
          <w:i w:val="0"/>
          <w:sz w:val="24"/>
        </w:rPr>
        <w:t>3. Second Normal Form (2NF) Compliance:</w:t>
      </w:r>
    </w:p>
    <w:p>
      <w:pPr>
        <w:spacing w:before="0" w:after="80" w:line="324" w:lineRule="auto"/>
        <w:jc w:val="both"/>
      </w:pPr>
      <w:r>
        <w:rPr>
          <w:rFonts w:ascii="Times New Roman" w:hAnsi="Times New Roman"/>
          <w:b w:val="0"/>
          <w:i w:val="0"/>
          <w:sz w:val="24"/>
        </w:rPr>
        <w:t>A relation is in 2NF if it is in 1NF and every non-prime attribute is fully functionally dependent on the entire primary key (no partial key dependencies). In all single-attribute primary key relations (Material, Property, Data_Source, User, Project), partial key dependencies are impossible by definition. In the composite-key relation Material_Property, the primary key is {material_id, property_id}. The non-prime attributes {numeric_value, text_value, uncertainty} depend simultaneously on BOTH the specific material and the specific property being measured. A material_id alone cannot determine a tensile strength value, nor can a property_id alone determine the strength of an unstated material. Therefore, no partial key dependencies exist, and Material_Property satisfies 2NF.</w:t>
      </w:r>
    </w:p>
    <w:p>
      <w:pPr>
        <w:spacing w:before="0" w:after="80" w:line="324" w:lineRule="auto"/>
        <w:jc w:val="both"/>
      </w:pPr>
      <w:r>
        <w:rPr>
          <w:rFonts w:ascii="Times New Roman" w:hAnsi="Times New Roman"/>
          <w:b/>
          <w:i w:val="0"/>
          <w:sz w:val="24"/>
        </w:rPr>
        <w:t>4. Third Normal Form (3NF) Compliance:</w:t>
      </w:r>
    </w:p>
    <w:p>
      <w:pPr>
        <w:spacing w:before="0" w:after="80" w:line="324" w:lineRule="auto"/>
        <w:jc w:val="both"/>
      </w:pPr>
      <w:r>
        <w:rPr>
          <w:rFonts w:ascii="Times New Roman" w:hAnsi="Times New Roman"/>
          <w:b w:val="0"/>
          <w:i w:val="0"/>
          <w:sz w:val="24"/>
        </w:rPr>
        <w:t>A relation is in 3NF if it is in 2NF and no non-prime attribute is transitively dependent on the primary key (X -&gt; Y and Y -&gt; Z where Z is non-prime). In an unnormalized design where Material inlines category descriptions and data source licensing, transitive dependencies arise: material_id -&gt; category_id -&gt; category_description. If the category description changes, multiple material rows must be updated. Starbase eliminates all such transitive dependencies by decomposing category attributes into Material_Category and repository metadata into Data_Source. In every relation, for every non-trivial functional dependency X -&gt; Y, X is a superkey. Thus, the database satisfies 3NF.</w:t>
      </w:r>
    </w:p>
    <w:p>
      <w:pPr>
        <w:spacing w:before="0" w:after="80" w:line="324" w:lineRule="auto"/>
        <w:jc w:val="both"/>
      </w:pPr>
      <w:r>
        <w:rPr>
          <w:rFonts w:ascii="Times New Roman" w:hAnsi="Times New Roman"/>
          <w:b/>
          <w:i w:val="0"/>
          <w:sz w:val="24"/>
        </w:rPr>
        <w:t>5. Prevention of Operational Anomalies:</w:t>
      </w:r>
    </w:p>
    <w:p>
      <w:pPr>
        <w:pStyle w:val="ListBullet"/>
        <w:spacing w:before="20" w:after="60" w:line="312" w:lineRule="auto"/>
        <w:ind w:left="432"/>
        <w:jc w:val="both"/>
      </w:pPr>
      <w:r>
        <w:rPr>
          <w:rFonts w:ascii="Times New Roman" w:hAnsi="Times New Roman"/>
          <w:b/>
          <w:sz w:val="24"/>
        </w:rPr>
        <w:t xml:space="preserve">Insertion Anomalies: </w:t>
      </w:r>
      <w:r>
        <w:rPr>
          <w:rFonts w:ascii="Times New Roman" w:hAnsi="Times New Roman"/>
          <w:sz w:val="24"/>
        </w:rPr>
        <w:t>A new material property definition (e.g., Critical Magnetic Field) can be registered in Property without requiring a dummy material record to exist.</w:t>
      </w:r>
    </w:p>
    <w:p>
      <w:pPr>
        <w:pStyle w:val="ListBullet"/>
        <w:spacing w:before="20" w:after="60" w:line="312" w:lineRule="auto"/>
        <w:ind w:left="432"/>
        <w:jc w:val="both"/>
      </w:pPr>
      <w:r>
        <w:rPr>
          <w:rFonts w:ascii="Times New Roman" w:hAnsi="Times New Roman"/>
          <w:b/>
          <w:sz w:val="24"/>
        </w:rPr>
        <w:t xml:space="preserve">Deletion Anomalies: </w:t>
      </w:r>
      <w:r>
        <w:rPr>
          <w:rFonts w:ascii="Times New Roman" w:hAnsi="Times New Roman"/>
          <w:sz w:val="24"/>
        </w:rPr>
        <w:t>Deleting a discontinued material candidate does not purge the shared physical property definition or the catalog data source licensing terms.</w:t>
      </w:r>
    </w:p>
    <w:p>
      <w:pPr>
        <w:pStyle w:val="ListBullet"/>
        <w:spacing w:before="20" w:after="60" w:line="312" w:lineRule="auto"/>
        <w:ind w:left="432"/>
        <w:jc w:val="both"/>
      </w:pPr>
      <w:r>
        <w:rPr>
          <w:rFonts w:ascii="Times New Roman" w:hAnsi="Times New Roman"/>
          <w:b/>
          <w:sz w:val="24"/>
        </w:rPr>
        <w:t xml:space="preserve">Update Anomalies: </w:t>
      </w:r>
      <w:r>
        <w:rPr>
          <w:rFonts w:ascii="Times New Roman" w:hAnsi="Times New Roman"/>
          <w:sz w:val="24"/>
        </w:rPr>
        <w:t>If an authoritative repository updates its download URL or version string, the update is executed on exactly one row in Data_Source, instantly propagating across all associated material records.</w:t>
      </w:r>
    </w:p>
    <w:p>
      <w:pPr>
        <w:keepNext/>
        <w:spacing w:before="160" w:after="40"/>
        <w:jc w:val="left"/>
      </w:pPr>
      <w:r>
        <w:rPr>
          <w:rFonts w:ascii="Times New Roman" w:hAnsi="Times New Roman"/>
          <w:b/>
          <w:i/>
          <w:sz w:val="24"/>
        </w:rPr>
        <w:t>Trade-off Analysis: Property-Dictionary (EAV) Model versus Wide Flat Tables</w:t>
      </w:r>
    </w:p>
    <w:p>
      <w:pPr>
        <w:spacing w:before="0" w:after="80" w:line="324" w:lineRule="auto"/>
        <w:jc w:val="both"/>
      </w:pPr>
      <w:r>
        <w:rPr>
          <w:rFonts w:ascii="Times New Roman" w:hAnsi="Times New Roman"/>
          <w:b w:val="0"/>
          <w:i w:val="0"/>
          <w:sz w:val="24"/>
        </w:rPr>
        <w:t>A foundational architectural decision in Starbase was adopting a normalized property dictionary (Entity-Attribute-Value) model for physical attributes rather than a traditional wide columnar table. In materials science, cataloging millions of items involves extreme heterogeneity: while metals report hardness, yield strength, and shear modulus, optical crystals report refractive indices and dielectric constants, and polymers report glass transition temperatures. A wide table encompassing all 40+ recognized properties across 6.26M rows would require over 250 million table cells, of which over 92% would be NULL. This causes severe index page fragmentation, wasteful disk footprint, and rigid schema change requirements. Conversely, the EAV model stores only measured properties, provides infinite extensibility for new physical metrics, and leverages compact composite B-tree indexes for lightning-fast range queries.</w:t>
      </w:r>
    </w:p>
    <w:p>
      <w:pPr>
        <w:keepNext/>
        <w:spacing w:before="240" w:after="80"/>
        <w:jc w:val="left"/>
      </w:pPr>
      <w:r>
        <w:rPr>
          <w:rFonts w:ascii="Times New Roman" w:hAnsi="Times New Roman"/>
          <w:b/>
          <w:sz w:val="26"/>
        </w:rPr>
        <w:t>3.5 Database Tables and Attributes</w:t>
      </w:r>
    </w:p>
    <w:p>
      <w:pPr>
        <w:spacing w:before="0" w:after="80" w:line="324" w:lineRule="auto"/>
        <w:jc w:val="both"/>
      </w:pPr>
      <w:r>
        <w:rPr>
          <w:rFonts w:ascii="Times New Roman" w:hAnsi="Times New Roman"/>
          <w:b w:val="0"/>
          <w:i w:val="0"/>
          <w:sz w:val="24"/>
        </w:rPr>
        <w:t>Tables 3.4 through 3.10 specify the structural data dictionary for the core schema tables.</w:t>
      </w:r>
    </w:p>
    <w:p>
      <w:pPr>
        <w:keepNext/>
        <w:spacing w:before="160" w:after="60"/>
        <w:jc w:val="left"/>
      </w:pPr>
      <w:r>
        <w:rPr>
          <w:rFonts w:ascii="Times New Roman" w:hAnsi="Times New Roman"/>
          <w:b/>
          <w:sz w:val="21"/>
        </w:rPr>
        <w:t>Table 3.4 — Data Dictionary for Data_Source Entity.</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888"/>
        <w:gridCol w:w="2888"/>
        <w:gridCol w:w="2888"/>
      </w:tblGrid>
      <w:tr>
        <w:trPr>
          <w:cantSplit/>
          <w:tblHeader/>
        </w:trPr>
        <w:tc>
          <w:tcPr>
            <w:tcW w:type="dxa" w:w="2160"/>
            <w:shd w:val="clear" w:color="auto" w:fill="EAEFF5"/>
            <w:vAlign w:val="center"/>
          </w:tcPr>
          <w:p>
            <w:pPr>
              <w:spacing w:line="252" w:lineRule="auto" w:before="40" w:after="40"/>
              <w:jc w:val="left"/>
            </w:pPr>
            <w:r>
              <w:rPr>
                <w:rFonts w:ascii="Times New Roman" w:hAnsi="Times New Roman"/>
                <w:b/>
                <w:sz w:val="19"/>
              </w:rPr>
              <w:t>Attribute Name</w:t>
            </w:r>
          </w:p>
        </w:tc>
        <w:tc>
          <w:tcPr>
            <w:tcW w:type="dxa" w:w="2880"/>
            <w:shd w:val="clear" w:color="auto" w:fill="EAEFF5"/>
            <w:vAlign w:val="center"/>
          </w:tcPr>
          <w:p>
            <w:pPr>
              <w:spacing w:line="252" w:lineRule="auto" w:before="40" w:after="40"/>
              <w:jc w:val="left"/>
            </w:pPr>
            <w:r>
              <w:rPr>
                <w:rFonts w:ascii="Times New Roman" w:hAnsi="Times New Roman"/>
                <w:b/>
                <w:sz w:val="19"/>
              </w:rPr>
              <w:t>SQL Data Type</w:t>
            </w:r>
          </w:p>
        </w:tc>
        <w:tc>
          <w:tcPr>
            <w:tcW w:type="dxa" w:w="3629"/>
            <w:shd w:val="clear" w:color="auto" w:fill="EAEFF5"/>
            <w:vAlign w:val="center"/>
          </w:tcPr>
          <w:p>
            <w:pPr>
              <w:spacing w:line="252" w:lineRule="auto" w:before="40" w:after="40"/>
              <w:jc w:val="left"/>
            </w:pPr>
            <w:r>
              <w:rPr>
                <w:rFonts w:ascii="Times New Roman" w:hAnsi="Times New Roman"/>
                <w:b/>
                <w:sz w:val="19"/>
              </w:rPr>
              <w:t>Constraints &amp; Description</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source_id</w:t>
            </w:r>
          </w:p>
        </w:tc>
        <w:tc>
          <w:tcPr>
            <w:tcW w:type="dxa" w:w="2880"/>
            <w:shd w:val="clear" w:color="auto" w:fill="FAFBFC"/>
            <w:vAlign w:val="center"/>
          </w:tcPr>
          <w:p>
            <w:pPr>
              <w:spacing w:line="252" w:lineRule="auto" w:before="20" w:after="20"/>
              <w:jc w:val="left"/>
            </w:pPr>
            <w:r>
              <w:rPr>
                <w:rFonts w:ascii="Times New Roman" w:hAnsi="Times New Roman"/>
                <w:sz w:val="18"/>
              </w:rPr>
              <w:t>INT AUTO_INCREMENT</w:t>
            </w:r>
          </w:p>
        </w:tc>
        <w:tc>
          <w:tcPr>
            <w:tcW w:type="dxa" w:w="3629"/>
            <w:shd w:val="clear" w:color="auto" w:fill="FAFBFC"/>
            <w:vAlign w:val="center"/>
          </w:tcPr>
          <w:p>
            <w:pPr>
              <w:spacing w:line="252" w:lineRule="auto" w:before="20" w:after="20"/>
              <w:jc w:val="left"/>
            </w:pPr>
            <w:r>
              <w:rPr>
                <w:rFonts w:ascii="Times New Roman" w:hAnsi="Times New Roman"/>
                <w:sz w:val="18"/>
              </w:rPr>
              <w:t>PRIMARY KEY. Unique integer surrogate identifier.</w:t>
            </w:r>
          </w:p>
        </w:tc>
      </w:tr>
      <w:tr>
        <w:trPr>
          <w:cantSplit/>
        </w:trPr>
        <w:tc>
          <w:tcPr>
            <w:tcW w:type="dxa" w:w="2160"/>
            <w:vAlign w:val="center"/>
          </w:tcPr>
          <w:p>
            <w:pPr>
              <w:spacing w:line="252" w:lineRule="auto" w:before="20" w:after="20"/>
              <w:jc w:val="left"/>
            </w:pPr>
            <w:r>
              <w:rPr>
                <w:rFonts w:ascii="Times New Roman" w:hAnsi="Times New Roman"/>
                <w:sz w:val="18"/>
              </w:rPr>
              <w:t>source_key</w:t>
            </w:r>
          </w:p>
        </w:tc>
        <w:tc>
          <w:tcPr>
            <w:tcW w:type="dxa" w:w="2880"/>
            <w:vAlign w:val="center"/>
          </w:tcPr>
          <w:p>
            <w:pPr>
              <w:spacing w:line="252" w:lineRule="auto" w:before="20" w:after="20"/>
              <w:jc w:val="left"/>
            </w:pPr>
            <w:r>
              <w:rPr>
                <w:rFonts w:ascii="Times New Roman" w:hAnsi="Times New Roman"/>
                <w:sz w:val="18"/>
              </w:rPr>
              <w:t>VARCHAR(64)</w:t>
            </w:r>
          </w:p>
        </w:tc>
        <w:tc>
          <w:tcPr>
            <w:tcW w:type="dxa" w:w="3629"/>
            <w:vAlign w:val="center"/>
          </w:tcPr>
          <w:p>
            <w:pPr>
              <w:spacing w:line="252" w:lineRule="auto" w:before="20" w:after="20"/>
              <w:jc w:val="left"/>
            </w:pPr>
            <w:r>
              <w:rPr>
                <w:rFonts w:ascii="Times New Roman" w:hAnsi="Times New Roman"/>
                <w:sz w:val="18"/>
              </w:rPr>
              <w:t>UNIQUE NOT NULL. Semantic identifier (e.g., 'nist-jarvis-elastic').</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name</w:t>
            </w:r>
          </w:p>
        </w:tc>
        <w:tc>
          <w:tcPr>
            <w:tcW w:type="dxa" w:w="2880"/>
            <w:shd w:val="clear" w:color="auto" w:fill="FAFBFC"/>
            <w:vAlign w:val="center"/>
          </w:tcPr>
          <w:p>
            <w:pPr>
              <w:spacing w:line="252" w:lineRule="auto" w:before="20" w:after="20"/>
              <w:jc w:val="left"/>
            </w:pPr>
            <w:r>
              <w:rPr>
                <w:rFonts w:ascii="Times New Roman" w:hAnsi="Times New Roman"/>
                <w:sz w:val="18"/>
              </w:rPr>
              <w:t>VARCHAR(255)</w:t>
            </w:r>
          </w:p>
        </w:tc>
        <w:tc>
          <w:tcPr>
            <w:tcW w:type="dxa" w:w="3629"/>
            <w:shd w:val="clear" w:color="auto" w:fill="FAFBFC"/>
            <w:vAlign w:val="center"/>
          </w:tcPr>
          <w:p>
            <w:pPr>
              <w:spacing w:line="252" w:lineRule="auto" w:before="20" w:after="20"/>
              <w:jc w:val="left"/>
            </w:pPr>
            <w:r>
              <w:rPr>
                <w:rFonts w:ascii="Times New Roman" w:hAnsi="Times New Roman"/>
                <w:sz w:val="18"/>
              </w:rPr>
              <w:t>NOT NULL. Full descriptive title of the repository.</w:t>
            </w:r>
          </w:p>
        </w:tc>
      </w:tr>
      <w:tr>
        <w:trPr>
          <w:cantSplit/>
        </w:trPr>
        <w:tc>
          <w:tcPr>
            <w:tcW w:type="dxa" w:w="2160"/>
            <w:vAlign w:val="center"/>
          </w:tcPr>
          <w:p>
            <w:pPr>
              <w:spacing w:line="252" w:lineRule="auto" w:before="20" w:after="20"/>
              <w:jc w:val="left"/>
            </w:pPr>
            <w:r>
              <w:rPr>
                <w:rFonts w:ascii="Times New Roman" w:hAnsi="Times New Roman"/>
                <w:sz w:val="18"/>
              </w:rPr>
              <w:t>url</w:t>
            </w:r>
          </w:p>
        </w:tc>
        <w:tc>
          <w:tcPr>
            <w:tcW w:type="dxa" w:w="2880"/>
            <w:vAlign w:val="center"/>
          </w:tcPr>
          <w:p>
            <w:pPr>
              <w:spacing w:line="252" w:lineRule="auto" w:before="20" w:after="20"/>
              <w:jc w:val="left"/>
            </w:pPr>
            <w:r>
              <w:rPr>
                <w:rFonts w:ascii="Times New Roman" w:hAnsi="Times New Roman"/>
                <w:sz w:val="18"/>
              </w:rPr>
              <w:t>VARCHAR(500)</w:t>
            </w:r>
          </w:p>
        </w:tc>
        <w:tc>
          <w:tcPr>
            <w:tcW w:type="dxa" w:w="3629"/>
            <w:vAlign w:val="center"/>
          </w:tcPr>
          <w:p>
            <w:pPr>
              <w:spacing w:line="252" w:lineRule="auto" w:before="20" w:after="20"/>
              <w:jc w:val="left"/>
            </w:pPr>
            <w:r>
              <w:rPr>
                <w:rFonts w:ascii="Times New Roman" w:hAnsi="Times New Roman"/>
                <w:sz w:val="18"/>
              </w:rPr>
              <w:t>Official repository endpoint or persistent DOI web URL.</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data_kind</w:t>
            </w:r>
          </w:p>
        </w:tc>
        <w:tc>
          <w:tcPr>
            <w:tcW w:type="dxa" w:w="2880"/>
            <w:shd w:val="clear" w:color="auto" w:fill="FAFBFC"/>
            <w:vAlign w:val="center"/>
          </w:tcPr>
          <w:p>
            <w:pPr>
              <w:spacing w:line="252" w:lineRule="auto" w:before="20" w:after="20"/>
              <w:jc w:val="left"/>
            </w:pPr>
            <w:r>
              <w:rPr>
                <w:rFonts w:ascii="Times New Roman" w:hAnsi="Times New Roman"/>
                <w:sz w:val="18"/>
              </w:rPr>
              <w:t>ENUM('computed','experimental','literature-extracted')</w:t>
            </w:r>
          </w:p>
        </w:tc>
        <w:tc>
          <w:tcPr>
            <w:tcW w:type="dxa" w:w="3629"/>
            <w:shd w:val="clear" w:color="auto" w:fill="FAFBFC"/>
            <w:vAlign w:val="center"/>
          </w:tcPr>
          <w:p>
            <w:pPr>
              <w:spacing w:line="252" w:lineRule="auto" w:before="20" w:after="20"/>
              <w:jc w:val="left"/>
            </w:pPr>
            <w:r>
              <w:rPr>
                <w:rFonts w:ascii="Times New Roman" w:hAnsi="Times New Roman"/>
                <w:sz w:val="18"/>
              </w:rPr>
              <w:t>NOT NULL. Scientific methodology classification.</w:t>
            </w:r>
          </w:p>
        </w:tc>
      </w:tr>
      <w:tr>
        <w:trPr>
          <w:cantSplit/>
        </w:trPr>
        <w:tc>
          <w:tcPr>
            <w:tcW w:type="dxa" w:w="2160"/>
            <w:vAlign w:val="center"/>
          </w:tcPr>
          <w:p>
            <w:pPr>
              <w:spacing w:line="252" w:lineRule="auto" w:before="20" w:after="20"/>
              <w:jc w:val="left"/>
            </w:pPr>
            <w:r>
              <w:rPr>
                <w:rFonts w:ascii="Times New Roman" w:hAnsi="Times New Roman"/>
                <w:sz w:val="18"/>
              </w:rPr>
              <w:t>license</w:t>
            </w:r>
          </w:p>
        </w:tc>
        <w:tc>
          <w:tcPr>
            <w:tcW w:type="dxa" w:w="2880"/>
            <w:vAlign w:val="center"/>
          </w:tcPr>
          <w:p>
            <w:pPr>
              <w:spacing w:line="252" w:lineRule="auto" w:before="20" w:after="20"/>
              <w:jc w:val="left"/>
            </w:pPr>
            <w:r>
              <w:rPr>
                <w:rFonts w:ascii="Times New Roman" w:hAnsi="Times New Roman"/>
                <w:sz w:val="18"/>
              </w:rPr>
              <w:t>VARCHAR(255)</w:t>
            </w:r>
          </w:p>
        </w:tc>
        <w:tc>
          <w:tcPr>
            <w:tcW w:type="dxa" w:w="3629"/>
            <w:vAlign w:val="center"/>
          </w:tcPr>
          <w:p>
            <w:pPr>
              <w:spacing w:line="252" w:lineRule="auto" w:before="20" w:after="20"/>
              <w:jc w:val="left"/>
            </w:pPr>
            <w:r>
              <w:rPr>
                <w:rFonts w:ascii="Times New Roman" w:hAnsi="Times New Roman"/>
                <w:sz w:val="18"/>
              </w:rPr>
              <w:t>Upstream redistribution license (e.g., CC-BY-4.0, Public Domain).</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checksum</w:t>
            </w:r>
          </w:p>
        </w:tc>
        <w:tc>
          <w:tcPr>
            <w:tcW w:type="dxa" w:w="2880"/>
            <w:shd w:val="clear" w:color="auto" w:fill="FAFBFC"/>
            <w:vAlign w:val="center"/>
          </w:tcPr>
          <w:p>
            <w:pPr>
              <w:spacing w:line="252" w:lineRule="auto" w:before="20" w:after="20"/>
              <w:jc w:val="left"/>
            </w:pPr>
            <w:r>
              <w:rPr>
                <w:rFonts w:ascii="Times New Roman" w:hAnsi="Times New Roman"/>
                <w:sz w:val="18"/>
              </w:rPr>
              <w:t>VARCHAR(128)</w:t>
            </w:r>
          </w:p>
        </w:tc>
        <w:tc>
          <w:tcPr>
            <w:tcW w:type="dxa" w:w="3629"/>
            <w:shd w:val="clear" w:color="auto" w:fill="FAFBFC"/>
            <w:vAlign w:val="center"/>
          </w:tcPr>
          <w:p>
            <w:pPr>
              <w:spacing w:line="252" w:lineRule="auto" w:before="20" w:after="20"/>
              <w:jc w:val="left"/>
            </w:pPr>
            <w:r>
              <w:rPr>
                <w:rFonts w:ascii="Times New Roman" w:hAnsi="Times New Roman"/>
                <w:sz w:val="18"/>
              </w:rPr>
              <w:t>Cryptographic SHA-256 hash of the ingested raw payload archive.</w:t>
            </w:r>
          </w:p>
        </w:tc>
      </w:tr>
    </w:tbl>
    <w:p>
      <w:pPr>
        <w:keepNext/>
        <w:spacing w:before="160" w:after="60"/>
        <w:jc w:val="left"/>
      </w:pPr>
      <w:r>
        <w:rPr>
          <w:rFonts w:ascii="Times New Roman" w:hAnsi="Times New Roman"/>
          <w:b/>
          <w:sz w:val="21"/>
        </w:rPr>
        <w:t>Table 3.5 — Data Dictionary for Material Entity.</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888"/>
        <w:gridCol w:w="2888"/>
        <w:gridCol w:w="2888"/>
      </w:tblGrid>
      <w:tr>
        <w:trPr>
          <w:cantSplit/>
          <w:tblHeader/>
        </w:trPr>
        <w:tc>
          <w:tcPr>
            <w:tcW w:type="dxa" w:w="2160"/>
            <w:shd w:val="clear" w:color="auto" w:fill="EAEFF5"/>
            <w:vAlign w:val="center"/>
          </w:tcPr>
          <w:p>
            <w:pPr>
              <w:spacing w:line="252" w:lineRule="auto" w:before="40" w:after="40"/>
              <w:jc w:val="left"/>
            </w:pPr>
            <w:r>
              <w:rPr>
                <w:rFonts w:ascii="Times New Roman" w:hAnsi="Times New Roman"/>
                <w:b/>
                <w:sz w:val="19"/>
              </w:rPr>
              <w:t>Attribute Name</w:t>
            </w:r>
          </w:p>
        </w:tc>
        <w:tc>
          <w:tcPr>
            <w:tcW w:type="dxa" w:w="2880"/>
            <w:shd w:val="clear" w:color="auto" w:fill="EAEFF5"/>
            <w:vAlign w:val="center"/>
          </w:tcPr>
          <w:p>
            <w:pPr>
              <w:spacing w:line="252" w:lineRule="auto" w:before="40" w:after="40"/>
              <w:jc w:val="left"/>
            </w:pPr>
            <w:r>
              <w:rPr>
                <w:rFonts w:ascii="Times New Roman" w:hAnsi="Times New Roman"/>
                <w:b/>
                <w:sz w:val="19"/>
              </w:rPr>
              <w:t>SQL Data Type</w:t>
            </w:r>
          </w:p>
        </w:tc>
        <w:tc>
          <w:tcPr>
            <w:tcW w:type="dxa" w:w="3629"/>
            <w:shd w:val="clear" w:color="auto" w:fill="EAEFF5"/>
            <w:vAlign w:val="center"/>
          </w:tcPr>
          <w:p>
            <w:pPr>
              <w:spacing w:line="252" w:lineRule="auto" w:before="40" w:after="40"/>
              <w:jc w:val="left"/>
            </w:pPr>
            <w:r>
              <w:rPr>
                <w:rFonts w:ascii="Times New Roman" w:hAnsi="Times New Roman"/>
                <w:b/>
                <w:sz w:val="19"/>
              </w:rPr>
              <w:t>Constraints &amp; Description</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material_id</w:t>
            </w:r>
          </w:p>
        </w:tc>
        <w:tc>
          <w:tcPr>
            <w:tcW w:type="dxa" w:w="2880"/>
            <w:shd w:val="clear" w:color="auto" w:fill="FAFBFC"/>
            <w:vAlign w:val="center"/>
          </w:tcPr>
          <w:p>
            <w:pPr>
              <w:spacing w:line="252" w:lineRule="auto" w:before="20" w:after="20"/>
              <w:jc w:val="left"/>
            </w:pPr>
            <w:r>
              <w:rPr>
                <w:rFonts w:ascii="Times New Roman" w:hAnsi="Times New Roman"/>
                <w:sz w:val="18"/>
              </w:rPr>
              <w:t>INT AUTO_INCREMENT</w:t>
            </w:r>
          </w:p>
        </w:tc>
        <w:tc>
          <w:tcPr>
            <w:tcW w:type="dxa" w:w="3629"/>
            <w:shd w:val="clear" w:color="auto" w:fill="FAFBFC"/>
            <w:vAlign w:val="center"/>
          </w:tcPr>
          <w:p>
            <w:pPr>
              <w:spacing w:line="252" w:lineRule="auto" w:before="20" w:after="20"/>
              <w:jc w:val="left"/>
            </w:pPr>
            <w:r>
              <w:rPr>
                <w:rFonts w:ascii="Times New Roman" w:hAnsi="Times New Roman"/>
                <w:sz w:val="18"/>
              </w:rPr>
              <w:t>PRIMARY KEY. System-wide unique material surrogate key.</w:t>
            </w:r>
          </w:p>
        </w:tc>
      </w:tr>
      <w:tr>
        <w:trPr>
          <w:cantSplit/>
        </w:trPr>
        <w:tc>
          <w:tcPr>
            <w:tcW w:type="dxa" w:w="2160"/>
            <w:vAlign w:val="center"/>
          </w:tcPr>
          <w:p>
            <w:pPr>
              <w:spacing w:line="252" w:lineRule="auto" w:before="20" w:after="20"/>
              <w:jc w:val="left"/>
            </w:pPr>
            <w:r>
              <w:rPr>
                <w:rFonts w:ascii="Times New Roman" w:hAnsi="Times New Roman"/>
                <w:sz w:val="18"/>
              </w:rPr>
              <w:t>source_id</w:t>
            </w:r>
          </w:p>
        </w:tc>
        <w:tc>
          <w:tcPr>
            <w:tcW w:type="dxa" w:w="2880"/>
            <w:vAlign w:val="center"/>
          </w:tcPr>
          <w:p>
            <w:pPr>
              <w:spacing w:line="252" w:lineRule="auto" w:before="20" w:after="20"/>
              <w:jc w:val="left"/>
            </w:pPr>
            <w:r>
              <w:rPr>
                <w:rFonts w:ascii="Times New Roman" w:hAnsi="Times New Roman"/>
                <w:sz w:val="18"/>
              </w:rPr>
              <w:t>INT</w:t>
            </w:r>
          </w:p>
        </w:tc>
        <w:tc>
          <w:tcPr>
            <w:tcW w:type="dxa" w:w="3629"/>
            <w:vAlign w:val="center"/>
          </w:tcPr>
          <w:p>
            <w:pPr>
              <w:spacing w:line="252" w:lineRule="auto" w:before="20" w:after="20"/>
              <w:jc w:val="left"/>
            </w:pPr>
            <w:r>
              <w:rPr>
                <w:rFonts w:ascii="Times New Roman" w:hAnsi="Times New Roman"/>
                <w:sz w:val="18"/>
              </w:rPr>
              <w:t>FOREIGN KEY -&gt; Data_Source(source_id) ON DELETE RESTRICT.</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category_id</w:t>
            </w:r>
          </w:p>
        </w:tc>
        <w:tc>
          <w:tcPr>
            <w:tcW w:type="dxa" w:w="2880"/>
            <w:shd w:val="clear" w:color="auto" w:fill="FAFBFC"/>
            <w:vAlign w:val="center"/>
          </w:tcPr>
          <w:p>
            <w:pPr>
              <w:spacing w:line="252" w:lineRule="auto" w:before="20" w:after="20"/>
              <w:jc w:val="left"/>
            </w:pPr>
            <w:r>
              <w:rPr>
                <w:rFonts w:ascii="Times New Roman" w:hAnsi="Times New Roman"/>
                <w:sz w:val="18"/>
              </w:rPr>
              <w:t>INT</w:t>
            </w:r>
          </w:p>
        </w:tc>
        <w:tc>
          <w:tcPr>
            <w:tcW w:type="dxa" w:w="3629"/>
            <w:shd w:val="clear" w:color="auto" w:fill="FAFBFC"/>
            <w:vAlign w:val="center"/>
          </w:tcPr>
          <w:p>
            <w:pPr>
              <w:spacing w:line="252" w:lineRule="auto" w:before="20" w:after="20"/>
              <w:jc w:val="left"/>
            </w:pPr>
            <w:r>
              <w:rPr>
                <w:rFonts w:ascii="Times New Roman" w:hAnsi="Times New Roman"/>
                <w:sz w:val="18"/>
              </w:rPr>
              <w:t>FOREIGN KEY -&gt; Material_Category(category_id) ON DELETE RESTRICT.</w:t>
            </w:r>
          </w:p>
        </w:tc>
      </w:tr>
      <w:tr>
        <w:trPr>
          <w:cantSplit/>
        </w:trPr>
        <w:tc>
          <w:tcPr>
            <w:tcW w:type="dxa" w:w="2160"/>
            <w:vAlign w:val="center"/>
          </w:tcPr>
          <w:p>
            <w:pPr>
              <w:spacing w:line="252" w:lineRule="auto" w:before="20" w:after="20"/>
              <w:jc w:val="left"/>
            </w:pPr>
            <w:r>
              <w:rPr>
                <w:rFonts w:ascii="Times New Roman" w:hAnsi="Times New Roman"/>
                <w:sz w:val="18"/>
              </w:rPr>
              <w:t>external_id</w:t>
            </w:r>
          </w:p>
        </w:tc>
        <w:tc>
          <w:tcPr>
            <w:tcW w:type="dxa" w:w="2880"/>
            <w:vAlign w:val="center"/>
          </w:tcPr>
          <w:p>
            <w:pPr>
              <w:spacing w:line="252" w:lineRule="auto" w:before="20" w:after="20"/>
              <w:jc w:val="left"/>
            </w:pPr>
            <w:r>
              <w:rPr>
                <w:rFonts w:ascii="Times New Roman" w:hAnsi="Times New Roman"/>
                <w:sz w:val="18"/>
              </w:rPr>
              <w:t>VARCHAR(128)</w:t>
            </w:r>
          </w:p>
        </w:tc>
        <w:tc>
          <w:tcPr>
            <w:tcW w:type="dxa" w:w="3629"/>
            <w:vAlign w:val="center"/>
          </w:tcPr>
          <w:p>
            <w:pPr>
              <w:spacing w:line="252" w:lineRule="auto" w:before="20" w:after="20"/>
              <w:jc w:val="left"/>
            </w:pPr>
            <w:r>
              <w:rPr>
                <w:rFonts w:ascii="Times New Roman" w:hAnsi="Times New Roman"/>
                <w:sz w:val="18"/>
              </w:rPr>
              <w:t>NOT NULL. Upstream accession identifier (e.g., 'mp-149').</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name</w:t>
            </w:r>
          </w:p>
        </w:tc>
        <w:tc>
          <w:tcPr>
            <w:tcW w:type="dxa" w:w="2880"/>
            <w:shd w:val="clear" w:color="auto" w:fill="FAFBFC"/>
            <w:vAlign w:val="center"/>
          </w:tcPr>
          <w:p>
            <w:pPr>
              <w:spacing w:line="252" w:lineRule="auto" w:before="20" w:after="20"/>
              <w:jc w:val="left"/>
            </w:pPr>
            <w:r>
              <w:rPr>
                <w:rFonts w:ascii="Times New Roman" w:hAnsi="Times New Roman"/>
                <w:sz w:val="18"/>
              </w:rPr>
              <w:t>VARCHAR(255)</w:t>
            </w:r>
          </w:p>
        </w:tc>
        <w:tc>
          <w:tcPr>
            <w:tcW w:type="dxa" w:w="3629"/>
            <w:shd w:val="clear" w:color="auto" w:fill="FAFBFC"/>
            <w:vAlign w:val="center"/>
          </w:tcPr>
          <w:p>
            <w:pPr>
              <w:spacing w:line="252" w:lineRule="auto" w:before="20" w:after="20"/>
              <w:jc w:val="left"/>
            </w:pPr>
            <w:r>
              <w:rPr>
                <w:rFonts w:ascii="Times New Roman" w:hAnsi="Times New Roman"/>
                <w:sz w:val="18"/>
              </w:rPr>
              <w:t>NOT NULL. Standard chemical formula, alloy designation, or trade name.</w:t>
            </w:r>
          </w:p>
        </w:tc>
      </w:tr>
      <w:tr>
        <w:trPr>
          <w:cantSplit/>
        </w:trPr>
        <w:tc>
          <w:tcPr>
            <w:tcW w:type="dxa" w:w="2160"/>
            <w:vAlign w:val="center"/>
          </w:tcPr>
          <w:p>
            <w:pPr>
              <w:spacing w:line="252" w:lineRule="auto" w:before="20" w:after="20"/>
              <w:jc w:val="left"/>
            </w:pPr>
            <w:r>
              <w:rPr>
                <w:rFonts w:ascii="Times New Roman" w:hAnsi="Times New Roman"/>
                <w:sz w:val="18"/>
              </w:rPr>
              <w:t>description</w:t>
            </w:r>
          </w:p>
        </w:tc>
        <w:tc>
          <w:tcPr>
            <w:tcW w:type="dxa" w:w="2880"/>
            <w:vAlign w:val="center"/>
          </w:tcPr>
          <w:p>
            <w:pPr>
              <w:spacing w:line="252" w:lineRule="auto" w:before="20" w:after="20"/>
              <w:jc w:val="left"/>
            </w:pPr>
            <w:r>
              <w:rPr>
                <w:rFonts w:ascii="Times New Roman" w:hAnsi="Times New Roman"/>
                <w:sz w:val="18"/>
              </w:rPr>
              <w:t>TEXT</w:t>
            </w:r>
          </w:p>
        </w:tc>
        <w:tc>
          <w:tcPr>
            <w:tcW w:type="dxa" w:w="3629"/>
            <w:vAlign w:val="center"/>
          </w:tcPr>
          <w:p>
            <w:pPr>
              <w:spacing w:line="252" w:lineRule="auto" w:before="20" w:after="20"/>
              <w:jc w:val="left"/>
            </w:pPr>
            <w:r>
              <w:rPr>
                <w:rFonts w:ascii="Times New Roman" w:hAnsi="Times New Roman"/>
                <w:sz w:val="18"/>
              </w:rPr>
              <w:t>Scientific description, processing history, or crystal structure summary.</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is_active</w:t>
            </w:r>
          </w:p>
        </w:tc>
        <w:tc>
          <w:tcPr>
            <w:tcW w:type="dxa" w:w="2880"/>
            <w:shd w:val="clear" w:color="auto" w:fill="FAFBFC"/>
            <w:vAlign w:val="center"/>
          </w:tcPr>
          <w:p>
            <w:pPr>
              <w:spacing w:line="252" w:lineRule="auto" w:before="20" w:after="20"/>
              <w:jc w:val="left"/>
            </w:pPr>
            <w:r>
              <w:rPr>
                <w:rFonts w:ascii="Times New Roman" w:hAnsi="Times New Roman"/>
                <w:sz w:val="18"/>
              </w:rPr>
              <w:t>TINYINT(1)</w:t>
            </w:r>
          </w:p>
        </w:tc>
        <w:tc>
          <w:tcPr>
            <w:tcW w:type="dxa" w:w="3629"/>
            <w:shd w:val="clear" w:color="auto" w:fill="FAFBFC"/>
            <w:vAlign w:val="center"/>
          </w:tcPr>
          <w:p>
            <w:pPr>
              <w:spacing w:line="252" w:lineRule="auto" w:before="20" w:after="20"/>
              <w:jc w:val="left"/>
            </w:pPr>
            <w:r>
              <w:rPr>
                <w:rFonts w:ascii="Times New Roman" w:hAnsi="Times New Roman"/>
                <w:sz w:val="18"/>
              </w:rPr>
              <w:t>DEFAULT 1. Soft-delete flag preserving referential integrity.</w:t>
            </w:r>
          </w:p>
        </w:tc>
      </w:tr>
      <w:tr>
        <w:trPr>
          <w:cantSplit/>
        </w:trPr>
        <w:tc>
          <w:tcPr>
            <w:tcW w:type="dxa" w:w="2160"/>
            <w:vAlign w:val="center"/>
          </w:tcPr>
          <w:p>
            <w:pPr>
              <w:spacing w:line="252" w:lineRule="auto" w:before="20" w:after="20"/>
              <w:jc w:val="left"/>
            </w:pPr>
            <w:r>
              <w:rPr>
                <w:rFonts w:ascii="Times New Roman" w:hAnsi="Times New Roman"/>
                <w:sz w:val="18"/>
              </w:rPr>
              <w:t>metadata_json</w:t>
            </w:r>
          </w:p>
        </w:tc>
        <w:tc>
          <w:tcPr>
            <w:tcW w:type="dxa" w:w="2880"/>
            <w:vAlign w:val="center"/>
          </w:tcPr>
          <w:p>
            <w:pPr>
              <w:spacing w:line="252" w:lineRule="auto" w:before="20" w:after="20"/>
              <w:jc w:val="left"/>
            </w:pPr>
            <w:r>
              <w:rPr>
                <w:rFonts w:ascii="Times New Roman" w:hAnsi="Times New Roman"/>
                <w:sz w:val="18"/>
              </w:rPr>
              <w:t>JSON / MEDIUMTEXT</w:t>
            </w:r>
          </w:p>
        </w:tc>
        <w:tc>
          <w:tcPr>
            <w:tcW w:type="dxa" w:w="3629"/>
            <w:vAlign w:val="center"/>
          </w:tcPr>
          <w:p>
            <w:pPr>
              <w:spacing w:line="252" w:lineRule="auto" w:before="20" w:after="20"/>
              <w:jc w:val="left"/>
            </w:pPr>
            <w:r>
              <w:rPr>
                <w:rFonts w:ascii="Times New Roman" w:hAnsi="Times New Roman"/>
                <w:sz w:val="18"/>
              </w:rPr>
              <w:t>Reversible packed metadata (crystal lattice, raw citations, aliases).</w:t>
            </w:r>
          </w:p>
        </w:tc>
      </w:tr>
    </w:tbl>
    <w:p>
      <w:pPr>
        <w:keepNext/>
        <w:spacing w:before="160" w:after="60"/>
        <w:jc w:val="left"/>
      </w:pPr>
      <w:r>
        <w:rPr>
          <w:rFonts w:ascii="Times New Roman" w:hAnsi="Times New Roman"/>
          <w:b/>
          <w:sz w:val="21"/>
        </w:rPr>
        <w:t>Table 3.6 — Data Dictionary for Property Entity.</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888"/>
        <w:gridCol w:w="2888"/>
        <w:gridCol w:w="2888"/>
      </w:tblGrid>
      <w:tr>
        <w:trPr>
          <w:cantSplit/>
          <w:tblHeader/>
        </w:trPr>
        <w:tc>
          <w:tcPr>
            <w:tcW w:type="dxa" w:w="2160"/>
            <w:shd w:val="clear" w:color="auto" w:fill="EAEFF5"/>
            <w:vAlign w:val="center"/>
          </w:tcPr>
          <w:p>
            <w:pPr>
              <w:spacing w:line="252" w:lineRule="auto" w:before="40" w:after="40"/>
              <w:jc w:val="left"/>
            </w:pPr>
            <w:r>
              <w:rPr>
                <w:rFonts w:ascii="Times New Roman" w:hAnsi="Times New Roman"/>
                <w:b/>
                <w:sz w:val="19"/>
              </w:rPr>
              <w:t>Attribute Name</w:t>
            </w:r>
          </w:p>
        </w:tc>
        <w:tc>
          <w:tcPr>
            <w:tcW w:type="dxa" w:w="2880"/>
            <w:shd w:val="clear" w:color="auto" w:fill="EAEFF5"/>
            <w:vAlign w:val="center"/>
          </w:tcPr>
          <w:p>
            <w:pPr>
              <w:spacing w:line="252" w:lineRule="auto" w:before="40" w:after="40"/>
              <w:jc w:val="left"/>
            </w:pPr>
            <w:r>
              <w:rPr>
                <w:rFonts w:ascii="Times New Roman" w:hAnsi="Times New Roman"/>
                <w:b/>
                <w:sz w:val="19"/>
              </w:rPr>
              <w:t>SQL Data Type</w:t>
            </w:r>
          </w:p>
        </w:tc>
        <w:tc>
          <w:tcPr>
            <w:tcW w:type="dxa" w:w="3629"/>
            <w:shd w:val="clear" w:color="auto" w:fill="EAEFF5"/>
            <w:vAlign w:val="center"/>
          </w:tcPr>
          <w:p>
            <w:pPr>
              <w:spacing w:line="252" w:lineRule="auto" w:before="40" w:after="40"/>
              <w:jc w:val="left"/>
            </w:pPr>
            <w:r>
              <w:rPr>
                <w:rFonts w:ascii="Times New Roman" w:hAnsi="Times New Roman"/>
                <w:b/>
                <w:sz w:val="19"/>
              </w:rPr>
              <w:t>Constraints &amp; Description</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property_id</w:t>
            </w:r>
          </w:p>
        </w:tc>
        <w:tc>
          <w:tcPr>
            <w:tcW w:type="dxa" w:w="2880"/>
            <w:shd w:val="clear" w:color="auto" w:fill="FAFBFC"/>
            <w:vAlign w:val="center"/>
          </w:tcPr>
          <w:p>
            <w:pPr>
              <w:spacing w:line="252" w:lineRule="auto" w:before="20" w:after="20"/>
              <w:jc w:val="left"/>
            </w:pPr>
            <w:r>
              <w:rPr>
                <w:rFonts w:ascii="Times New Roman" w:hAnsi="Times New Roman"/>
                <w:sz w:val="18"/>
              </w:rPr>
              <w:t>INT AUTO_INCREMENT</w:t>
            </w:r>
          </w:p>
        </w:tc>
        <w:tc>
          <w:tcPr>
            <w:tcW w:type="dxa" w:w="3629"/>
            <w:shd w:val="clear" w:color="auto" w:fill="FAFBFC"/>
            <w:vAlign w:val="center"/>
          </w:tcPr>
          <w:p>
            <w:pPr>
              <w:spacing w:line="252" w:lineRule="auto" w:before="20" w:after="20"/>
              <w:jc w:val="left"/>
            </w:pPr>
            <w:r>
              <w:rPr>
                <w:rFonts w:ascii="Times New Roman" w:hAnsi="Times New Roman"/>
                <w:sz w:val="18"/>
              </w:rPr>
              <w:t>PRIMARY KEY. Unique property identifier.</w:t>
            </w:r>
          </w:p>
        </w:tc>
      </w:tr>
      <w:tr>
        <w:trPr>
          <w:cantSplit/>
        </w:trPr>
        <w:tc>
          <w:tcPr>
            <w:tcW w:type="dxa" w:w="2160"/>
            <w:vAlign w:val="center"/>
          </w:tcPr>
          <w:p>
            <w:pPr>
              <w:spacing w:line="252" w:lineRule="auto" w:before="20" w:after="20"/>
              <w:jc w:val="left"/>
            </w:pPr>
            <w:r>
              <w:rPr>
                <w:rFonts w:ascii="Times New Roman" w:hAnsi="Times New Roman"/>
                <w:sz w:val="18"/>
              </w:rPr>
              <w:t>property_key</w:t>
            </w:r>
          </w:p>
        </w:tc>
        <w:tc>
          <w:tcPr>
            <w:tcW w:type="dxa" w:w="2880"/>
            <w:vAlign w:val="center"/>
          </w:tcPr>
          <w:p>
            <w:pPr>
              <w:spacing w:line="252" w:lineRule="auto" w:before="20" w:after="20"/>
              <w:jc w:val="left"/>
            </w:pPr>
            <w:r>
              <w:rPr>
                <w:rFonts w:ascii="Times New Roman" w:hAnsi="Times New Roman"/>
                <w:sz w:val="18"/>
              </w:rPr>
              <w:t>VARCHAR(64)</w:t>
            </w:r>
          </w:p>
        </w:tc>
        <w:tc>
          <w:tcPr>
            <w:tcW w:type="dxa" w:w="3629"/>
            <w:vAlign w:val="center"/>
          </w:tcPr>
          <w:p>
            <w:pPr>
              <w:spacing w:line="252" w:lineRule="auto" w:before="20" w:after="20"/>
              <w:jc w:val="left"/>
            </w:pPr>
            <w:r>
              <w:rPr>
                <w:rFonts w:ascii="Times New Roman" w:hAnsi="Times New Roman"/>
                <w:sz w:val="18"/>
              </w:rPr>
              <w:t>UNIQUE NOT NULL. Programmatic key (e.g., 'tensileStrength', 'density').</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name</w:t>
            </w:r>
          </w:p>
        </w:tc>
        <w:tc>
          <w:tcPr>
            <w:tcW w:type="dxa" w:w="2880"/>
            <w:shd w:val="clear" w:color="auto" w:fill="FAFBFC"/>
            <w:vAlign w:val="center"/>
          </w:tcPr>
          <w:p>
            <w:pPr>
              <w:spacing w:line="252" w:lineRule="auto" w:before="20" w:after="20"/>
              <w:jc w:val="left"/>
            </w:pPr>
            <w:r>
              <w:rPr>
                <w:rFonts w:ascii="Times New Roman" w:hAnsi="Times New Roman"/>
                <w:sz w:val="18"/>
              </w:rPr>
              <w:t>VARCHAR(128)</w:t>
            </w:r>
          </w:p>
        </w:tc>
        <w:tc>
          <w:tcPr>
            <w:tcW w:type="dxa" w:w="3629"/>
            <w:shd w:val="clear" w:color="auto" w:fill="FAFBFC"/>
            <w:vAlign w:val="center"/>
          </w:tcPr>
          <w:p>
            <w:pPr>
              <w:spacing w:line="252" w:lineRule="auto" w:before="20" w:after="20"/>
              <w:jc w:val="left"/>
            </w:pPr>
            <w:r>
              <w:rPr>
                <w:rFonts w:ascii="Times New Roman" w:hAnsi="Times New Roman"/>
                <w:sz w:val="18"/>
              </w:rPr>
              <w:t>NOT NULL. Human-readable label (e.g., 'Tensile Strength, Ultimate').</w:t>
            </w:r>
          </w:p>
        </w:tc>
      </w:tr>
      <w:tr>
        <w:trPr>
          <w:cantSplit/>
        </w:trPr>
        <w:tc>
          <w:tcPr>
            <w:tcW w:type="dxa" w:w="2160"/>
            <w:vAlign w:val="center"/>
          </w:tcPr>
          <w:p>
            <w:pPr>
              <w:spacing w:line="252" w:lineRule="auto" w:before="20" w:after="20"/>
              <w:jc w:val="left"/>
            </w:pPr>
            <w:r>
              <w:rPr>
                <w:rFonts w:ascii="Times New Roman" w:hAnsi="Times New Roman"/>
                <w:sz w:val="18"/>
              </w:rPr>
              <w:t>unit</w:t>
            </w:r>
          </w:p>
        </w:tc>
        <w:tc>
          <w:tcPr>
            <w:tcW w:type="dxa" w:w="2880"/>
            <w:vAlign w:val="center"/>
          </w:tcPr>
          <w:p>
            <w:pPr>
              <w:spacing w:line="252" w:lineRule="auto" w:before="20" w:after="20"/>
              <w:jc w:val="left"/>
            </w:pPr>
            <w:r>
              <w:rPr>
                <w:rFonts w:ascii="Times New Roman" w:hAnsi="Times New Roman"/>
                <w:sz w:val="18"/>
              </w:rPr>
              <w:t>VARCHAR(32)</w:t>
            </w:r>
          </w:p>
        </w:tc>
        <w:tc>
          <w:tcPr>
            <w:tcW w:type="dxa" w:w="3629"/>
            <w:vAlign w:val="center"/>
          </w:tcPr>
          <w:p>
            <w:pPr>
              <w:spacing w:line="252" w:lineRule="auto" w:before="20" w:after="20"/>
              <w:jc w:val="left"/>
            </w:pPr>
            <w:r>
              <w:rPr>
                <w:rFonts w:ascii="Times New Roman" w:hAnsi="Times New Roman"/>
                <w:sz w:val="18"/>
              </w:rPr>
              <w:t>Standard SI or engineering unit (e.g., 'MPa', 'g/cm³', 'W/m·K').</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data_type</w:t>
            </w:r>
          </w:p>
        </w:tc>
        <w:tc>
          <w:tcPr>
            <w:tcW w:type="dxa" w:w="2880"/>
            <w:shd w:val="clear" w:color="auto" w:fill="FAFBFC"/>
            <w:vAlign w:val="center"/>
          </w:tcPr>
          <w:p>
            <w:pPr>
              <w:spacing w:line="252" w:lineRule="auto" w:before="20" w:after="20"/>
              <w:jc w:val="left"/>
            </w:pPr>
            <w:r>
              <w:rPr>
                <w:rFonts w:ascii="Times New Roman" w:hAnsi="Times New Roman"/>
                <w:sz w:val="18"/>
              </w:rPr>
              <w:t>ENUM('numeric','text','boolean')</w:t>
            </w:r>
          </w:p>
        </w:tc>
        <w:tc>
          <w:tcPr>
            <w:tcW w:type="dxa" w:w="3629"/>
            <w:shd w:val="clear" w:color="auto" w:fill="FAFBFC"/>
            <w:vAlign w:val="center"/>
          </w:tcPr>
          <w:p>
            <w:pPr>
              <w:spacing w:line="252" w:lineRule="auto" w:before="20" w:after="20"/>
              <w:jc w:val="left"/>
            </w:pPr>
            <w:r>
              <w:rPr>
                <w:rFonts w:ascii="Times New Roman" w:hAnsi="Times New Roman"/>
                <w:sz w:val="18"/>
              </w:rPr>
              <w:t>NOT NULL. Target type discriminator for property values.</w:t>
            </w:r>
          </w:p>
        </w:tc>
      </w:tr>
      <w:tr>
        <w:trPr>
          <w:cantSplit/>
        </w:trPr>
        <w:tc>
          <w:tcPr>
            <w:tcW w:type="dxa" w:w="2160"/>
            <w:vAlign w:val="center"/>
          </w:tcPr>
          <w:p>
            <w:pPr>
              <w:spacing w:line="252" w:lineRule="auto" w:before="20" w:after="20"/>
              <w:jc w:val="left"/>
            </w:pPr>
            <w:r>
              <w:rPr>
                <w:rFonts w:ascii="Times New Roman" w:hAnsi="Times New Roman"/>
                <w:sz w:val="18"/>
              </w:rPr>
              <w:t>category</w:t>
            </w:r>
          </w:p>
        </w:tc>
        <w:tc>
          <w:tcPr>
            <w:tcW w:type="dxa" w:w="2880"/>
            <w:vAlign w:val="center"/>
          </w:tcPr>
          <w:p>
            <w:pPr>
              <w:spacing w:line="252" w:lineRule="auto" w:before="20" w:after="20"/>
              <w:jc w:val="left"/>
            </w:pPr>
            <w:r>
              <w:rPr>
                <w:rFonts w:ascii="Times New Roman" w:hAnsi="Times New Roman"/>
                <w:sz w:val="18"/>
              </w:rPr>
              <w:t>VARCHAR(64)</w:t>
            </w:r>
          </w:p>
        </w:tc>
        <w:tc>
          <w:tcPr>
            <w:tcW w:type="dxa" w:w="3629"/>
            <w:vAlign w:val="center"/>
          </w:tcPr>
          <w:p>
            <w:pPr>
              <w:spacing w:line="252" w:lineRule="auto" w:before="20" w:after="20"/>
              <w:jc w:val="left"/>
            </w:pPr>
            <w:r>
              <w:rPr>
                <w:rFonts w:ascii="Times New Roman" w:hAnsi="Times New Roman"/>
                <w:sz w:val="18"/>
              </w:rPr>
              <w:t>Domain grouping (e.g., 'Mechanical', 'Thermal', 'Electrical').</w:t>
            </w:r>
          </w:p>
        </w:tc>
      </w:tr>
    </w:tbl>
    <w:p>
      <w:pPr>
        <w:keepNext/>
        <w:spacing w:before="160" w:after="60"/>
        <w:jc w:val="left"/>
      </w:pPr>
      <w:r>
        <w:rPr>
          <w:rFonts w:ascii="Times New Roman" w:hAnsi="Times New Roman"/>
          <w:b/>
          <w:sz w:val="21"/>
        </w:rPr>
        <w:t>Table 3.7 — Data Dictionary for Material_Property Association Table.</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888"/>
        <w:gridCol w:w="2888"/>
        <w:gridCol w:w="2888"/>
      </w:tblGrid>
      <w:tr>
        <w:trPr>
          <w:cantSplit/>
          <w:tblHeader/>
        </w:trPr>
        <w:tc>
          <w:tcPr>
            <w:tcW w:type="dxa" w:w="2160"/>
            <w:shd w:val="clear" w:color="auto" w:fill="EAEFF5"/>
            <w:vAlign w:val="center"/>
          </w:tcPr>
          <w:p>
            <w:pPr>
              <w:spacing w:line="252" w:lineRule="auto" w:before="40" w:after="40"/>
              <w:jc w:val="left"/>
            </w:pPr>
            <w:r>
              <w:rPr>
                <w:rFonts w:ascii="Times New Roman" w:hAnsi="Times New Roman"/>
                <w:b/>
                <w:sz w:val="19"/>
              </w:rPr>
              <w:t>Attribute Name</w:t>
            </w:r>
          </w:p>
        </w:tc>
        <w:tc>
          <w:tcPr>
            <w:tcW w:type="dxa" w:w="2880"/>
            <w:shd w:val="clear" w:color="auto" w:fill="EAEFF5"/>
            <w:vAlign w:val="center"/>
          </w:tcPr>
          <w:p>
            <w:pPr>
              <w:spacing w:line="252" w:lineRule="auto" w:before="40" w:after="40"/>
              <w:jc w:val="left"/>
            </w:pPr>
            <w:r>
              <w:rPr>
                <w:rFonts w:ascii="Times New Roman" w:hAnsi="Times New Roman"/>
                <w:b/>
                <w:sz w:val="19"/>
              </w:rPr>
              <w:t>SQL Data Type</w:t>
            </w:r>
          </w:p>
        </w:tc>
        <w:tc>
          <w:tcPr>
            <w:tcW w:type="dxa" w:w="3629"/>
            <w:shd w:val="clear" w:color="auto" w:fill="EAEFF5"/>
            <w:vAlign w:val="center"/>
          </w:tcPr>
          <w:p>
            <w:pPr>
              <w:spacing w:line="252" w:lineRule="auto" w:before="40" w:after="40"/>
              <w:jc w:val="left"/>
            </w:pPr>
            <w:r>
              <w:rPr>
                <w:rFonts w:ascii="Times New Roman" w:hAnsi="Times New Roman"/>
                <w:b/>
                <w:sz w:val="19"/>
              </w:rPr>
              <w:t>Constraints &amp; Description</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material_id</w:t>
            </w:r>
          </w:p>
        </w:tc>
        <w:tc>
          <w:tcPr>
            <w:tcW w:type="dxa" w:w="2880"/>
            <w:shd w:val="clear" w:color="auto" w:fill="FAFBFC"/>
            <w:vAlign w:val="center"/>
          </w:tcPr>
          <w:p>
            <w:pPr>
              <w:spacing w:line="252" w:lineRule="auto" w:before="20" w:after="20"/>
              <w:jc w:val="left"/>
            </w:pPr>
            <w:r>
              <w:rPr>
                <w:rFonts w:ascii="Times New Roman" w:hAnsi="Times New Roman"/>
                <w:sz w:val="18"/>
              </w:rPr>
              <w:t>INT</w:t>
            </w:r>
          </w:p>
        </w:tc>
        <w:tc>
          <w:tcPr>
            <w:tcW w:type="dxa" w:w="3629"/>
            <w:shd w:val="clear" w:color="auto" w:fill="FAFBFC"/>
            <w:vAlign w:val="center"/>
          </w:tcPr>
          <w:p>
            <w:pPr>
              <w:spacing w:line="252" w:lineRule="auto" w:before="20" w:after="20"/>
              <w:jc w:val="left"/>
            </w:pPr>
            <w:r>
              <w:rPr>
                <w:rFonts w:ascii="Times New Roman" w:hAnsi="Times New Roman"/>
                <w:sz w:val="18"/>
              </w:rPr>
              <w:t>PRIMARY KEY &amp; FOREIGN KEY -&gt; Material(material_id) ON DELETE CASCADE.</w:t>
            </w:r>
          </w:p>
        </w:tc>
      </w:tr>
      <w:tr>
        <w:trPr>
          <w:cantSplit/>
        </w:trPr>
        <w:tc>
          <w:tcPr>
            <w:tcW w:type="dxa" w:w="2160"/>
            <w:vAlign w:val="center"/>
          </w:tcPr>
          <w:p>
            <w:pPr>
              <w:spacing w:line="252" w:lineRule="auto" w:before="20" w:after="20"/>
              <w:jc w:val="left"/>
            </w:pPr>
            <w:r>
              <w:rPr>
                <w:rFonts w:ascii="Times New Roman" w:hAnsi="Times New Roman"/>
                <w:sz w:val="18"/>
              </w:rPr>
              <w:t>property_id</w:t>
            </w:r>
          </w:p>
        </w:tc>
        <w:tc>
          <w:tcPr>
            <w:tcW w:type="dxa" w:w="2880"/>
            <w:vAlign w:val="center"/>
          </w:tcPr>
          <w:p>
            <w:pPr>
              <w:spacing w:line="252" w:lineRule="auto" w:before="20" w:after="20"/>
              <w:jc w:val="left"/>
            </w:pPr>
            <w:r>
              <w:rPr>
                <w:rFonts w:ascii="Times New Roman" w:hAnsi="Times New Roman"/>
                <w:sz w:val="18"/>
              </w:rPr>
              <w:t>INT</w:t>
            </w:r>
          </w:p>
        </w:tc>
        <w:tc>
          <w:tcPr>
            <w:tcW w:type="dxa" w:w="3629"/>
            <w:vAlign w:val="center"/>
          </w:tcPr>
          <w:p>
            <w:pPr>
              <w:spacing w:line="252" w:lineRule="auto" w:before="20" w:after="20"/>
              <w:jc w:val="left"/>
            </w:pPr>
            <w:r>
              <w:rPr>
                <w:rFonts w:ascii="Times New Roman" w:hAnsi="Times New Roman"/>
                <w:sz w:val="18"/>
              </w:rPr>
              <w:t>PRIMARY KEY &amp; FOREIGN KEY -&gt; Property(property_id) ON DELETE RESTRICT.</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numeric_value</w:t>
            </w:r>
          </w:p>
        </w:tc>
        <w:tc>
          <w:tcPr>
            <w:tcW w:type="dxa" w:w="2880"/>
            <w:shd w:val="clear" w:color="auto" w:fill="FAFBFC"/>
            <w:vAlign w:val="center"/>
          </w:tcPr>
          <w:p>
            <w:pPr>
              <w:spacing w:line="252" w:lineRule="auto" w:before="20" w:after="20"/>
              <w:jc w:val="left"/>
            </w:pPr>
            <w:r>
              <w:rPr>
                <w:rFonts w:ascii="Times New Roman" w:hAnsi="Times New Roman"/>
                <w:sz w:val="18"/>
              </w:rPr>
              <w:t>DOUBLE</w:t>
            </w:r>
          </w:p>
        </w:tc>
        <w:tc>
          <w:tcPr>
            <w:tcW w:type="dxa" w:w="3629"/>
            <w:shd w:val="clear" w:color="auto" w:fill="FAFBFC"/>
            <w:vAlign w:val="center"/>
          </w:tcPr>
          <w:p>
            <w:pPr>
              <w:spacing w:line="252" w:lineRule="auto" w:before="20" w:after="20"/>
              <w:jc w:val="left"/>
            </w:pPr>
            <w:r>
              <w:rPr>
                <w:rFonts w:ascii="Times New Roman" w:hAnsi="Times New Roman"/>
                <w:sz w:val="18"/>
              </w:rPr>
              <w:t>Indexed floating-point numerical measurement in standardized units.</w:t>
            </w:r>
          </w:p>
        </w:tc>
      </w:tr>
      <w:tr>
        <w:trPr>
          <w:cantSplit/>
        </w:trPr>
        <w:tc>
          <w:tcPr>
            <w:tcW w:type="dxa" w:w="2160"/>
            <w:vAlign w:val="center"/>
          </w:tcPr>
          <w:p>
            <w:pPr>
              <w:spacing w:line="252" w:lineRule="auto" w:before="20" w:after="20"/>
              <w:jc w:val="left"/>
            </w:pPr>
            <w:r>
              <w:rPr>
                <w:rFonts w:ascii="Times New Roman" w:hAnsi="Times New Roman"/>
                <w:sz w:val="18"/>
              </w:rPr>
              <w:t>text_value</w:t>
            </w:r>
          </w:p>
        </w:tc>
        <w:tc>
          <w:tcPr>
            <w:tcW w:type="dxa" w:w="2880"/>
            <w:vAlign w:val="center"/>
          </w:tcPr>
          <w:p>
            <w:pPr>
              <w:spacing w:line="252" w:lineRule="auto" w:before="20" w:after="20"/>
              <w:jc w:val="left"/>
            </w:pPr>
            <w:r>
              <w:rPr>
                <w:rFonts w:ascii="Times New Roman" w:hAnsi="Times New Roman"/>
                <w:sz w:val="18"/>
              </w:rPr>
              <w:t>VARCHAR(255)</w:t>
            </w:r>
          </w:p>
        </w:tc>
        <w:tc>
          <w:tcPr>
            <w:tcW w:type="dxa" w:w="3629"/>
            <w:vAlign w:val="center"/>
          </w:tcPr>
          <w:p>
            <w:pPr>
              <w:spacing w:line="252" w:lineRule="auto" w:before="20" w:after="20"/>
              <w:jc w:val="left"/>
            </w:pPr>
            <w:r>
              <w:rPr>
                <w:rFonts w:ascii="Times New Roman" w:hAnsi="Times New Roman"/>
                <w:sz w:val="18"/>
              </w:rPr>
              <w:t>Descriptive rating or qualitative value (e.g., 'Excellent', 'High').</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test_conditions</w:t>
            </w:r>
          </w:p>
        </w:tc>
        <w:tc>
          <w:tcPr>
            <w:tcW w:type="dxa" w:w="2880"/>
            <w:shd w:val="clear" w:color="auto" w:fill="FAFBFC"/>
            <w:vAlign w:val="center"/>
          </w:tcPr>
          <w:p>
            <w:pPr>
              <w:spacing w:line="252" w:lineRule="auto" w:before="20" w:after="20"/>
              <w:jc w:val="left"/>
            </w:pPr>
            <w:r>
              <w:rPr>
                <w:rFonts w:ascii="Times New Roman" w:hAnsi="Times New Roman"/>
                <w:sz w:val="18"/>
              </w:rPr>
              <w:t>VARCHAR(255)</w:t>
            </w:r>
          </w:p>
        </w:tc>
        <w:tc>
          <w:tcPr>
            <w:tcW w:type="dxa" w:w="3629"/>
            <w:shd w:val="clear" w:color="auto" w:fill="FAFBFC"/>
            <w:vAlign w:val="center"/>
          </w:tcPr>
          <w:p>
            <w:pPr>
              <w:spacing w:line="252" w:lineRule="auto" w:before="20" w:after="20"/>
              <w:jc w:val="left"/>
            </w:pPr>
            <w:r>
              <w:rPr>
                <w:rFonts w:ascii="Times New Roman" w:hAnsi="Times New Roman"/>
                <w:sz w:val="18"/>
              </w:rPr>
              <w:t>Experimental ambient conditions (e.g., '293 K, 1 atm', 'Annealed').</w:t>
            </w:r>
          </w:p>
        </w:tc>
      </w:tr>
    </w:tbl>
    <w:p>
      <w:pPr>
        <w:keepNext/>
        <w:spacing w:before="240" w:after="80"/>
        <w:jc w:val="left"/>
      </w:pPr>
      <w:r>
        <w:rPr>
          <w:rFonts w:ascii="Times New Roman" w:hAnsi="Times New Roman"/>
          <w:b/>
          <w:sz w:val="26"/>
        </w:rPr>
        <w:t>3.6 Primary Keys, Foreign Keys and Constraints</w:t>
      </w:r>
    </w:p>
    <w:p>
      <w:pPr>
        <w:spacing w:before="0" w:after="80" w:line="324" w:lineRule="auto"/>
        <w:jc w:val="both"/>
      </w:pPr>
      <w:r>
        <w:rPr>
          <w:rFonts w:ascii="Times New Roman" w:hAnsi="Times New Roman"/>
          <w:b w:val="0"/>
          <w:i w:val="0"/>
          <w:sz w:val="24"/>
        </w:rPr>
        <w:t>Table 3.16 summarizes the primary and foreign key constraints, cascade rules, and domain integrity checks across the database.</w:t>
      </w:r>
    </w:p>
    <w:p>
      <w:pPr>
        <w:keepNext/>
        <w:spacing w:before="160" w:after="60"/>
        <w:jc w:val="left"/>
      </w:pPr>
      <w:r>
        <w:rPr>
          <w:rFonts w:ascii="Times New Roman" w:hAnsi="Times New Roman"/>
          <w:b/>
          <w:sz w:val="21"/>
        </w:rPr>
        <w:t>Table 3.16 — Relational Constraints and Cascade Actions.</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166"/>
        <w:gridCol w:w="2166"/>
        <w:gridCol w:w="2166"/>
        <w:gridCol w:w="2166"/>
      </w:tblGrid>
      <w:tr>
        <w:trPr>
          <w:cantSplit/>
          <w:tblHeader/>
        </w:trPr>
        <w:tc>
          <w:tcPr>
            <w:tcW w:type="dxa" w:w="2016"/>
            <w:shd w:val="clear" w:color="auto" w:fill="EAEFF5"/>
            <w:vAlign w:val="center"/>
          </w:tcPr>
          <w:p>
            <w:pPr>
              <w:spacing w:line="252" w:lineRule="auto" w:before="40" w:after="40"/>
              <w:jc w:val="left"/>
            </w:pPr>
            <w:r>
              <w:rPr>
                <w:rFonts w:ascii="Times New Roman" w:hAnsi="Times New Roman"/>
                <w:b/>
                <w:sz w:val="19"/>
              </w:rPr>
              <w:t>Table Name</w:t>
            </w:r>
          </w:p>
        </w:tc>
        <w:tc>
          <w:tcPr>
            <w:tcW w:type="dxa" w:w="2016"/>
            <w:shd w:val="clear" w:color="auto" w:fill="EAEFF5"/>
            <w:vAlign w:val="center"/>
          </w:tcPr>
          <w:p>
            <w:pPr>
              <w:spacing w:line="252" w:lineRule="auto" w:before="40" w:after="40"/>
              <w:jc w:val="left"/>
            </w:pPr>
            <w:r>
              <w:rPr>
                <w:rFonts w:ascii="Times New Roman" w:hAnsi="Times New Roman"/>
                <w:b/>
                <w:sz w:val="19"/>
              </w:rPr>
              <w:t>Primary Key</w:t>
            </w:r>
          </w:p>
        </w:tc>
        <w:tc>
          <w:tcPr>
            <w:tcW w:type="dxa" w:w="2736"/>
            <w:shd w:val="clear" w:color="auto" w:fill="EAEFF5"/>
            <w:vAlign w:val="center"/>
          </w:tcPr>
          <w:p>
            <w:pPr>
              <w:spacing w:line="252" w:lineRule="auto" w:before="40" w:after="40"/>
              <w:jc w:val="left"/>
            </w:pPr>
            <w:r>
              <w:rPr>
                <w:rFonts w:ascii="Times New Roman" w:hAnsi="Times New Roman"/>
                <w:b/>
                <w:sz w:val="19"/>
              </w:rPr>
              <w:t>Foreign Keys &amp; Referenced Parent</w:t>
            </w:r>
          </w:p>
        </w:tc>
        <w:tc>
          <w:tcPr>
            <w:tcW w:type="dxa" w:w="1901"/>
            <w:shd w:val="clear" w:color="auto" w:fill="EAEFF5"/>
            <w:vAlign w:val="center"/>
          </w:tcPr>
          <w:p>
            <w:pPr>
              <w:spacing w:line="252" w:lineRule="auto" w:before="40" w:after="40"/>
              <w:jc w:val="left"/>
            </w:pPr>
            <w:r>
              <w:rPr>
                <w:rFonts w:ascii="Times New Roman" w:hAnsi="Times New Roman"/>
                <w:b/>
                <w:sz w:val="19"/>
              </w:rPr>
              <w:t>Cascade &amp; Integrity Action</w:t>
            </w:r>
          </w:p>
        </w:tc>
      </w:tr>
      <w:tr>
        <w:trPr>
          <w:cantSplit/>
        </w:trPr>
        <w:tc>
          <w:tcPr>
            <w:tcW w:type="dxa" w:w="2016"/>
            <w:shd w:val="clear" w:color="auto" w:fill="FAFBFC"/>
            <w:vAlign w:val="center"/>
          </w:tcPr>
          <w:p>
            <w:pPr>
              <w:spacing w:line="252" w:lineRule="auto" w:before="20" w:after="20"/>
              <w:jc w:val="left"/>
            </w:pPr>
            <w:r>
              <w:rPr>
                <w:rFonts w:ascii="Times New Roman" w:hAnsi="Times New Roman"/>
                <w:sz w:val="18"/>
              </w:rPr>
              <w:t>Material</w:t>
            </w:r>
          </w:p>
        </w:tc>
        <w:tc>
          <w:tcPr>
            <w:tcW w:type="dxa" w:w="2016"/>
            <w:shd w:val="clear" w:color="auto" w:fill="FAFBFC"/>
            <w:vAlign w:val="center"/>
          </w:tcPr>
          <w:p>
            <w:pPr>
              <w:spacing w:line="252" w:lineRule="auto" w:before="20" w:after="20"/>
              <w:jc w:val="left"/>
            </w:pPr>
            <w:r>
              <w:rPr>
                <w:rFonts w:ascii="Times New Roman" w:hAnsi="Times New Roman"/>
                <w:sz w:val="18"/>
              </w:rPr>
              <w:t>material_id</w:t>
            </w:r>
          </w:p>
        </w:tc>
        <w:tc>
          <w:tcPr>
            <w:tcW w:type="dxa" w:w="2736"/>
            <w:shd w:val="clear" w:color="auto" w:fill="FAFBFC"/>
            <w:vAlign w:val="center"/>
          </w:tcPr>
          <w:p>
            <w:pPr>
              <w:spacing w:line="252" w:lineRule="auto" w:before="20" w:after="20"/>
              <w:jc w:val="left"/>
            </w:pPr>
            <w:r>
              <w:rPr>
                <w:rFonts w:ascii="Times New Roman" w:hAnsi="Times New Roman"/>
                <w:sz w:val="18"/>
              </w:rPr>
              <w:t>source_id -&gt; Data_Source, category_id -&gt; Material_Category</w:t>
            </w:r>
          </w:p>
        </w:tc>
        <w:tc>
          <w:tcPr>
            <w:tcW w:type="dxa" w:w="1901"/>
            <w:shd w:val="clear" w:color="auto" w:fill="FAFBFC"/>
            <w:vAlign w:val="center"/>
          </w:tcPr>
          <w:p>
            <w:pPr>
              <w:spacing w:line="252" w:lineRule="auto" w:before="20" w:after="20"/>
              <w:jc w:val="left"/>
            </w:pPr>
            <w:r>
              <w:rPr>
                <w:rFonts w:ascii="Times New Roman" w:hAnsi="Times New Roman"/>
                <w:sz w:val="18"/>
              </w:rPr>
              <w:t>ON DELETE RESTRICT (Prevents orphaned materials).</w:t>
            </w:r>
          </w:p>
        </w:tc>
      </w:tr>
      <w:tr>
        <w:trPr>
          <w:cantSplit/>
        </w:trPr>
        <w:tc>
          <w:tcPr>
            <w:tcW w:type="dxa" w:w="2016"/>
            <w:vAlign w:val="center"/>
          </w:tcPr>
          <w:p>
            <w:pPr>
              <w:spacing w:line="252" w:lineRule="auto" w:before="20" w:after="20"/>
              <w:jc w:val="left"/>
            </w:pPr>
            <w:r>
              <w:rPr>
                <w:rFonts w:ascii="Times New Roman" w:hAnsi="Times New Roman"/>
                <w:sz w:val="18"/>
              </w:rPr>
              <w:t>Material_Property</w:t>
            </w:r>
          </w:p>
        </w:tc>
        <w:tc>
          <w:tcPr>
            <w:tcW w:type="dxa" w:w="2016"/>
            <w:vAlign w:val="center"/>
          </w:tcPr>
          <w:p>
            <w:pPr>
              <w:spacing w:line="252" w:lineRule="auto" w:before="20" w:after="20"/>
              <w:jc w:val="left"/>
            </w:pPr>
            <w:r>
              <w:rPr>
                <w:rFonts w:ascii="Times New Roman" w:hAnsi="Times New Roman"/>
                <w:sz w:val="18"/>
              </w:rPr>
              <w:t>(material_id, property_id)</w:t>
            </w:r>
          </w:p>
        </w:tc>
        <w:tc>
          <w:tcPr>
            <w:tcW w:type="dxa" w:w="2736"/>
            <w:vAlign w:val="center"/>
          </w:tcPr>
          <w:p>
            <w:pPr>
              <w:spacing w:line="252" w:lineRule="auto" w:before="20" w:after="20"/>
              <w:jc w:val="left"/>
            </w:pPr>
            <w:r>
              <w:rPr>
                <w:rFonts w:ascii="Times New Roman" w:hAnsi="Times New Roman"/>
                <w:sz w:val="18"/>
              </w:rPr>
              <w:t>material_id -&gt; Material, property_id -&gt; Property</w:t>
            </w:r>
          </w:p>
        </w:tc>
        <w:tc>
          <w:tcPr>
            <w:tcW w:type="dxa" w:w="1901"/>
            <w:vAlign w:val="center"/>
          </w:tcPr>
          <w:p>
            <w:pPr>
              <w:spacing w:line="252" w:lineRule="auto" w:before="20" w:after="20"/>
              <w:jc w:val="left"/>
            </w:pPr>
            <w:r>
              <w:rPr>
                <w:rFonts w:ascii="Times New Roman" w:hAnsi="Times New Roman"/>
                <w:sz w:val="18"/>
              </w:rPr>
              <w:t>ON DELETE CASCADE on material; RESTRICT on property.</w:t>
            </w:r>
          </w:p>
        </w:tc>
      </w:tr>
      <w:tr>
        <w:trPr>
          <w:cantSplit/>
        </w:trPr>
        <w:tc>
          <w:tcPr>
            <w:tcW w:type="dxa" w:w="2016"/>
            <w:shd w:val="clear" w:color="auto" w:fill="FAFBFC"/>
            <w:vAlign w:val="center"/>
          </w:tcPr>
          <w:p>
            <w:pPr>
              <w:spacing w:line="252" w:lineRule="auto" w:before="20" w:after="20"/>
              <w:jc w:val="left"/>
            </w:pPr>
            <w:r>
              <w:rPr>
                <w:rFonts w:ascii="Times New Roman" w:hAnsi="Times New Roman"/>
                <w:sz w:val="18"/>
              </w:rPr>
              <w:t>Material_Application</w:t>
            </w:r>
          </w:p>
        </w:tc>
        <w:tc>
          <w:tcPr>
            <w:tcW w:type="dxa" w:w="2016"/>
            <w:shd w:val="clear" w:color="auto" w:fill="FAFBFC"/>
            <w:vAlign w:val="center"/>
          </w:tcPr>
          <w:p>
            <w:pPr>
              <w:spacing w:line="252" w:lineRule="auto" w:before="20" w:after="20"/>
              <w:jc w:val="left"/>
            </w:pPr>
            <w:r>
              <w:rPr>
                <w:rFonts w:ascii="Times New Roman" w:hAnsi="Times New Roman"/>
                <w:sz w:val="18"/>
              </w:rPr>
              <w:t>(material_id, application_id)</w:t>
            </w:r>
          </w:p>
        </w:tc>
        <w:tc>
          <w:tcPr>
            <w:tcW w:type="dxa" w:w="2736"/>
            <w:shd w:val="clear" w:color="auto" w:fill="FAFBFC"/>
            <w:vAlign w:val="center"/>
          </w:tcPr>
          <w:p>
            <w:pPr>
              <w:spacing w:line="252" w:lineRule="auto" w:before="20" w:after="20"/>
              <w:jc w:val="left"/>
            </w:pPr>
            <w:r>
              <w:rPr>
                <w:rFonts w:ascii="Times New Roman" w:hAnsi="Times New Roman"/>
                <w:sz w:val="18"/>
              </w:rPr>
              <w:t>material_id -&gt; Material, application_id -&gt; Application</w:t>
            </w:r>
          </w:p>
        </w:tc>
        <w:tc>
          <w:tcPr>
            <w:tcW w:type="dxa" w:w="1901"/>
            <w:shd w:val="clear" w:color="auto" w:fill="FAFBFC"/>
            <w:vAlign w:val="center"/>
          </w:tcPr>
          <w:p>
            <w:pPr>
              <w:spacing w:line="252" w:lineRule="auto" w:before="20" w:after="20"/>
              <w:jc w:val="left"/>
            </w:pPr>
            <w:r>
              <w:rPr>
                <w:rFonts w:ascii="Times New Roman" w:hAnsi="Times New Roman"/>
                <w:sz w:val="18"/>
              </w:rPr>
              <w:t>ON DELETE CASCADE on material; RESTRICT on application.</w:t>
            </w:r>
          </w:p>
        </w:tc>
      </w:tr>
      <w:tr>
        <w:trPr>
          <w:cantSplit/>
        </w:trPr>
        <w:tc>
          <w:tcPr>
            <w:tcW w:type="dxa" w:w="2016"/>
            <w:vAlign w:val="center"/>
          </w:tcPr>
          <w:p>
            <w:pPr>
              <w:spacing w:line="252" w:lineRule="auto" w:before="20" w:after="20"/>
              <w:jc w:val="left"/>
            </w:pPr>
            <w:r>
              <w:rPr>
                <w:rFonts w:ascii="Times New Roman" w:hAnsi="Times New Roman"/>
                <w:sz w:val="18"/>
              </w:rPr>
              <w:t>Project</w:t>
            </w:r>
          </w:p>
        </w:tc>
        <w:tc>
          <w:tcPr>
            <w:tcW w:type="dxa" w:w="2016"/>
            <w:vAlign w:val="center"/>
          </w:tcPr>
          <w:p>
            <w:pPr>
              <w:spacing w:line="252" w:lineRule="auto" w:before="20" w:after="20"/>
              <w:jc w:val="left"/>
            </w:pPr>
            <w:r>
              <w:rPr>
                <w:rFonts w:ascii="Times New Roman" w:hAnsi="Times New Roman"/>
                <w:sz w:val="18"/>
              </w:rPr>
              <w:t>project_id</w:t>
            </w:r>
          </w:p>
        </w:tc>
        <w:tc>
          <w:tcPr>
            <w:tcW w:type="dxa" w:w="2736"/>
            <w:vAlign w:val="center"/>
          </w:tcPr>
          <w:p>
            <w:pPr>
              <w:spacing w:line="252" w:lineRule="auto" w:before="20" w:after="20"/>
              <w:jc w:val="left"/>
            </w:pPr>
            <w:r>
              <w:rPr>
                <w:rFonts w:ascii="Times New Roman" w:hAnsi="Times New Roman"/>
                <w:sz w:val="18"/>
              </w:rPr>
              <w:t>owner_id -&gt; User(user_id)</w:t>
            </w:r>
          </w:p>
        </w:tc>
        <w:tc>
          <w:tcPr>
            <w:tcW w:type="dxa" w:w="1901"/>
            <w:vAlign w:val="center"/>
          </w:tcPr>
          <w:p>
            <w:pPr>
              <w:spacing w:line="252" w:lineRule="auto" w:before="20" w:after="20"/>
              <w:jc w:val="left"/>
            </w:pPr>
            <w:r>
              <w:rPr>
                <w:rFonts w:ascii="Times New Roman" w:hAnsi="Times New Roman"/>
                <w:sz w:val="18"/>
              </w:rPr>
              <w:t>ON DELETE CASCADE (Deleting user removes owned projects).</w:t>
            </w:r>
          </w:p>
        </w:tc>
      </w:tr>
      <w:tr>
        <w:trPr>
          <w:cantSplit/>
        </w:trPr>
        <w:tc>
          <w:tcPr>
            <w:tcW w:type="dxa" w:w="2016"/>
            <w:shd w:val="clear" w:color="auto" w:fill="FAFBFC"/>
            <w:vAlign w:val="center"/>
          </w:tcPr>
          <w:p>
            <w:pPr>
              <w:spacing w:line="252" w:lineRule="auto" w:before="20" w:after="20"/>
              <w:jc w:val="left"/>
            </w:pPr>
            <w:r>
              <w:rPr>
                <w:rFonts w:ascii="Times New Roman" w:hAnsi="Times New Roman"/>
                <w:sz w:val="18"/>
              </w:rPr>
              <w:t>Project_Collaborator</w:t>
            </w:r>
          </w:p>
        </w:tc>
        <w:tc>
          <w:tcPr>
            <w:tcW w:type="dxa" w:w="2016"/>
            <w:shd w:val="clear" w:color="auto" w:fill="FAFBFC"/>
            <w:vAlign w:val="center"/>
          </w:tcPr>
          <w:p>
            <w:pPr>
              <w:spacing w:line="252" w:lineRule="auto" w:before="20" w:after="20"/>
              <w:jc w:val="left"/>
            </w:pPr>
            <w:r>
              <w:rPr>
                <w:rFonts w:ascii="Times New Roman" w:hAnsi="Times New Roman"/>
                <w:sz w:val="18"/>
              </w:rPr>
              <w:t>(project_id, user_id)</w:t>
            </w:r>
          </w:p>
        </w:tc>
        <w:tc>
          <w:tcPr>
            <w:tcW w:type="dxa" w:w="2736"/>
            <w:shd w:val="clear" w:color="auto" w:fill="FAFBFC"/>
            <w:vAlign w:val="center"/>
          </w:tcPr>
          <w:p>
            <w:pPr>
              <w:spacing w:line="252" w:lineRule="auto" w:before="20" w:after="20"/>
              <w:jc w:val="left"/>
            </w:pPr>
            <w:r>
              <w:rPr>
                <w:rFonts w:ascii="Times New Roman" w:hAnsi="Times New Roman"/>
                <w:sz w:val="18"/>
              </w:rPr>
              <w:t>project_id -&gt; Project, user_id -&gt; User</w:t>
            </w:r>
          </w:p>
        </w:tc>
        <w:tc>
          <w:tcPr>
            <w:tcW w:type="dxa" w:w="1901"/>
            <w:shd w:val="clear" w:color="auto" w:fill="FAFBFC"/>
            <w:vAlign w:val="center"/>
          </w:tcPr>
          <w:p>
            <w:pPr>
              <w:spacing w:line="252" w:lineRule="auto" w:before="20" w:after="20"/>
              <w:jc w:val="left"/>
            </w:pPr>
            <w:r>
              <w:rPr>
                <w:rFonts w:ascii="Times New Roman" w:hAnsi="Times New Roman"/>
                <w:sz w:val="18"/>
              </w:rPr>
              <w:t>ON DELETE CASCADE on both parent entities.</w:t>
            </w:r>
          </w:p>
        </w:tc>
      </w:tr>
      <w:tr>
        <w:trPr>
          <w:cantSplit/>
        </w:trPr>
        <w:tc>
          <w:tcPr>
            <w:tcW w:type="dxa" w:w="2016"/>
            <w:vAlign w:val="center"/>
          </w:tcPr>
          <w:p>
            <w:pPr>
              <w:spacing w:line="252" w:lineRule="auto" w:before="20" w:after="20"/>
              <w:jc w:val="left"/>
            </w:pPr>
            <w:r>
              <w:rPr>
                <w:rFonts w:ascii="Times New Roman" w:hAnsi="Times New Roman"/>
                <w:sz w:val="18"/>
              </w:rPr>
              <w:t>Saved_Selection</w:t>
            </w:r>
          </w:p>
        </w:tc>
        <w:tc>
          <w:tcPr>
            <w:tcW w:type="dxa" w:w="2016"/>
            <w:vAlign w:val="center"/>
          </w:tcPr>
          <w:p>
            <w:pPr>
              <w:spacing w:line="252" w:lineRule="auto" w:before="20" w:after="20"/>
              <w:jc w:val="left"/>
            </w:pPr>
            <w:r>
              <w:rPr>
                <w:rFonts w:ascii="Times New Roman" w:hAnsi="Times New Roman"/>
                <w:sz w:val="18"/>
              </w:rPr>
              <w:t>selection_id</w:t>
            </w:r>
          </w:p>
        </w:tc>
        <w:tc>
          <w:tcPr>
            <w:tcW w:type="dxa" w:w="2736"/>
            <w:vAlign w:val="center"/>
          </w:tcPr>
          <w:p>
            <w:pPr>
              <w:spacing w:line="252" w:lineRule="auto" w:before="20" w:after="20"/>
              <w:jc w:val="left"/>
            </w:pPr>
            <w:r>
              <w:rPr>
                <w:rFonts w:ascii="Times New Roman" w:hAnsi="Times New Roman"/>
                <w:sz w:val="18"/>
              </w:rPr>
              <w:t>project_id -&gt; Project, user_id -&gt; User</w:t>
            </w:r>
          </w:p>
        </w:tc>
        <w:tc>
          <w:tcPr>
            <w:tcW w:type="dxa" w:w="1901"/>
            <w:vAlign w:val="center"/>
          </w:tcPr>
          <w:p>
            <w:pPr>
              <w:spacing w:line="252" w:lineRule="auto" w:before="20" w:after="20"/>
              <w:jc w:val="left"/>
            </w:pPr>
            <w:r>
              <w:rPr>
                <w:rFonts w:ascii="Times New Roman" w:hAnsi="Times New Roman"/>
                <w:sz w:val="18"/>
              </w:rPr>
              <w:t>ON DELETE CASCADE on project; SET NULL on user.</w:t>
            </w:r>
          </w:p>
        </w:tc>
      </w:tr>
    </w:tbl>
    <w:p>
      <w:pPr>
        <w:spacing w:before="0" w:after="80" w:line="324" w:lineRule="auto"/>
        <w:jc w:val="both"/>
      </w:pPr>
      <w:r>
        <w:rPr>
          <w:rFonts w:ascii="Times New Roman" w:hAnsi="Times New Roman"/>
          <w:b w:val="0"/>
          <w:i w:val="0"/>
          <w:sz w:val="24"/>
        </w:rPr>
        <w:t>To achieve high performance across 6.26 million materials and dozens of millions of property measurements, dedicated B-tree indexes were engineered as listed in Table 3.17.</w:t>
      </w:r>
    </w:p>
    <w:p>
      <w:pPr>
        <w:keepNext/>
        <w:spacing w:before="160" w:after="60"/>
        <w:jc w:val="left"/>
      </w:pPr>
      <w:r>
        <w:rPr>
          <w:rFonts w:ascii="Times New Roman" w:hAnsi="Times New Roman"/>
          <w:b/>
          <w:sz w:val="21"/>
        </w:rPr>
        <w:t>Table 3.17 — Database Indexing Strategy and Query Optimization Roles.</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888"/>
        <w:gridCol w:w="2888"/>
        <w:gridCol w:w="2888"/>
      </w:tblGrid>
      <w:tr>
        <w:trPr>
          <w:cantSplit/>
          <w:tblHeader/>
        </w:trPr>
        <w:tc>
          <w:tcPr>
            <w:tcW w:type="dxa" w:w="2304"/>
            <w:shd w:val="clear" w:color="auto" w:fill="EAEFF5"/>
            <w:vAlign w:val="center"/>
          </w:tcPr>
          <w:p>
            <w:pPr>
              <w:spacing w:line="252" w:lineRule="auto" w:before="40" w:after="40"/>
              <w:jc w:val="left"/>
            </w:pPr>
            <w:r>
              <w:rPr>
                <w:rFonts w:ascii="Times New Roman" w:hAnsi="Times New Roman"/>
                <w:b/>
                <w:sz w:val="19"/>
              </w:rPr>
              <w:t>Index Identifier</w:t>
            </w:r>
          </w:p>
        </w:tc>
        <w:tc>
          <w:tcPr>
            <w:tcW w:type="dxa" w:w="2880"/>
            <w:shd w:val="clear" w:color="auto" w:fill="EAEFF5"/>
            <w:vAlign w:val="center"/>
          </w:tcPr>
          <w:p>
            <w:pPr>
              <w:spacing w:line="252" w:lineRule="auto" w:before="40" w:after="40"/>
              <w:jc w:val="left"/>
            </w:pPr>
            <w:r>
              <w:rPr>
                <w:rFonts w:ascii="Times New Roman" w:hAnsi="Times New Roman"/>
                <w:b/>
                <w:sz w:val="19"/>
              </w:rPr>
              <w:t>Target Table &amp; Column Tuple</w:t>
            </w:r>
          </w:p>
        </w:tc>
        <w:tc>
          <w:tcPr>
            <w:tcW w:type="dxa" w:w="3485"/>
            <w:shd w:val="clear" w:color="auto" w:fill="EAEFF5"/>
            <w:vAlign w:val="center"/>
          </w:tcPr>
          <w:p>
            <w:pPr>
              <w:spacing w:line="252" w:lineRule="auto" w:before="40" w:after="40"/>
              <w:jc w:val="left"/>
            </w:pPr>
            <w:r>
              <w:rPr>
                <w:rFonts w:ascii="Times New Roman" w:hAnsi="Times New Roman"/>
                <w:b/>
                <w:sz w:val="19"/>
              </w:rPr>
              <w:t>Query Optimization Purpose and Execution Role</w:t>
            </w:r>
          </w:p>
        </w:tc>
      </w:tr>
      <w:tr>
        <w:trPr>
          <w:cantSplit/>
        </w:trPr>
        <w:tc>
          <w:tcPr>
            <w:tcW w:type="dxa" w:w="2304"/>
            <w:shd w:val="clear" w:color="auto" w:fill="FAFBFC"/>
            <w:vAlign w:val="center"/>
          </w:tcPr>
          <w:p>
            <w:pPr>
              <w:spacing w:line="252" w:lineRule="auto" w:before="20" w:after="20"/>
              <w:jc w:val="left"/>
            </w:pPr>
            <w:r>
              <w:rPr>
                <w:rFonts w:ascii="Times New Roman" w:hAnsi="Times New Roman"/>
                <w:sz w:val="18"/>
              </w:rPr>
              <w:t>material_numeric_index</w:t>
            </w:r>
          </w:p>
        </w:tc>
        <w:tc>
          <w:tcPr>
            <w:tcW w:type="dxa" w:w="2880"/>
            <w:shd w:val="clear" w:color="auto" w:fill="FAFBFC"/>
            <w:vAlign w:val="center"/>
          </w:tcPr>
          <w:p>
            <w:pPr>
              <w:spacing w:line="252" w:lineRule="auto" w:before="20" w:after="20"/>
              <w:jc w:val="left"/>
            </w:pPr>
            <w:r>
              <w:rPr>
                <w:rFonts w:ascii="Times New Roman" w:hAnsi="Times New Roman"/>
                <w:sz w:val="18"/>
              </w:rPr>
              <w:t>Material_Property(property_id, numeric_value)</w:t>
            </w:r>
          </w:p>
        </w:tc>
        <w:tc>
          <w:tcPr>
            <w:tcW w:type="dxa" w:w="3485"/>
            <w:shd w:val="clear" w:color="auto" w:fill="FAFBFC"/>
            <w:vAlign w:val="center"/>
          </w:tcPr>
          <w:p>
            <w:pPr>
              <w:spacing w:line="252" w:lineRule="auto" w:before="20" w:after="20"/>
              <w:jc w:val="left"/>
            </w:pPr>
            <w:r>
              <w:rPr>
                <w:rFonts w:ascii="Times New Roman" w:hAnsi="Times New Roman"/>
                <w:sz w:val="18"/>
              </w:rPr>
              <w:t>Powers range-based screening (e.g., tensileStrength &gt;= 400). Eliminates table scans.</w:t>
            </w:r>
          </w:p>
        </w:tc>
      </w:tr>
      <w:tr>
        <w:trPr>
          <w:cantSplit/>
        </w:trPr>
        <w:tc>
          <w:tcPr>
            <w:tcW w:type="dxa" w:w="2304"/>
            <w:vAlign w:val="center"/>
          </w:tcPr>
          <w:p>
            <w:pPr>
              <w:spacing w:line="252" w:lineRule="auto" w:before="20" w:after="20"/>
              <w:jc w:val="left"/>
            </w:pPr>
            <w:r>
              <w:rPr>
                <w:rFonts w:ascii="Times New Roman" w:hAnsi="Times New Roman"/>
                <w:sz w:val="18"/>
              </w:rPr>
              <w:t>material_external_unique</w:t>
            </w:r>
          </w:p>
        </w:tc>
        <w:tc>
          <w:tcPr>
            <w:tcW w:type="dxa" w:w="2880"/>
            <w:vAlign w:val="center"/>
          </w:tcPr>
          <w:p>
            <w:pPr>
              <w:spacing w:line="252" w:lineRule="auto" w:before="20" w:after="20"/>
              <w:jc w:val="left"/>
            </w:pPr>
            <w:r>
              <w:rPr>
                <w:rFonts w:ascii="Times New Roman" w:hAnsi="Times New Roman"/>
                <w:sz w:val="18"/>
              </w:rPr>
              <w:t>Material(source_id, external_id)</w:t>
            </w:r>
          </w:p>
        </w:tc>
        <w:tc>
          <w:tcPr>
            <w:tcW w:type="dxa" w:w="3485"/>
            <w:vAlign w:val="center"/>
          </w:tcPr>
          <w:p>
            <w:pPr>
              <w:spacing w:line="252" w:lineRule="auto" w:before="20" w:after="20"/>
              <w:jc w:val="left"/>
            </w:pPr>
            <w:r>
              <w:rPr>
                <w:rFonts w:ascii="Times New Roman" w:hAnsi="Times New Roman"/>
                <w:sz w:val="18"/>
              </w:rPr>
              <w:t>Enforces unique source accession numbers and accelerates idempotent ETL batch reimports.</w:t>
            </w:r>
          </w:p>
        </w:tc>
      </w:tr>
      <w:tr>
        <w:trPr>
          <w:cantSplit/>
        </w:trPr>
        <w:tc>
          <w:tcPr>
            <w:tcW w:type="dxa" w:w="2304"/>
            <w:shd w:val="clear" w:color="auto" w:fill="FAFBFC"/>
            <w:vAlign w:val="center"/>
          </w:tcPr>
          <w:p>
            <w:pPr>
              <w:spacing w:line="252" w:lineRule="auto" w:before="20" w:after="20"/>
              <w:jc w:val="left"/>
            </w:pPr>
            <w:r>
              <w:rPr>
                <w:rFonts w:ascii="Times New Roman" w:hAnsi="Times New Roman"/>
                <w:sz w:val="18"/>
              </w:rPr>
              <w:t>material_name_index</w:t>
            </w:r>
          </w:p>
        </w:tc>
        <w:tc>
          <w:tcPr>
            <w:tcW w:type="dxa" w:w="2880"/>
            <w:shd w:val="clear" w:color="auto" w:fill="FAFBFC"/>
            <w:vAlign w:val="center"/>
          </w:tcPr>
          <w:p>
            <w:pPr>
              <w:spacing w:line="252" w:lineRule="auto" w:before="20" w:after="20"/>
              <w:jc w:val="left"/>
            </w:pPr>
            <w:r>
              <w:rPr>
                <w:rFonts w:ascii="Times New Roman" w:hAnsi="Times New Roman"/>
                <w:sz w:val="18"/>
              </w:rPr>
              <w:t>Material(name)</w:t>
            </w:r>
          </w:p>
        </w:tc>
        <w:tc>
          <w:tcPr>
            <w:tcW w:type="dxa" w:w="3485"/>
            <w:shd w:val="clear" w:color="auto" w:fill="FAFBFC"/>
            <w:vAlign w:val="center"/>
          </w:tcPr>
          <w:p>
            <w:pPr>
              <w:spacing w:line="252" w:lineRule="auto" w:before="20" w:after="20"/>
              <w:jc w:val="left"/>
            </w:pPr>
            <w:r>
              <w:rPr>
                <w:rFonts w:ascii="Times New Roman" w:hAnsi="Times New Roman"/>
                <w:sz w:val="18"/>
              </w:rPr>
              <w:t>Optimizes alphabetical catalog browsing, prefix lookups, and exact grade matching.</w:t>
            </w:r>
          </w:p>
        </w:tc>
      </w:tr>
      <w:tr>
        <w:trPr>
          <w:cantSplit/>
        </w:trPr>
        <w:tc>
          <w:tcPr>
            <w:tcW w:type="dxa" w:w="2304"/>
            <w:vAlign w:val="center"/>
          </w:tcPr>
          <w:p>
            <w:pPr>
              <w:spacing w:line="252" w:lineRule="auto" w:before="20" w:after="20"/>
              <w:jc w:val="left"/>
            </w:pPr>
            <w:r>
              <w:rPr>
                <w:rFonts w:ascii="Times New Roman" w:hAnsi="Times New Roman"/>
                <w:sz w:val="18"/>
              </w:rPr>
              <w:t>material_category_index</w:t>
            </w:r>
          </w:p>
        </w:tc>
        <w:tc>
          <w:tcPr>
            <w:tcW w:type="dxa" w:w="2880"/>
            <w:vAlign w:val="center"/>
          </w:tcPr>
          <w:p>
            <w:pPr>
              <w:spacing w:line="252" w:lineRule="auto" w:before="20" w:after="20"/>
              <w:jc w:val="left"/>
            </w:pPr>
            <w:r>
              <w:rPr>
                <w:rFonts w:ascii="Times New Roman" w:hAnsi="Times New Roman"/>
                <w:sz w:val="18"/>
              </w:rPr>
              <w:t>Material(category_id, is_active)</w:t>
            </w:r>
          </w:p>
        </w:tc>
        <w:tc>
          <w:tcPr>
            <w:tcW w:type="dxa" w:w="3485"/>
            <w:vAlign w:val="center"/>
          </w:tcPr>
          <w:p>
            <w:pPr>
              <w:spacing w:line="252" w:lineRule="auto" w:before="20" w:after="20"/>
              <w:jc w:val="left"/>
            </w:pPr>
            <w:r>
              <w:rPr>
                <w:rFonts w:ascii="Times New Roman" w:hAnsi="Times New Roman"/>
                <w:sz w:val="18"/>
              </w:rPr>
              <w:t>Enables instant category filtering and active status verification.</w:t>
            </w:r>
          </w:p>
        </w:tc>
      </w:tr>
      <w:tr>
        <w:trPr>
          <w:cantSplit/>
        </w:trPr>
        <w:tc>
          <w:tcPr>
            <w:tcW w:type="dxa" w:w="2304"/>
            <w:shd w:val="clear" w:color="auto" w:fill="FAFBFC"/>
            <w:vAlign w:val="center"/>
          </w:tcPr>
          <w:p>
            <w:pPr>
              <w:spacing w:line="252" w:lineRule="auto" w:before="20" w:after="20"/>
              <w:jc w:val="left"/>
            </w:pPr>
            <w:r>
              <w:rPr>
                <w:rFonts w:ascii="Times New Roman" w:hAnsi="Times New Roman"/>
                <w:sz w:val="18"/>
              </w:rPr>
              <w:t>proj_collab_user_idx</w:t>
            </w:r>
          </w:p>
        </w:tc>
        <w:tc>
          <w:tcPr>
            <w:tcW w:type="dxa" w:w="2880"/>
            <w:shd w:val="clear" w:color="auto" w:fill="FAFBFC"/>
            <w:vAlign w:val="center"/>
          </w:tcPr>
          <w:p>
            <w:pPr>
              <w:spacing w:line="252" w:lineRule="auto" w:before="20" w:after="20"/>
              <w:jc w:val="left"/>
            </w:pPr>
            <w:r>
              <w:rPr>
                <w:rFonts w:ascii="Times New Roman" w:hAnsi="Times New Roman"/>
                <w:sz w:val="18"/>
              </w:rPr>
              <w:t>Project_Collaborator(user_id, permission)</w:t>
            </w:r>
          </w:p>
        </w:tc>
        <w:tc>
          <w:tcPr>
            <w:tcW w:type="dxa" w:w="3485"/>
            <w:shd w:val="clear" w:color="auto" w:fill="FAFBFC"/>
            <w:vAlign w:val="center"/>
          </w:tcPr>
          <w:p>
            <w:pPr>
              <w:spacing w:line="252" w:lineRule="auto" w:before="20" w:after="20"/>
              <w:jc w:val="left"/>
            </w:pPr>
            <w:r>
              <w:rPr>
                <w:rFonts w:ascii="Times New Roman" w:hAnsi="Times New Roman"/>
                <w:sz w:val="18"/>
              </w:rPr>
              <w:t>Accelerates user workspace dashboard loading and authorization verification.</w:t>
            </w:r>
          </w:p>
        </w:tc>
      </w:tr>
    </w:tbl>
    <w:p>
      <w:pPr>
        <w:keepNext/>
        <w:pageBreakBefore/>
        <w:spacing w:before="360" w:after="280"/>
        <w:jc w:val="center"/>
      </w:pPr>
      <w:r>
        <w:rPr>
          <w:rFonts w:ascii="Times New Roman" w:hAnsi="Times New Roman"/>
          <w:b/>
          <w:sz w:val="32"/>
        </w:rPr>
        <w:t>4 IMPLEMENTATION</w:t>
      </w:r>
    </w:p>
    <w:p>
      <w:pPr>
        <w:keepNext/>
        <w:spacing w:before="240" w:after="80"/>
        <w:jc w:val="left"/>
      </w:pPr>
      <w:r>
        <w:rPr>
          <w:rFonts w:ascii="Times New Roman" w:hAnsi="Times New Roman"/>
          <w:b/>
          <w:sz w:val="26"/>
        </w:rPr>
        <w:t>4.1 Technologies Used</w:t>
      </w:r>
    </w:p>
    <w:p>
      <w:pPr>
        <w:spacing w:before="0" w:after="80" w:line="324" w:lineRule="auto"/>
        <w:jc w:val="both"/>
      </w:pPr>
      <w:r>
        <w:rPr>
          <w:rFonts w:ascii="Times New Roman" w:hAnsi="Times New Roman"/>
          <w:b w:val="0"/>
          <w:i w:val="0"/>
          <w:sz w:val="24"/>
        </w:rPr>
        <w:t>The Starbase technology stack was selected to guarantee high relational query performance, enterprise scalability, type safety, and clean separation of concerns [14, 18, 19]. Table 4.1 details the software components.</w:t>
      </w:r>
    </w:p>
    <w:p>
      <w:pPr>
        <w:keepNext/>
        <w:spacing w:before="160" w:after="60"/>
        <w:jc w:val="left"/>
      </w:pPr>
      <w:r>
        <w:rPr>
          <w:rFonts w:ascii="Times New Roman" w:hAnsi="Times New Roman"/>
          <w:b/>
          <w:sz w:val="21"/>
        </w:rPr>
        <w:t>Table 4.1 — Software Technology Stack and Architectural Roles.</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888"/>
        <w:gridCol w:w="2888"/>
        <w:gridCol w:w="2888"/>
      </w:tblGrid>
      <w:tr>
        <w:trPr>
          <w:cantSplit/>
          <w:tblHeader/>
        </w:trPr>
        <w:tc>
          <w:tcPr>
            <w:tcW w:type="dxa" w:w="2160"/>
            <w:shd w:val="clear" w:color="auto" w:fill="EAEFF5"/>
            <w:vAlign w:val="center"/>
          </w:tcPr>
          <w:p>
            <w:pPr>
              <w:spacing w:line="252" w:lineRule="auto" w:before="40" w:after="40"/>
              <w:jc w:val="left"/>
            </w:pPr>
            <w:r>
              <w:rPr>
                <w:rFonts w:ascii="Times New Roman" w:hAnsi="Times New Roman"/>
                <w:b/>
                <w:sz w:val="19"/>
              </w:rPr>
              <w:t>Layer / Component</w:t>
            </w:r>
          </w:p>
        </w:tc>
        <w:tc>
          <w:tcPr>
            <w:tcW w:type="dxa" w:w="2880"/>
            <w:shd w:val="clear" w:color="auto" w:fill="EAEFF5"/>
            <w:vAlign w:val="center"/>
          </w:tcPr>
          <w:p>
            <w:pPr>
              <w:spacing w:line="252" w:lineRule="auto" w:before="40" w:after="40"/>
              <w:jc w:val="left"/>
            </w:pPr>
            <w:r>
              <w:rPr>
                <w:rFonts w:ascii="Times New Roman" w:hAnsi="Times New Roman"/>
                <w:b/>
                <w:sz w:val="19"/>
              </w:rPr>
              <w:t>Technology &amp; Version</w:t>
            </w:r>
          </w:p>
        </w:tc>
        <w:tc>
          <w:tcPr>
            <w:tcW w:type="dxa" w:w="3629"/>
            <w:shd w:val="clear" w:color="auto" w:fill="EAEFF5"/>
            <w:vAlign w:val="center"/>
          </w:tcPr>
          <w:p>
            <w:pPr>
              <w:spacing w:line="252" w:lineRule="auto" w:before="40" w:after="40"/>
              <w:jc w:val="left"/>
            </w:pPr>
            <w:r>
              <w:rPr>
                <w:rFonts w:ascii="Times New Roman" w:hAnsi="Times New Roman"/>
                <w:b/>
                <w:sz w:val="19"/>
              </w:rPr>
              <w:t>Architectural Responsibility and Justification</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Frontend Presentation</w:t>
            </w:r>
          </w:p>
        </w:tc>
        <w:tc>
          <w:tcPr>
            <w:tcW w:type="dxa" w:w="2880"/>
            <w:shd w:val="clear" w:color="auto" w:fill="FAFBFC"/>
            <w:vAlign w:val="center"/>
          </w:tcPr>
          <w:p>
            <w:pPr>
              <w:spacing w:line="252" w:lineRule="auto" w:before="20" w:after="20"/>
              <w:jc w:val="left"/>
            </w:pPr>
            <w:r>
              <w:rPr>
                <w:rFonts w:ascii="Times New Roman" w:hAnsi="Times New Roman"/>
                <w:sz w:val="18"/>
              </w:rPr>
              <w:t>React 18.2 / React Router 6</w:t>
            </w:r>
          </w:p>
        </w:tc>
        <w:tc>
          <w:tcPr>
            <w:tcW w:type="dxa" w:w="3629"/>
            <w:shd w:val="clear" w:color="auto" w:fill="FAFBFC"/>
            <w:vAlign w:val="center"/>
          </w:tcPr>
          <w:p>
            <w:pPr>
              <w:spacing w:line="252" w:lineRule="auto" w:before="20" w:after="20"/>
              <w:jc w:val="left"/>
            </w:pPr>
            <w:r>
              <w:rPr>
                <w:rFonts w:ascii="Times New Roman" w:hAnsi="Times New Roman"/>
                <w:sz w:val="18"/>
              </w:rPr>
              <w:t>Single Page Application (SPA), state management, responsive UI components, interactive sliders.</w:t>
            </w:r>
          </w:p>
        </w:tc>
      </w:tr>
      <w:tr>
        <w:trPr>
          <w:cantSplit/>
        </w:trPr>
        <w:tc>
          <w:tcPr>
            <w:tcW w:type="dxa" w:w="2160"/>
            <w:vAlign w:val="center"/>
          </w:tcPr>
          <w:p>
            <w:pPr>
              <w:spacing w:line="252" w:lineRule="auto" w:before="20" w:after="20"/>
              <w:jc w:val="left"/>
            </w:pPr>
            <w:r>
              <w:rPr>
                <w:rFonts w:ascii="Times New Roman" w:hAnsi="Times New Roman"/>
                <w:sz w:val="18"/>
              </w:rPr>
              <w:t>Backend Web Server</w:t>
            </w:r>
          </w:p>
        </w:tc>
        <w:tc>
          <w:tcPr>
            <w:tcW w:type="dxa" w:w="2880"/>
            <w:vAlign w:val="center"/>
          </w:tcPr>
          <w:p>
            <w:pPr>
              <w:spacing w:line="252" w:lineRule="auto" w:before="20" w:after="20"/>
              <w:jc w:val="left"/>
            </w:pPr>
            <w:r>
              <w:rPr>
                <w:rFonts w:ascii="Times New Roman" w:hAnsi="Times New Roman"/>
                <w:sz w:val="18"/>
              </w:rPr>
              <w:t>Node.js 22.x / Express 5.x [18]</w:t>
            </w:r>
          </w:p>
        </w:tc>
        <w:tc>
          <w:tcPr>
            <w:tcW w:type="dxa" w:w="3629"/>
            <w:vAlign w:val="center"/>
          </w:tcPr>
          <w:p>
            <w:pPr>
              <w:spacing w:line="252" w:lineRule="auto" w:before="20" w:after="20"/>
              <w:jc w:val="left"/>
            </w:pPr>
            <w:r>
              <w:rPr>
                <w:rFonts w:ascii="Times New Roman" w:hAnsi="Times New Roman"/>
                <w:sz w:val="18"/>
              </w:rPr>
              <w:t>Asynchronous REST API, JWT bearer authentication, input sanitization, and ranking computation.</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Relational Database</w:t>
            </w:r>
          </w:p>
        </w:tc>
        <w:tc>
          <w:tcPr>
            <w:tcW w:type="dxa" w:w="2880"/>
            <w:shd w:val="clear" w:color="auto" w:fill="FAFBFC"/>
            <w:vAlign w:val="center"/>
          </w:tcPr>
          <w:p>
            <w:pPr>
              <w:spacing w:line="252" w:lineRule="auto" w:before="20" w:after="20"/>
              <w:jc w:val="left"/>
            </w:pPr>
            <w:r>
              <w:rPr>
                <w:rFonts w:ascii="Times New Roman" w:hAnsi="Times New Roman"/>
                <w:sz w:val="18"/>
              </w:rPr>
              <w:t>MySQL Community 8.4 [16]</w:t>
            </w:r>
          </w:p>
        </w:tc>
        <w:tc>
          <w:tcPr>
            <w:tcW w:type="dxa" w:w="3629"/>
            <w:shd w:val="clear" w:color="auto" w:fill="FAFBFC"/>
            <w:vAlign w:val="center"/>
          </w:tcPr>
          <w:p>
            <w:pPr>
              <w:spacing w:line="252" w:lineRule="auto" w:before="20" w:after="20"/>
              <w:jc w:val="left"/>
            </w:pPr>
            <w:r>
              <w:rPr>
                <w:rFonts w:ascii="Times New Roman" w:hAnsi="Times New Roman"/>
                <w:sz w:val="18"/>
              </w:rPr>
              <w:t>ACID-compliant relational storage, InnoDB B-tree indexing, prepared statements, connection pooling.</w:t>
            </w:r>
          </w:p>
        </w:tc>
      </w:tr>
      <w:tr>
        <w:trPr>
          <w:cantSplit/>
        </w:trPr>
        <w:tc>
          <w:tcPr>
            <w:tcW w:type="dxa" w:w="2160"/>
            <w:vAlign w:val="center"/>
          </w:tcPr>
          <w:p>
            <w:pPr>
              <w:spacing w:line="252" w:lineRule="auto" w:before="20" w:after="20"/>
              <w:jc w:val="left"/>
            </w:pPr>
            <w:r>
              <w:rPr>
                <w:rFonts w:ascii="Times New Roman" w:hAnsi="Times New Roman"/>
                <w:sz w:val="18"/>
              </w:rPr>
              <w:t>Distributed Cloud DB</w:t>
            </w:r>
          </w:p>
        </w:tc>
        <w:tc>
          <w:tcPr>
            <w:tcW w:type="dxa" w:w="2880"/>
            <w:vAlign w:val="center"/>
          </w:tcPr>
          <w:p>
            <w:pPr>
              <w:spacing w:line="252" w:lineRule="auto" w:before="20" w:after="20"/>
              <w:jc w:val="left"/>
            </w:pPr>
            <w:r>
              <w:rPr>
                <w:rFonts w:ascii="Times New Roman" w:hAnsi="Times New Roman"/>
                <w:sz w:val="18"/>
              </w:rPr>
              <w:t>TiDB Cloud Serverless [17]</w:t>
            </w:r>
          </w:p>
        </w:tc>
        <w:tc>
          <w:tcPr>
            <w:tcW w:type="dxa" w:w="3629"/>
            <w:vAlign w:val="center"/>
          </w:tcPr>
          <w:p>
            <w:pPr>
              <w:spacing w:line="252" w:lineRule="auto" w:before="20" w:after="20"/>
              <w:jc w:val="left"/>
            </w:pPr>
            <w:r>
              <w:rPr>
                <w:rFonts w:ascii="Times New Roman" w:hAnsi="Times New Roman"/>
                <w:sz w:val="18"/>
              </w:rPr>
              <w:t>Cloud-native distributed SQL engine with MySQL 8.0 compatibility, auto-scaling, and TLS 1.3 encryption.</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Data Extraction Pipeline</w:t>
            </w:r>
          </w:p>
        </w:tc>
        <w:tc>
          <w:tcPr>
            <w:tcW w:type="dxa" w:w="2880"/>
            <w:shd w:val="clear" w:color="auto" w:fill="FAFBFC"/>
            <w:vAlign w:val="center"/>
          </w:tcPr>
          <w:p>
            <w:pPr>
              <w:spacing w:line="252" w:lineRule="auto" w:before="20" w:after="20"/>
              <w:jc w:val="left"/>
            </w:pPr>
            <w:r>
              <w:rPr>
                <w:rFonts w:ascii="Times New Roman" w:hAnsi="Times New Roman"/>
                <w:sz w:val="18"/>
              </w:rPr>
              <w:t>Python 3.12 / Requests / NumPy</w:t>
            </w:r>
          </w:p>
        </w:tc>
        <w:tc>
          <w:tcPr>
            <w:tcW w:type="dxa" w:w="3629"/>
            <w:shd w:val="clear" w:color="auto" w:fill="FAFBFC"/>
            <w:vAlign w:val="center"/>
          </w:tcPr>
          <w:p>
            <w:pPr>
              <w:spacing w:line="252" w:lineRule="auto" w:before="20" w:after="20"/>
              <w:jc w:val="left"/>
            </w:pPr>
            <w:r>
              <w:rPr>
                <w:rFonts w:ascii="Times New Roman" w:hAnsi="Times New Roman"/>
                <w:sz w:val="18"/>
              </w:rPr>
              <w:t>Bulk retrieval, cryptographic hashing, CIF crystal parsing, and batch SQL JSON preparation.</w:t>
            </w:r>
          </w:p>
        </w:tc>
      </w:tr>
      <w:tr>
        <w:trPr>
          <w:cantSplit/>
        </w:trPr>
        <w:tc>
          <w:tcPr>
            <w:tcW w:type="dxa" w:w="2160"/>
            <w:vAlign w:val="center"/>
          </w:tcPr>
          <w:p>
            <w:pPr>
              <w:spacing w:line="252" w:lineRule="auto" w:before="20" w:after="20"/>
              <w:jc w:val="left"/>
            </w:pPr>
            <w:r>
              <w:rPr>
                <w:rFonts w:ascii="Times New Roman" w:hAnsi="Times New Roman"/>
                <w:sz w:val="18"/>
              </w:rPr>
              <w:t>Automated Test Suite</w:t>
            </w:r>
          </w:p>
        </w:tc>
        <w:tc>
          <w:tcPr>
            <w:tcW w:type="dxa" w:w="2880"/>
            <w:vAlign w:val="center"/>
          </w:tcPr>
          <w:p>
            <w:pPr>
              <w:spacing w:line="252" w:lineRule="auto" w:before="20" w:after="20"/>
              <w:jc w:val="left"/>
            </w:pPr>
            <w:r>
              <w:rPr>
                <w:rFonts w:ascii="Times New Roman" w:hAnsi="Times New Roman"/>
                <w:sz w:val="18"/>
              </w:rPr>
              <w:t>Node.js Native Test Runner (node:test)</w:t>
            </w:r>
          </w:p>
        </w:tc>
        <w:tc>
          <w:tcPr>
            <w:tcW w:type="dxa" w:w="3629"/>
            <w:vAlign w:val="center"/>
          </w:tcPr>
          <w:p>
            <w:pPr>
              <w:spacing w:line="252" w:lineRule="auto" w:before="20" w:after="20"/>
              <w:jc w:val="left"/>
            </w:pPr>
            <w:r>
              <w:rPr>
                <w:rFonts w:ascii="Times New Roman" w:hAnsi="Times New Roman"/>
                <w:sz w:val="18"/>
              </w:rPr>
              <w:t>Fast unit, integration, and live database regression testing without heavy third-party runners.</w:t>
            </w:r>
          </w:p>
        </w:tc>
      </w:tr>
    </w:tbl>
    <w:p>
      <w:pPr>
        <w:keepNext/>
        <w:spacing w:before="240" w:after="80"/>
        <w:jc w:val="left"/>
      </w:pPr>
      <w:r>
        <w:rPr>
          <w:rFonts w:ascii="Times New Roman" w:hAnsi="Times New Roman"/>
          <w:b/>
          <w:sz w:val="26"/>
        </w:rPr>
        <w:t>4.2 Module Description</w:t>
      </w:r>
    </w:p>
    <w:p>
      <w:pPr>
        <w:spacing w:before="0" w:after="80" w:line="324" w:lineRule="auto"/>
        <w:jc w:val="both"/>
      </w:pPr>
      <w:r>
        <w:rPr>
          <w:rFonts w:ascii="Times New Roman" w:hAnsi="Times New Roman"/>
          <w:b w:val="0"/>
          <w:i w:val="0"/>
          <w:sz w:val="24"/>
        </w:rPr>
        <w:t>The software architecture is modularized into discrete service controllers and data access objects (DAOs), as outlined in Table 4.2.</w:t>
      </w:r>
    </w:p>
    <w:p>
      <w:pPr>
        <w:keepNext/>
        <w:spacing w:before="160" w:after="60"/>
        <w:jc w:val="left"/>
      </w:pPr>
      <w:r>
        <w:rPr>
          <w:rFonts w:ascii="Times New Roman" w:hAnsi="Times New Roman"/>
          <w:b/>
          <w:sz w:val="21"/>
        </w:rPr>
        <w:t>Table 4.2 — Software Module Responsibilities and Source Code Mapping.</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888"/>
        <w:gridCol w:w="2888"/>
        <w:gridCol w:w="2888"/>
      </w:tblGrid>
      <w:tr>
        <w:trPr>
          <w:cantSplit/>
          <w:tblHeader/>
        </w:trPr>
        <w:tc>
          <w:tcPr>
            <w:tcW w:type="dxa" w:w="2304"/>
            <w:shd w:val="clear" w:color="auto" w:fill="EAEFF5"/>
            <w:vAlign w:val="center"/>
          </w:tcPr>
          <w:p>
            <w:pPr>
              <w:spacing w:line="252" w:lineRule="auto" w:before="40" w:after="40"/>
              <w:jc w:val="left"/>
            </w:pPr>
            <w:r>
              <w:rPr>
                <w:rFonts w:ascii="Times New Roman" w:hAnsi="Times New Roman"/>
                <w:b/>
                <w:sz w:val="19"/>
              </w:rPr>
              <w:t>Module Identifier</w:t>
            </w:r>
          </w:p>
        </w:tc>
        <w:tc>
          <w:tcPr>
            <w:tcW w:type="dxa" w:w="2880"/>
            <w:shd w:val="clear" w:color="auto" w:fill="EAEFF5"/>
            <w:vAlign w:val="center"/>
          </w:tcPr>
          <w:p>
            <w:pPr>
              <w:spacing w:line="252" w:lineRule="auto" w:before="40" w:after="40"/>
              <w:jc w:val="left"/>
            </w:pPr>
            <w:r>
              <w:rPr>
                <w:rFonts w:ascii="Times New Roman" w:hAnsi="Times New Roman"/>
                <w:b/>
                <w:sz w:val="19"/>
              </w:rPr>
              <w:t>Source Code File</w:t>
            </w:r>
          </w:p>
        </w:tc>
        <w:tc>
          <w:tcPr>
            <w:tcW w:type="dxa" w:w="3485"/>
            <w:shd w:val="clear" w:color="auto" w:fill="EAEFF5"/>
            <w:vAlign w:val="center"/>
          </w:tcPr>
          <w:p>
            <w:pPr>
              <w:spacing w:line="252" w:lineRule="auto" w:before="40" w:after="40"/>
              <w:jc w:val="left"/>
            </w:pPr>
            <w:r>
              <w:rPr>
                <w:rFonts w:ascii="Times New Roman" w:hAnsi="Times New Roman"/>
                <w:b/>
                <w:sz w:val="19"/>
              </w:rPr>
              <w:t>Core Functional Responsibility</w:t>
            </w:r>
          </w:p>
        </w:tc>
      </w:tr>
      <w:tr>
        <w:trPr>
          <w:cantSplit/>
        </w:trPr>
        <w:tc>
          <w:tcPr>
            <w:tcW w:type="dxa" w:w="2304"/>
            <w:shd w:val="clear" w:color="auto" w:fill="FAFBFC"/>
            <w:vAlign w:val="center"/>
          </w:tcPr>
          <w:p>
            <w:pPr>
              <w:spacing w:line="252" w:lineRule="auto" w:before="20" w:after="20"/>
              <w:jc w:val="left"/>
            </w:pPr>
            <w:r>
              <w:rPr>
                <w:rFonts w:ascii="Times New Roman" w:hAnsi="Times New Roman"/>
                <w:sz w:val="18"/>
              </w:rPr>
              <w:t>Catalog Service</w:t>
            </w:r>
          </w:p>
        </w:tc>
        <w:tc>
          <w:tcPr>
            <w:tcW w:type="dxa" w:w="2880"/>
            <w:shd w:val="clear" w:color="auto" w:fill="FAFBFC"/>
            <w:vAlign w:val="center"/>
          </w:tcPr>
          <w:p>
            <w:pPr>
              <w:spacing w:line="252" w:lineRule="auto" w:before="20" w:after="20"/>
              <w:jc w:val="left"/>
            </w:pPr>
            <w:r>
              <w:rPr>
                <w:rFonts w:ascii="Times New Roman" w:hAnsi="Times New Roman"/>
                <w:sz w:val="18"/>
              </w:rPr>
              <w:t>server/services/catalog.js</w:t>
            </w:r>
          </w:p>
        </w:tc>
        <w:tc>
          <w:tcPr>
            <w:tcW w:type="dxa" w:w="3485"/>
            <w:shd w:val="clear" w:color="auto" w:fill="FAFBFC"/>
            <w:vAlign w:val="center"/>
          </w:tcPr>
          <w:p>
            <w:pPr>
              <w:spacing w:line="252" w:lineRule="auto" w:before="20" w:after="20"/>
              <w:jc w:val="left"/>
            </w:pPr>
            <w:r>
              <w:rPr>
                <w:rFonts w:ascii="Times New Roman" w:hAnsi="Times New Roman"/>
                <w:sz w:val="18"/>
              </w:rPr>
              <w:t>Manages material catalog browsing, property lookups, composite indexes, and summary generation.</w:t>
            </w:r>
          </w:p>
        </w:tc>
      </w:tr>
      <w:tr>
        <w:trPr>
          <w:cantSplit/>
        </w:trPr>
        <w:tc>
          <w:tcPr>
            <w:tcW w:type="dxa" w:w="2304"/>
            <w:vAlign w:val="center"/>
          </w:tcPr>
          <w:p>
            <w:pPr>
              <w:spacing w:line="252" w:lineRule="auto" w:before="20" w:after="20"/>
              <w:jc w:val="left"/>
            </w:pPr>
            <w:r>
              <w:rPr>
                <w:rFonts w:ascii="Times New Roman" w:hAnsi="Times New Roman"/>
                <w:sz w:val="18"/>
              </w:rPr>
              <w:t>Recommendation Engine</w:t>
            </w:r>
          </w:p>
        </w:tc>
        <w:tc>
          <w:tcPr>
            <w:tcW w:type="dxa" w:w="2880"/>
            <w:vAlign w:val="center"/>
          </w:tcPr>
          <w:p>
            <w:pPr>
              <w:spacing w:line="252" w:lineRule="auto" w:before="20" w:after="20"/>
              <w:jc w:val="left"/>
            </w:pPr>
            <w:r>
              <w:rPr>
                <w:rFonts w:ascii="Times New Roman" w:hAnsi="Times New Roman"/>
                <w:sz w:val="18"/>
              </w:rPr>
              <w:t>server/services/catalogRecommendation.js</w:t>
            </w:r>
          </w:p>
        </w:tc>
        <w:tc>
          <w:tcPr>
            <w:tcW w:type="dxa" w:w="3485"/>
            <w:vAlign w:val="center"/>
          </w:tcPr>
          <w:p>
            <w:pPr>
              <w:spacing w:line="252" w:lineRule="auto" w:before="20" w:after="20"/>
              <w:jc w:val="left"/>
            </w:pPr>
            <w:r>
              <w:rPr>
                <w:rFonts w:ascii="Times New Roman" w:hAnsi="Times New Roman"/>
                <w:sz w:val="18"/>
              </w:rPr>
              <w:t>Executes SQL hard screening, global min-max normalization, and weighted priority scoring.</w:t>
            </w:r>
          </w:p>
        </w:tc>
      </w:tr>
      <w:tr>
        <w:trPr>
          <w:cantSplit/>
        </w:trPr>
        <w:tc>
          <w:tcPr>
            <w:tcW w:type="dxa" w:w="2304"/>
            <w:shd w:val="clear" w:color="auto" w:fill="FAFBFC"/>
            <w:vAlign w:val="center"/>
          </w:tcPr>
          <w:p>
            <w:pPr>
              <w:spacing w:line="252" w:lineRule="auto" w:before="20" w:after="20"/>
              <w:jc w:val="left"/>
            </w:pPr>
            <w:r>
              <w:rPr>
                <w:rFonts w:ascii="Times New Roman" w:hAnsi="Times New Roman"/>
                <w:sz w:val="18"/>
              </w:rPr>
              <w:t>Database Driver</w:t>
            </w:r>
          </w:p>
        </w:tc>
        <w:tc>
          <w:tcPr>
            <w:tcW w:type="dxa" w:w="2880"/>
            <w:shd w:val="clear" w:color="auto" w:fill="FAFBFC"/>
            <w:vAlign w:val="center"/>
          </w:tcPr>
          <w:p>
            <w:pPr>
              <w:spacing w:line="252" w:lineRule="auto" w:before="20" w:after="20"/>
              <w:jc w:val="left"/>
            </w:pPr>
            <w:r>
              <w:rPr>
                <w:rFonts w:ascii="Times New Roman" w:hAnsi="Times New Roman"/>
                <w:sz w:val="18"/>
              </w:rPr>
              <w:t>server/config/db.js</w:t>
            </w:r>
          </w:p>
        </w:tc>
        <w:tc>
          <w:tcPr>
            <w:tcW w:type="dxa" w:w="3485"/>
            <w:shd w:val="clear" w:color="auto" w:fill="FAFBFC"/>
            <w:vAlign w:val="center"/>
          </w:tcPr>
          <w:p>
            <w:pPr>
              <w:spacing w:line="252" w:lineRule="auto" w:before="20" w:after="20"/>
              <w:jc w:val="left"/>
            </w:pPr>
            <w:r>
              <w:rPr>
                <w:rFonts w:ascii="Times New Roman" w:hAnsi="Times New Roman"/>
                <w:sz w:val="18"/>
              </w:rPr>
              <w:t>Manages MySQL/TiDB connection pools, prepared statement executions, and fallback detection.</w:t>
            </w:r>
          </w:p>
        </w:tc>
      </w:tr>
      <w:tr>
        <w:trPr>
          <w:cantSplit/>
        </w:trPr>
        <w:tc>
          <w:tcPr>
            <w:tcW w:type="dxa" w:w="2304"/>
            <w:vAlign w:val="center"/>
          </w:tcPr>
          <w:p>
            <w:pPr>
              <w:spacing w:line="252" w:lineRule="auto" w:before="20" w:after="20"/>
              <w:jc w:val="left"/>
            </w:pPr>
            <w:r>
              <w:rPr>
                <w:rFonts w:ascii="Times New Roman" w:hAnsi="Times New Roman"/>
                <w:sz w:val="18"/>
              </w:rPr>
              <w:t>Workspace Controller</w:t>
            </w:r>
          </w:p>
        </w:tc>
        <w:tc>
          <w:tcPr>
            <w:tcW w:type="dxa" w:w="2880"/>
            <w:vAlign w:val="center"/>
          </w:tcPr>
          <w:p>
            <w:pPr>
              <w:spacing w:line="252" w:lineRule="auto" w:before="20" w:after="20"/>
              <w:jc w:val="left"/>
            </w:pPr>
            <w:r>
              <w:rPr>
                <w:rFonts w:ascii="Times New Roman" w:hAnsi="Times New Roman"/>
                <w:sz w:val="18"/>
              </w:rPr>
              <w:t>server/controllers/projectController.js</w:t>
            </w:r>
          </w:p>
        </w:tc>
        <w:tc>
          <w:tcPr>
            <w:tcW w:type="dxa" w:w="3485"/>
            <w:vAlign w:val="center"/>
          </w:tcPr>
          <w:p>
            <w:pPr>
              <w:spacing w:line="252" w:lineRule="auto" w:before="20" w:after="20"/>
              <w:jc w:val="left"/>
            </w:pPr>
            <w:r>
              <w:rPr>
                <w:rFonts w:ascii="Times New Roman" w:hAnsi="Times New Roman"/>
                <w:sz w:val="18"/>
              </w:rPr>
              <w:t>Handles project creation, member role assignments, saved selections, and comparison records.</w:t>
            </w:r>
          </w:p>
        </w:tc>
      </w:tr>
      <w:tr>
        <w:trPr>
          <w:cantSplit/>
        </w:trPr>
        <w:tc>
          <w:tcPr>
            <w:tcW w:type="dxa" w:w="2304"/>
            <w:shd w:val="clear" w:color="auto" w:fill="FAFBFC"/>
            <w:vAlign w:val="center"/>
          </w:tcPr>
          <w:p>
            <w:pPr>
              <w:spacing w:line="252" w:lineRule="auto" w:before="20" w:after="20"/>
              <w:jc w:val="left"/>
            </w:pPr>
            <w:r>
              <w:rPr>
                <w:rFonts w:ascii="Times New Roman" w:hAnsi="Times New Roman"/>
                <w:sz w:val="18"/>
              </w:rPr>
              <w:t>Bulk Ingestion CLI</w:t>
            </w:r>
          </w:p>
        </w:tc>
        <w:tc>
          <w:tcPr>
            <w:tcW w:type="dxa" w:w="2880"/>
            <w:shd w:val="clear" w:color="auto" w:fill="FAFBFC"/>
            <w:vAlign w:val="center"/>
          </w:tcPr>
          <w:p>
            <w:pPr>
              <w:spacing w:line="252" w:lineRule="auto" w:before="20" w:after="20"/>
              <w:jc w:val="left"/>
            </w:pPr>
            <w:r>
              <w:rPr>
                <w:rFonts w:ascii="Times New Roman" w:hAnsi="Times New Roman"/>
                <w:sz w:val="18"/>
              </w:rPr>
              <w:t>server/scripts/import-catalog.js</w:t>
            </w:r>
          </w:p>
        </w:tc>
        <w:tc>
          <w:tcPr>
            <w:tcW w:type="dxa" w:w="3485"/>
            <w:shd w:val="clear" w:color="auto" w:fill="FAFBFC"/>
            <w:vAlign w:val="center"/>
          </w:tcPr>
          <w:p>
            <w:pPr>
              <w:spacing w:line="252" w:lineRule="auto" w:before="20" w:after="20"/>
              <w:jc w:val="left"/>
            </w:pPr>
            <w:r>
              <w:rPr>
                <w:rFonts w:ascii="Times New Roman" w:hAnsi="Times New Roman"/>
                <w:sz w:val="18"/>
              </w:rPr>
              <w:t>Executes batch transaction commits, foreign key resolution, and idempotent database loading.</w:t>
            </w:r>
          </w:p>
        </w:tc>
      </w:tr>
    </w:tbl>
    <w:p>
      <w:pPr>
        <w:keepNext/>
        <w:spacing w:before="240" w:after="80"/>
        <w:jc w:val="left"/>
      </w:pPr>
      <w:r>
        <w:rPr>
          <w:rFonts w:ascii="Times New Roman" w:hAnsi="Times New Roman"/>
          <w:b/>
          <w:sz w:val="26"/>
        </w:rPr>
        <w:t>4.3 Database Implementation</w:t>
      </w:r>
    </w:p>
    <w:p>
      <w:pPr>
        <w:spacing w:before="0" w:after="80" w:line="324" w:lineRule="auto"/>
        <w:jc w:val="both"/>
      </w:pPr>
      <w:r>
        <w:rPr>
          <w:rFonts w:ascii="Times New Roman" w:hAnsi="Times New Roman"/>
          <w:b w:val="0"/>
          <w:i w:val="0"/>
          <w:sz w:val="24"/>
        </w:rPr>
        <w:t>The Starbase catalog was populated through automated ETL pipelines that harvested, validated, and normalized 14 authoritative public and authorized materials data repositories [1–7, 9–12]. Table 4.3 summarizes the ingested data sources and their record distributions.</w:t>
      </w:r>
    </w:p>
    <w:p>
      <w:pPr>
        <w:keepNext/>
        <w:spacing w:before="160" w:after="60"/>
        <w:jc w:val="left"/>
      </w:pPr>
      <w:r>
        <w:rPr>
          <w:rFonts w:ascii="Times New Roman" w:hAnsi="Times New Roman"/>
          <w:b/>
          <w:sz w:val="21"/>
        </w:rPr>
        <w:t>Table 4.3 — Ingested Catalog Data Sources and Ingestion Metrics.</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166"/>
        <w:gridCol w:w="2166"/>
        <w:gridCol w:w="2166"/>
        <w:gridCol w:w="2166"/>
      </w:tblGrid>
      <w:tr>
        <w:trPr>
          <w:cantSplit/>
          <w:tblHeader/>
        </w:trPr>
        <w:tc>
          <w:tcPr>
            <w:tcW w:type="dxa" w:w="2880"/>
            <w:shd w:val="clear" w:color="auto" w:fill="EAEFF5"/>
            <w:vAlign w:val="center"/>
          </w:tcPr>
          <w:p>
            <w:pPr>
              <w:spacing w:line="252" w:lineRule="auto" w:before="40" w:after="40"/>
              <w:jc w:val="left"/>
            </w:pPr>
            <w:r>
              <w:rPr>
                <w:rFonts w:ascii="Times New Roman" w:hAnsi="Times New Roman"/>
                <w:b/>
                <w:sz w:val="19"/>
              </w:rPr>
              <w:t>Source Repository</w:t>
            </w:r>
          </w:p>
        </w:tc>
        <w:tc>
          <w:tcPr>
            <w:tcW w:type="dxa" w:w="2016"/>
            <w:shd w:val="clear" w:color="auto" w:fill="EAEFF5"/>
            <w:vAlign w:val="center"/>
          </w:tcPr>
          <w:p>
            <w:pPr>
              <w:spacing w:line="252" w:lineRule="auto" w:before="40" w:after="40"/>
              <w:jc w:val="left"/>
            </w:pPr>
            <w:r>
              <w:rPr>
                <w:rFonts w:ascii="Times New Roman" w:hAnsi="Times New Roman"/>
                <w:b/>
                <w:sz w:val="19"/>
              </w:rPr>
              <w:t>Evidence Kind</w:t>
            </w:r>
          </w:p>
        </w:tc>
        <w:tc>
          <w:tcPr>
            <w:tcW w:type="dxa" w:w="1872"/>
            <w:shd w:val="clear" w:color="auto" w:fill="EAEFF5"/>
            <w:vAlign w:val="center"/>
          </w:tcPr>
          <w:p>
            <w:pPr>
              <w:spacing w:line="252" w:lineRule="auto" w:before="40" w:after="40"/>
              <w:jc w:val="left"/>
            </w:pPr>
            <w:r>
              <w:rPr>
                <w:rFonts w:ascii="Times New Roman" w:hAnsi="Times New Roman"/>
                <w:b/>
                <w:sz w:val="19"/>
              </w:rPr>
              <w:t>Records Ingested</w:t>
            </w:r>
          </w:p>
        </w:tc>
        <w:tc>
          <w:tcPr>
            <w:tcW w:type="dxa" w:w="1901"/>
            <w:shd w:val="clear" w:color="auto" w:fill="EAEFF5"/>
            <w:vAlign w:val="center"/>
          </w:tcPr>
          <w:p>
            <w:pPr>
              <w:spacing w:line="252" w:lineRule="auto" w:before="40" w:after="40"/>
              <w:jc w:val="left"/>
            </w:pPr>
            <w:r>
              <w:rPr>
                <w:rFonts w:ascii="Times New Roman" w:hAnsi="Times New Roman"/>
                <w:b/>
                <w:sz w:val="19"/>
              </w:rPr>
              <w:t>Redistribution License</w:t>
            </w:r>
          </w:p>
        </w:tc>
      </w:tr>
      <w:tr>
        <w:trPr>
          <w:cantSplit/>
        </w:trPr>
        <w:tc>
          <w:tcPr>
            <w:tcW w:type="dxa" w:w="2880"/>
            <w:shd w:val="clear" w:color="auto" w:fill="FAFBFC"/>
            <w:vAlign w:val="center"/>
          </w:tcPr>
          <w:p>
            <w:pPr>
              <w:spacing w:line="252" w:lineRule="auto" w:before="20" w:after="20"/>
              <w:jc w:val="left"/>
            </w:pPr>
            <w:r>
              <w:rPr>
                <w:rFonts w:ascii="Times New Roman" w:hAnsi="Times New Roman"/>
                <w:sz w:val="18"/>
              </w:rPr>
              <w:t>Alexandria PBE [7]</w:t>
            </w:r>
          </w:p>
        </w:tc>
        <w:tc>
          <w:tcPr>
            <w:tcW w:type="dxa" w:w="2016"/>
            <w:shd w:val="clear" w:color="auto" w:fill="FAFBFC"/>
            <w:vAlign w:val="center"/>
          </w:tcPr>
          <w:p>
            <w:pPr>
              <w:spacing w:line="252" w:lineRule="auto" w:before="20" w:after="20"/>
              <w:jc w:val="left"/>
            </w:pPr>
            <w:r>
              <w:rPr>
                <w:rFonts w:ascii="Times New Roman" w:hAnsi="Times New Roman"/>
                <w:sz w:val="18"/>
              </w:rPr>
              <w:t>computed</w:t>
            </w:r>
          </w:p>
        </w:tc>
        <w:tc>
          <w:tcPr>
            <w:tcW w:type="dxa" w:w="1872"/>
            <w:shd w:val="clear" w:color="auto" w:fill="FAFBFC"/>
            <w:vAlign w:val="center"/>
          </w:tcPr>
          <w:p>
            <w:pPr>
              <w:spacing w:line="252" w:lineRule="auto" w:before="20" w:after="20"/>
              <w:jc w:val="left"/>
            </w:pPr>
            <w:r>
              <w:rPr>
                <w:rFonts w:ascii="Times New Roman" w:hAnsi="Times New Roman"/>
                <w:sz w:val="18"/>
              </w:rPr>
              <w:t>3,115,199</w:t>
            </w:r>
          </w:p>
        </w:tc>
        <w:tc>
          <w:tcPr>
            <w:tcW w:type="dxa" w:w="1901"/>
            <w:shd w:val="clear" w:color="auto" w:fill="FAFBFC"/>
            <w:vAlign w:val="center"/>
          </w:tcPr>
          <w:p>
            <w:pPr>
              <w:spacing w:line="252" w:lineRule="auto" w:before="20" w:after="20"/>
              <w:jc w:val="left"/>
            </w:pPr>
            <w:r>
              <w:rPr>
                <w:rFonts w:ascii="Times New Roman" w:hAnsi="Times New Roman"/>
                <w:sz w:val="18"/>
              </w:rPr>
              <w:t>CC-BY-4.0</w:t>
            </w:r>
          </w:p>
        </w:tc>
      </w:tr>
      <w:tr>
        <w:trPr>
          <w:cantSplit/>
        </w:trPr>
        <w:tc>
          <w:tcPr>
            <w:tcW w:type="dxa" w:w="2880"/>
            <w:vAlign w:val="center"/>
          </w:tcPr>
          <w:p>
            <w:pPr>
              <w:spacing w:line="252" w:lineRule="auto" w:before="20" w:after="20"/>
              <w:jc w:val="left"/>
            </w:pPr>
            <w:r>
              <w:rPr>
                <w:rFonts w:ascii="Times New Roman" w:hAnsi="Times New Roman"/>
                <w:sz w:val="18"/>
              </w:rPr>
              <w:t>Alexandria PBE Convex Hull [7]</w:t>
            </w:r>
          </w:p>
        </w:tc>
        <w:tc>
          <w:tcPr>
            <w:tcW w:type="dxa" w:w="2016"/>
            <w:vAlign w:val="center"/>
          </w:tcPr>
          <w:p>
            <w:pPr>
              <w:spacing w:line="252" w:lineRule="auto" w:before="20" w:after="20"/>
              <w:jc w:val="left"/>
            </w:pPr>
            <w:r>
              <w:rPr>
                <w:rFonts w:ascii="Times New Roman" w:hAnsi="Times New Roman"/>
                <w:sz w:val="18"/>
              </w:rPr>
              <w:t>computed</w:t>
            </w:r>
          </w:p>
        </w:tc>
        <w:tc>
          <w:tcPr>
            <w:tcW w:type="dxa" w:w="1872"/>
            <w:vAlign w:val="center"/>
          </w:tcPr>
          <w:p>
            <w:pPr>
              <w:spacing w:line="252" w:lineRule="auto" w:before="20" w:after="20"/>
              <w:jc w:val="left"/>
            </w:pPr>
            <w:r>
              <w:rPr>
                <w:rFonts w:ascii="Times New Roman" w:hAnsi="Times New Roman"/>
                <w:sz w:val="18"/>
              </w:rPr>
              <w:t>2,987,908</w:t>
            </w:r>
          </w:p>
        </w:tc>
        <w:tc>
          <w:tcPr>
            <w:tcW w:type="dxa" w:w="1901"/>
            <w:vAlign w:val="center"/>
          </w:tcPr>
          <w:p>
            <w:pPr>
              <w:spacing w:line="252" w:lineRule="auto" w:before="20" w:after="20"/>
              <w:jc w:val="left"/>
            </w:pPr>
            <w:r>
              <w:rPr>
                <w:rFonts w:ascii="Times New Roman" w:hAnsi="Times New Roman"/>
                <w:sz w:val="18"/>
              </w:rPr>
              <w:t>CC-BY-4.0</w:t>
            </w:r>
          </w:p>
        </w:tc>
      </w:tr>
      <w:tr>
        <w:trPr>
          <w:cantSplit/>
        </w:trPr>
        <w:tc>
          <w:tcPr>
            <w:tcW w:type="dxa" w:w="2880"/>
            <w:shd w:val="clear" w:color="auto" w:fill="FAFBFC"/>
            <w:vAlign w:val="center"/>
          </w:tcPr>
          <w:p>
            <w:pPr>
              <w:spacing w:line="252" w:lineRule="auto" w:before="20" w:after="20"/>
              <w:jc w:val="left"/>
            </w:pPr>
            <w:r>
              <w:rPr>
                <w:rFonts w:ascii="Times New Roman" w:hAnsi="Times New Roman"/>
                <w:sz w:val="18"/>
              </w:rPr>
              <w:t>Materials Project Core [1]</w:t>
            </w:r>
          </w:p>
        </w:tc>
        <w:tc>
          <w:tcPr>
            <w:tcW w:type="dxa" w:w="2016"/>
            <w:shd w:val="clear" w:color="auto" w:fill="FAFBFC"/>
            <w:vAlign w:val="center"/>
          </w:tcPr>
          <w:p>
            <w:pPr>
              <w:spacing w:line="252" w:lineRule="auto" w:before="20" w:after="20"/>
              <w:jc w:val="left"/>
            </w:pPr>
            <w:r>
              <w:rPr>
                <w:rFonts w:ascii="Times New Roman" w:hAnsi="Times New Roman"/>
                <w:sz w:val="18"/>
              </w:rPr>
              <w:t>computed</w:t>
            </w:r>
          </w:p>
        </w:tc>
        <w:tc>
          <w:tcPr>
            <w:tcW w:type="dxa" w:w="1872"/>
            <w:shd w:val="clear" w:color="auto" w:fill="FAFBFC"/>
            <w:vAlign w:val="center"/>
          </w:tcPr>
          <w:p>
            <w:pPr>
              <w:spacing w:line="252" w:lineRule="auto" w:before="20" w:after="20"/>
              <w:jc w:val="left"/>
            </w:pPr>
            <w:r>
              <w:rPr>
                <w:rFonts w:ascii="Times New Roman" w:hAnsi="Times New Roman"/>
                <w:sz w:val="18"/>
              </w:rPr>
              <w:t>154,718</w:t>
            </w:r>
          </w:p>
        </w:tc>
        <w:tc>
          <w:tcPr>
            <w:tcW w:type="dxa" w:w="1901"/>
            <w:shd w:val="clear" w:color="auto" w:fill="FAFBFC"/>
            <w:vAlign w:val="center"/>
          </w:tcPr>
          <w:p>
            <w:pPr>
              <w:spacing w:line="252" w:lineRule="auto" w:before="20" w:after="20"/>
              <w:jc w:val="left"/>
            </w:pPr>
            <w:r>
              <w:rPr>
                <w:rFonts w:ascii="Times New Roman" w:hAnsi="Times New Roman"/>
                <w:sz w:val="18"/>
              </w:rPr>
              <w:t>CC-BY-4.0</w:t>
            </w:r>
          </w:p>
        </w:tc>
      </w:tr>
      <w:tr>
        <w:trPr>
          <w:cantSplit/>
        </w:trPr>
        <w:tc>
          <w:tcPr>
            <w:tcW w:type="dxa" w:w="2880"/>
            <w:vAlign w:val="center"/>
          </w:tcPr>
          <w:p>
            <w:pPr>
              <w:spacing w:line="252" w:lineRule="auto" w:before="20" w:after="20"/>
              <w:jc w:val="left"/>
            </w:pPr>
            <w:r>
              <w:rPr>
                <w:rFonts w:ascii="Times New Roman" w:hAnsi="Times New Roman"/>
                <w:sz w:val="18"/>
              </w:rPr>
              <w:t>NIST JARVIS-DFT Elastic [2, 8]</w:t>
            </w:r>
          </w:p>
        </w:tc>
        <w:tc>
          <w:tcPr>
            <w:tcW w:type="dxa" w:w="2016"/>
            <w:vAlign w:val="center"/>
          </w:tcPr>
          <w:p>
            <w:pPr>
              <w:spacing w:line="252" w:lineRule="auto" w:before="20" w:after="20"/>
              <w:jc w:val="left"/>
            </w:pPr>
            <w:r>
              <w:rPr>
                <w:rFonts w:ascii="Times New Roman" w:hAnsi="Times New Roman"/>
                <w:sz w:val="18"/>
              </w:rPr>
              <w:t>computed</w:t>
            </w:r>
          </w:p>
        </w:tc>
        <w:tc>
          <w:tcPr>
            <w:tcW w:type="dxa" w:w="1872"/>
            <w:vAlign w:val="center"/>
          </w:tcPr>
          <w:p>
            <w:pPr>
              <w:spacing w:line="252" w:lineRule="auto" w:before="20" w:after="20"/>
              <w:jc w:val="left"/>
            </w:pPr>
            <w:r>
              <w:rPr>
                <w:rFonts w:ascii="Times New Roman" w:hAnsi="Times New Roman"/>
                <w:sz w:val="18"/>
              </w:rPr>
              <w:t>19,335</w:t>
            </w:r>
          </w:p>
        </w:tc>
        <w:tc>
          <w:tcPr>
            <w:tcW w:type="dxa" w:w="1901"/>
            <w:vAlign w:val="center"/>
          </w:tcPr>
          <w:p>
            <w:pPr>
              <w:spacing w:line="252" w:lineRule="auto" w:before="20" w:after="20"/>
              <w:jc w:val="left"/>
            </w:pPr>
            <w:r>
              <w:rPr>
                <w:rFonts w:ascii="Times New Roman" w:hAnsi="Times New Roman"/>
                <w:sz w:val="18"/>
              </w:rPr>
              <w:t>Public Domain (NIST)</w:t>
            </w:r>
          </w:p>
        </w:tc>
      </w:tr>
      <w:tr>
        <w:trPr>
          <w:cantSplit/>
        </w:trPr>
        <w:tc>
          <w:tcPr>
            <w:tcW w:type="dxa" w:w="2880"/>
            <w:shd w:val="clear" w:color="auto" w:fill="FAFBFC"/>
            <w:vAlign w:val="center"/>
          </w:tcPr>
          <w:p>
            <w:pPr>
              <w:spacing w:line="252" w:lineRule="auto" w:before="20" w:after="20"/>
              <w:jc w:val="left"/>
            </w:pPr>
            <w:r>
              <w:rPr>
                <w:rFonts w:ascii="Times New Roman" w:hAnsi="Times New Roman"/>
                <w:sz w:val="18"/>
              </w:rPr>
              <w:t>Materials Project GNoME [5]</w:t>
            </w:r>
          </w:p>
        </w:tc>
        <w:tc>
          <w:tcPr>
            <w:tcW w:type="dxa" w:w="2016"/>
            <w:shd w:val="clear" w:color="auto" w:fill="FAFBFC"/>
            <w:vAlign w:val="center"/>
          </w:tcPr>
          <w:p>
            <w:pPr>
              <w:spacing w:line="252" w:lineRule="auto" w:before="20" w:after="20"/>
              <w:jc w:val="left"/>
            </w:pPr>
            <w:r>
              <w:rPr>
                <w:rFonts w:ascii="Times New Roman" w:hAnsi="Times New Roman"/>
                <w:sz w:val="18"/>
              </w:rPr>
              <w:t>computed</w:t>
            </w:r>
          </w:p>
        </w:tc>
        <w:tc>
          <w:tcPr>
            <w:tcW w:type="dxa" w:w="1872"/>
            <w:shd w:val="clear" w:color="auto" w:fill="FAFBFC"/>
            <w:vAlign w:val="center"/>
          </w:tcPr>
          <w:p>
            <w:pPr>
              <w:spacing w:line="252" w:lineRule="auto" w:before="20" w:after="20"/>
              <w:jc w:val="left"/>
            </w:pPr>
            <w:r>
              <w:rPr>
                <w:rFonts w:ascii="Times New Roman" w:hAnsi="Times New Roman"/>
                <w:sz w:val="18"/>
              </w:rPr>
              <w:t>20,000</w:t>
            </w:r>
          </w:p>
        </w:tc>
        <w:tc>
          <w:tcPr>
            <w:tcW w:type="dxa" w:w="1901"/>
            <w:shd w:val="clear" w:color="auto" w:fill="FAFBFC"/>
            <w:vAlign w:val="center"/>
          </w:tcPr>
          <w:p>
            <w:pPr>
              <w:spacing w:line="252" w:lineRule="auto" w:before="20" w:after="20"/>
              <w:jc w:val="left"/>
            </w:pPr>
            <w:r>
              <w:rPr>
                <w:rFonts w:ascii="Times New Roman" w:hAnsi="Times New Roman"/>
                <w:sz w:val="18"/>
              </w:rPr>
              <w:t>CC-BY-4.0</w:t>
            </w:r>
          </w:p>
        </w:tc>
      </w:tr>
      <w:tr>
        <w:trPr>
          <w:cantSplit/>
        </w:trPr>
        <w:tc>
          <w:tcPr>
            <w:tcW w:type="dxa" w:w="2880"/>
            <w:vAlign w:val="center"/>
          </w:tcPr>
          <w:p>
            <w:pPr>
              <w:spacing w:line="252" w:lineRule="auto" w:before="20" w:after="20"/>
              <w:jc w:val="left"/>
            </w:pPr>
            <w:r>
              <w:rPr>
                <w:rFonts w:ascii="Times New Roman" w:hAnsi="Times New Roman"/>
                <w:sz w:val="18"/>
              </w:rPr>
              <w:t>AFLOW Elastic Catalog [3]</w:t>
            </w:r>
          </w:p>
        </w:tc>
        <w:tc>
          <w:tcPr>
            <w:tcW w:type="dxa" w:w="2016"/>
            <w:vAlign w:val="center"/>
          </w:tcPr>
          <w:p>
            <w:pPr>
              <w:spacing w:line="252" w:lineRule="auto" w:before="20" w:after="20"/>
              <w:jc w:val="left"/>
            </w:pPr>
            <w:r>
              <w:rPr>
                <w:rFonts w:ascii="Times New Roman" w:hAnsi="Times New Roman"/>
                <w:sz w:val="18"/>
              </w:rPr>
              <w:t>computed</w:t>
            </w:r>
          </w:p>
        </w:tc>
        <w:tc>
          <w:tcPr>
            <w:tcW w:type="dxa" w:w="1872"/>
            <w:vAlign w:val="center"/>
          </w:tcPr>
          <w:p>
            <w:pPr>
              <w:spacing w:line="252" w:lineRule="auto" w:before="20" w:after="20"/>
              <w:jc w:val="left"/>
            </w:pPr>
            <w:r>
              <w:rPr>
                <w:rFonts w:ascii="Times New Roman" w:hAnsi="Times New Roman"/>
                <w:sz w:val="18"/>
              </w:rPr>
              <w:t>5,000</w:t>
            </w:r>
          </w:p>
        </w:tc>
        <w:tc>
          <w:tcPr>
            <w:tcW w:type="dxa" w:w="1901"/>
            <w:vAlign w:val="center"/>
          </w:tcPr>
          <w:p>
            <w:pPr>
              <w:spacing w:line="252" w:lineRule="auto" w:before="20" w:after="20"/>
              <w:jc w:val="left"/>
            </w:pPr>
            <w:r>
              <w:rPr>
                <w:rFonts w:ascii="Times New Roman" w:hAnsi="Times New Roman"/>
                <w:sz w:val="18"/>
              </w:rPr>
              <w:t>AFLOW Open Data</w:t>
            </w:r>
          </w:p>
        </w:tc>
      </w:tr>
      <w:tr>
        <w:trPr>
          <w:cantSplit/>
        </w:trPr>
        <w:tc>
          <w:tcPr>
            <w:tcW w:type="dxa" w:w="2880"/>
            <w:shd w:val="clear" w:color="auto" w:fill="FAFBFC"/>
            <w:vAlign w:val="center"/>
          </w:tcPr>
          <w:p>
            <w:pPr>
              <w:spacing w:line="252" w:lineRule="auto" w:before="20" w:after="20"/>
              <w:jc w:val="left"/>
            </w:pPr>
            <w:r>
              <w:rPr>
                <w:rFonts w:ascii="Times New Roman" w:hAnsi="Times New Roman"/>
                <w:sz w:val="18"/>
              </w:rPr>
              <w:t>NOMAD Optical/Thermal Catalog [4]</w:t>
            </w:r>
          </w:p>
        </w:tc>
        <w:tc>
          <w:tcPr>
            <w:tcW w:type="dxa" w:w="2016"/>
            <w:shd w:val="clear" w:color="auto" w:fill="FAFBFC"/>
            <w:vAlign w:val="center"/>
          </w:tcPr>
          <w:p>
            <w:pPr>
              <w:spacing w:line="252" w:lineRule="auto" w:before="20" w:after="20"/>
              <w:jc w:val="left"/>
            </w:pPr>
            <w:r>
              <w:rPr>
                <w:rFonts w:ascii="Times New Roman" w:hAnsi="Times New Roman"/>
                <w:sz w:val="18"/>
              </w:rPr>
              <w:t>computed</w:t>
            </w:r>
          </w:p>
        </w:tc>
        <w:tc>
          <w:tcPr>
            <w:tcW w:type="dxa" w:w="1872"/>
            <w:shd w:val="clear" w:color="auto" w:fill="FAFBFC"/>
            <w:vAlign w:val="center"/>
          </w:tcPr>
          <w:p>
            <w:pPr>
              <w:spacing w:line="252" w:lineRule="auto" w:before="20" w:after="20"/>
              <w:jc w:val="left"/>
            </w:pPr>
            <w:r>
              <w:rPr>
                <w:rFonts w:ascii="Times New Roman" w:hAnsi="Times New Roman"/>
                <w:sz w:val="18"/>
              </w:rPr>
              <w:t>3,500</w:t>
            </w:r>
          </w:p>
        </w:tc>
        <w:tc>
          <w:tcPr>
            <w:tcW w:type="dxa" w:w="1901"/>
            <w:shd w:val="clear" w:color="auto" w:fill="FAFBFC"/>
            <w:vAlign w:val="center"/>
          </w:tcPr>
          <w:p>
            <w:pPr>
              <w:spacing w:line="252" w:lineRule="auto" w:before="20" w:after="20"/>
              <w:jc w:val="left"/>
            </w:pPr>
            <w:r>
              <w:rPr>
                <w:rFonts w:ascii="Times New Roman" w:hAnsi="Times New Roman"/>
                <w:sz w:val="18"/>
              </w:rPr>
              <w:t>CC-BY-4.0</w:t>
            </w:r>
          </w:p>
        </w:tc>
      </w:tr>
      <w:tr>
        <w:trPr>
          <w:cantSplit/>
        </w:trPr>
        <w:tc>
          <w:tcPr>
            <w:tcW w:type="dxa" w:w="2880"/>
            <w:vAlign w:val="center"/>
          </w:tcPr>
          <w:p>
            <w:pPr>
              <w:spacing w:line="252" w:lineRule="auto" w:before="20" w:after="20"/>
              <w:jc w:val="left"/>
            </w:pPr>
            <w:r>
              <w:rPr>
                <w:rFonts w:ascii="Times New Roman" w:hAnsi="Times New Roman"/>
                <w:sz w:val="18"/>
              </w:rPr>
              <w:t>Borg et al. Multi-Element Alloys [6]</w:t>
            </w:r>
          </w:p>
        </w:tc>
        <w:tc>
          <w:tcPr>
            <w:tcW w:type="dxa" w:w="2016"/>
            <w:vAlign w:val="center"/>
          </w:tcPr>
          <w:p>
            <w:pPr>
              <w:spacing w:line="252" w:lineRule="auto" w:before="20" w:after="20"/>
              <w:jc w:val="left"/>
            </w:pPr>
            <w:r>
              <w:rPr>
                <w:rFonts w:ascii="Times New Roman" w:hAnsi="Times New Roman"/>
                <w:sz w:val="18"/>
              </w:rPr>
              <w:t>literature-extracted</w:t>
            </w:r>
          </w:p>
        </w:tc>
        <w:tc>
          <w:tcPr>
            <w:tcW w:type="dxa" w:w="1872"/>
            <w:vAlign w:val="center"/>
          </w:tcPr>
          <w:p>
            <w:pPr>
              <w:spacing w:line="252" w:lineRule="auto" w:before="20" w:after="20"/>
              <w:jc w:val="left"/>
            </w:pPr>
            <w:r>
              <w:rPr>
                <w:rFonts w:ascii="Times New Roman" w:hAnsi="Times New Roman"/>
                <w:sz w:val="18"/>
              </w:rPr>
              <w:t>1,545</w:t>
            </w:r>
          </w:p>
        </w:tc>
        <w:tc>
          <w:tcPr>
            <w:tcW w:type="dxa" w:w="1901"/>
            <w:vAlign w:val="center"/>
          </w:tcPr>
          <w:p>
            <w:pPr>
              <w:spacing w:line="252" w:lineRule="auto" w:before="20" w:after="20"/>
              <w:jc w:val="left"/>
            </w:pPr>
            <w:r>
              <w:rPr>
                <w:rFonts w:ascii="Times New Roman" w:hAnsi="Times New Roman"/>
                <w:sz w:val="18"/>
              </w:rPr>
              <w:t>CC-BY-4.0</w:t>
            </w:r>
          </w:p>
        </w:tc>
      </w:tr>
      <w:tr>
        <w:trPr>
          <w:cantSplit/>
        </w:trPr>
        <w:tc>
          <w:tcPr>
            <w:tcW w:type="dxa" w:w="2880"/>
            <w:shd w:val="clear" w:color="auto" w:fill="FAFBFC"/>
            <w:vAlign w:val="center"/>
          </w:tcPr>
          <w:p>
            <w:pPr>
              <w:spacing w:line="252" w:lineRule="auto" w:before="20" w:after="20"/>
              <w:jc w:val="left"/>
            </w:pPr>
            <w:r>
              <w:rPr>
                <w:rFonts w:ascii="Times New Roman" w:hAnsi="Times New Roman"/>
                <w:sz w:val="18"/>
              </w:rPr>
              <w:t>NASA TPSX Thermal Materials [9]</w:t>
            </w:r>
          </w:p>
        </w:tc>
        <w:tc>
          <w:tcPr>
            <w:tcW w:type="dxa" w:w="2016"/>
            <w:shd w:val="clear" w:color="auto" w:fill="FAFBFC"/>
            <w:vAlign w:val="center"/>
          </w:tcPr>
          <w:p>
            <w:pPr>
              <w:spacing w:line="252" w:lineRule="auto" w:before="20" w:after="20"/>
              <w:jc w:val="left"/>
            </w:pPr>
            <w:r>
              <w:rPr>
                <w:rFonts w:ascii="Times New Roman" w:hAnsi="Times New Roman"/>
                <w:sz w:val="18"/>
              </w:rPr>
              <w:t>experimental</w:t>
            </w:r>
          </w:p>
        </w:tc>
        <w:tc>
          <w:tcPr>
            <w:tcW w:type="dxa" w:w="1872"/>
            <w:shd w:val="clear" w:color="auto" w:fill="FAFBFC"/>
            <w:vAlign w:val="center"/>
          </w:tcPr>
          <w:p>
            <w:pPr>
              <w:spacing w:line="252" w:lineRule="auto" w:before="20" w:after="20"/>
              <w:jc w:val="left"/>
            </w:pPr>
            <w:r>
              <w:rPr>
                <w:rFonts w:ascii="Times New Roman" w:hAnsi="Times New Roman"/>
                <w:sz w:val="18"/>
              </w:rPr>
              <w:t>1,200</w:t>
            </w:r>
          </w:p>
        </w:tc>
        <w:tc>
          <w:tcPr>
            <w:tcW w:type="dxa" w:w="1901"/>
            <w:shd w:val="clear" w:color="auto" w:fill="FAFBFC"/>
            <w:vAlign w:val="center"/>
          </w:tcPr>
          <w:p>
            <w:pPr>
              <w:spacing w:line="252" w:lineRule="auto" w:before="20" w:after="20"/>
              <w:jc w:val="left"/>
            </w:pPr>
            <w:r>
              <w:rPr>
                <w:rFonts w:ascii="Times New Roman" w:hAnsi="Times New Roman"/>
                <w:sz w:val="18"/>
              </w:rPr>
              <w:t>NASA Public Data</w:t>
            </w:r>
          </w:p>
        </w:tc>
      </w:tr>
      <w:tr>
        <w:trPr>
          <w:cantSplit/>
        </w:trPr>
        <w:tc>
          <w:tcPr>
            <w:tcW w:type="dxa" w:w="2880"/>
            <w:vAlign w:val="center"/>
          </w:tcPr>
          <w:p>
            <w:pPr>
              <w:spacing w:line="252" w:lineRule="auto" w:before="20" w:after="20"/>
              <w:jc w:val="left"/>
            </w:pPr>
            <w:r>
              <w:rPr>
                <w:rFonts w:ascii="Times New Roman" w:hAnsi="Times New Roman"/>
                <w:sz w:val="18"/>
              </w:rPr>
              <w:t>MaterialRegistry Curated Alloys [11]</w:t>
            </w:r>
          </w:p>
        </w:tc>
        <w:tc>
          <w:tcPr>
            <w:tcW w:type="dxa" w:w="2016"/>
            <w:vAlign w:val="center"/>
          </w:tcPr>
          <w:p>
            <w:pPr>
              <w:spacing w:line="252" w:lineRule="auto" w:before="20" w:after="20"/>
              <w:jc w:val="left"/>
            </w:pPr>
            <w:r>
              <w:rPr>
                <w:rFonts w:ascii="Times New Roman" w:hAnsi="Times New Roman"/>
                <w:sz w:val="18"/>
              </w:rPr>
              <w:t>literature-extracted</w:t>
            </w:r>
          </w:p>
        </w:tc>
        <w:tc>
          <w:tcPr>
            <w:tcW w:type="dxa" w:w="1872"/>
            <w:vAlign w:val="center"/>
          </w:tcPr>
          <w:p>
            <w:pPr>
              <w:spacing w:line="252" w:lineRule="auto" w:before="20" w:after="20"/>
              <w:jc w:val="left"/>
            </w:pPr>
            <w:r>
              <w:rPr>
                <w:rFonts w:ascii="Times New Roman" w:hAnsi="Times New Roman"/>
                <w:sz w:val="18"/>
              </w:rPr>
              <w:t>702</w:t>
            </w:r>
          </w:p>
        </w:tc>
        <w:tc>
          <w:tcPr>
            <w:tcW w:type="dxa" w:w="1901"/>
            <w:vAlign w:val="center"/>
          </w:tcPr>
          <w:p>
            <w:pPr>
              <w:spacing w:line="252" w:lineRule="auto" w:before="20" w:after="20"/>
              <w:jc w:val="left"/>
            </w:pPr>
            <w:r>
              <w:rPr>
                <w:rFonts w:ascii="Times New Roman" w:hAnsi="Times New Roman"/>
                <w:sz w:val="18"/>
              </w:rPr>
              <w:t>MIT License</w:t>
            </w:r>
          </w:p>
        </w:tc>
      </w:tr>
      <w:tr>
        <w:trPr>
          <w:cantSplit/>
        </w:trPr>
        <w:tc>
          <w:tcPr>
            <w:tcW w:type="dxa" w:w="2880"/>
            <w:shd w:val="clear" w:color="auto" w:fill="FAFBFC"/>
            <w:vAlign w:val="center"/>
          </w:tcPr>
          <w:p>
            <w:pPr>
              <w:spacing w:line="252" w:lineRule="auto" w:before="20" w:after="20"/>
              <w:jc w:val="left"/>
            </w:pPr>
            <w:r>
              <w:rPr>
                <w:rFonts w:ascii="Times New Roman" w:hAnsi="Times New Roman"/>
                <w:sz w:val="18"/>
              </w:rPr>
              <w:t>NASA GSFC Spacecraft Outgassing [10]</w:t>
            </w:r>
          </w:p>
        </w:tc>
        <w:tc>
          <w:tcPr>
            <w:tcW w:type="dxa" w:w="2016"/>
            <w:shd w:val="clear" w:color="auto" w:fill="FAFBFC"/>
            <w:vAlign w:val="center"/>
          </w:tcPr>
          <w:p>
            <w:pPr>
              <w:spacing w:line="252" w:lineRule="auto" w:before="20" w:after="20"/>
              <w:jc w:val="left"/>
            </w:pPr>
            <w:r>
              <w:rPr>
                <w:rFonts w:ascii="Times New Roman" w:hAnsi="Times New Roman"/>
                <w:sz w:val="18"/>
              </w:rPr>
              <w:t>experimental</w:t>
            </w:r>
          </w:p>
        </w:tc>
        <w:tc>
          <w:tcPr>
            <w:tcW w:type="dxa" w:w="1872"/>
            <w:shd w:val="clear" w:color="auto" w:fill="FAFBFC"/>
            <w:vAlign w:val="center"/>
          </w:tcPr>
          <w:p>
            <w:pPr>
              <w:spacing w:line="252" w:lineRule="auto" w:before="20" w:after="20"/>
              <w:jc w:val="left"/>
            </w:pPr>
            <w:r>
              <w:rPr>
                <w:rFonts w:ascii="Times New Roman" w:hAnsi="Times New Roman"/>
                <w:sz w:val="18"/>
              </w:rPr>
              <w:t>500</w:t>
            </w:r>
          </w:p>
        </w:tc>
        <w:tc>
          <w:tcPr>
            <w:tcW w:type="dxa" w:w="1901"/>
            <w:shd w:val="clear" w:color="auto" w:fill="FAFBFC"/>
            <w:vAlign w:val="center"/>
          </w:tcPr>
          <w:p>
            <w:pPr>
              <w:spacing w:line="252" w:lineRule="auto" w:before="20" w:after="20"/>
              <w:jc w:val="left"/>
            </w:pPr>
            <w:r>
              <w:rPr>
                <w:rFonts w:ascii="Times New Roman" w:hAnsi="Times New Roman"/>
                <w:sz w:val="18"/>
              </w:rPr>
              <w:t>NASA Public Data</w:t>
            </w:r>
          </w:p>
        </w:tc>
      </w:tr>
      <w:tr>
        <w:trPr>
          <w:cantSplit/>
        </w:trPr>
        <w:tc>
          <w:tcPr>
            <w:tcW w:type="dxa" w:w="2880"/>
            <w:vAlign w:val="center"/>
          </w:tcPr>
          <w:p>
            <w:pPr>
              <w:spacing w:line="252" w:lineRule="auto" w:before="20" w:after="20"/>
              <w:jc w:val="left"/>
            </w:pPr>
            <w:r>
              <w:rPr>
                <w:rFonts w:ascii="Times New Roman" w:hAnsi="Times New Roman"/>
                <w:sz w:val="18"/>
              </w:rPr>
              <w:t>Outokumpu Core Stainless Steels [12]</w:t>
            </w:r>
          </w:p>
        </w:tc>
        <w:tc>
          <w:tcPr>
            <w:tcW w:type="dxa" w:w="2016"/>
            <w:vAlign w:val="center"/>
          </w:tcPr>
          <w:p>
            <w:pPr>
              <w:spacing w:line="252" w:lineRule="auto" w:before="20" w:after="20"/>
              <w:jc w:val="left"/>
            </w:pPr>
            <w:r>
              <w:rPr>
                <w:rFonts w:ascii="Times New Roman" w:hAnsi="Times New Roman"/>
                <w:sz w:val="18"/>
              </w:rPr>
              <w:t>literature-extracted</w:t>
            </w:r>
          </w:p>
        </w:tc>
        <w:tc>
          <w:tcPr>
            <w:tcW w:type="dxa" w:w="1872"/>
            <w:vAlign w:val="center"/>
          </w:tcPr>
          <w:p>
            <w:pPr>
              <w:spacing w:line="252" w:lineRule="auto" w:before="20" w:after="20"/>
              <w:jc w:val="left"/>
            </w:pPr>
            <w:r>
              <w:rPr>
                <w:rFonts w:ascii="Times New Roman" w:hAnsi="Times New Roman"/>
                <w:sz w:val="18"/>
              </w:rPr>
              <w:t>27</w:t>
            </w:r>
          </w:p>
        </w:tc>
        <w:tc>
          <w:tcPr>
            <w:tcW w:type="dxa" w:w="1901"/>
            <w:vAlign w:val="center"/>
          </w:tcPr>
          <w:p>
            <w:pPr>
              <w:spacing w:line="252" w:lineRule="auto" w:before="20" w:after="20"/>
              <w:jc w:val="left"/>
            </w:pPr>
            <w:r>
              <w:rPr>
                <w:rFonts w:ascii="Times New Roman" w:hAnsi="Times New Roman"/>
                <w:sz w:val="18"/>
              </w:rPr>
              <w:t>Commercial Datasheet</w:t>
            </w:r>
          </w:p>
        </w:tc>
      </w:tr>
      <w:tr>
        <w:trPr>
          <w:cantSplit/>
        </w:trPr>
        <w:tc>
          <w:tcPr>
            <w:tcW w:type="dxa" w:w="2880"/>
            <w:shd w:val="clear" w:color="auto" w:fill="FAFBFC"/>
            <w:vAlign w:val="center"/>
          </w:tcPr>
          <w:p>
            <w:pPr>
              <w:spacing w:line="252" w:lineRule="auto" w:before="20" w:after="20"/>
              <w:jc w:val="left"/>
            </w:pPr>
            <w:r>
              <w:rPr>
                <w:rFonts w:ascii="Times New Roman" w:hAnsi="Times New Roman"/>
                <w:sz w:val="18"/>
              </w:rPr>
              <w:t>Outokumpu Supra Stainless Steels [12]</w:t>
            </w:r>
          </w:p>
        </w:tc>
        <w:tc>
          <w:tcPr>
            <w:tcW w:type="dxa" w:w="2016"/>
            <w:shd w:val="clear" w:color="auto" w:fill="FAFBFC"/>
            <w:vAlign w:val="center"/>
          </w:tcPr>
          <w:p>
            <w:pPr>
              <w:spacing w:line="252" w:lineRule="auto" w:before="20" w:after="20"/>
              <w:jc w:val="left"/>
            </w:pPr>
            <w:r>
              <w:rPr>
                <w:rFonts w:ascii="Times New Roman" w:hAnsi="Times New Roman"/>
                <w:sz w:val="18"/>
              </w:rPr>
              <w:t>literature-extracted</w:t>
            </w:r>
          </w:p>
        </w:tc>
        <w:tc>
          <w:tcPr>
            <w:tcW w:type="dxa" w:w="1872"/>
            <w:shd w:val="clear" w:color="auto" w:fill="FAFBFC"/>
            <w:vAlign w:val="center"/>
          </w:tcPr>
          <w:p>
            <w:pPr>
              <w:spacing w:line="252" w:lineRule="auto" w:before="20" w:after="20"/>
              <w:jc w:val="left"/>
            </w:pPr>
            <w:r>
              <w:rPr>
                <w:rFonts w:ascii="Times New Roman" w:hAnsi="Times New Roman"/>
                <w:sz w:val="18"/>
              </w:rPr>
              <w:t>27</w:t>
            </w:r>
          </w:p>
        </w:tc>
        <w:tc>
          <w:tcPr>
            <w:tcW w:type="dxa" w:w="1901"/>
            <w:shd w:val="clear" w:color="auto" w:fill="FAFBFC"/>
            <w:vAlign w:val="center"/>
          </w:tcPr>
          <w:p>
            <w:pPr>
              <w:spacing w:line="252" w:lineRule="auto" w:before="20" w:after="20"/>
              <w:jc w:val="left"/>
            </w:pPr>
            <w:r>
              <w:rPr>
                <w:rFonts w:ascii="Times New Roman" w:hAnsi="Times New Roman"/>
                <w:sz w:val="18"/>
              </w:rPr>
              <w:t>Commercial Datasheet</w:t>
            </w:r>
          </w:p>
        </w:tc>
      </w:tr>
      <w:tr>
        <w:trPr>
          <w:cantSplit/>
        </w:trPr>
        <w:tc>
          <w:tcPr>
            <w:tcW w:type="dxa" w:w="2880"/>
            <w:vAlign w:val="center"/>
          </w:tcPr>
          <w:p>
            <w:pPr>
              <w:spacing w:line="252" w:lineRule="auto" w:before="20" w:after="20"/>
              <w:jc w:val="left"/>
            </w:pPr>
            <w:r>
              <w:rPr>
                <w:rFonts w:ascii="Times New Roman" w:hAnsi="Times New Roman"/>
                <w:sz w:val="18"/>
              </w:rPr>
              <w:t>Outokumpu Forta Duplex Steels [12]</w:t>
            </w:r>
          </w:p>
        </w:tc>
        <w:tc>
          <w:tcPr>
            <w:tcW w:type="dxa" w:w="2016"/>
            <w:vAlign w:val="center"/>
          </w:tcPr>
          <w:p>
            <w:pPr>
              <w:spacing w:line="252" w:lineRule="auto" w:before="20" w:after="20"/>
              <w:jc w:val="left"/>
            </w:pPr>
            <w:r>
              <w:rPr>
                <w:rFonts w:ascii="Times New Roman" w:hAnsi="Times New Roman"/>
                <w:sz w:val="18"/>
              </w:rPr>
              <w:t>literature-extracted</w:t>
            </w:r>
          </w:p>
        </w:tc>
        <w:tc>
          <w:tcPr>
            <w:tcW w:type="dxa" w:w="1872"/>
            <w:vAlign w:val="center"/>
          </w:tcPr>
          <w:p>
            <w:pPr>
              <w:spacing w:line="252" w:lineRule="auto" w:before="20" w:after="20"/>
              <w:jc w:val="left"/>
            </w:pPr>
            <w:r>
              <w:rPr>
                <w:rFonts w:ascii="Times New Roman" w:hAnsi="Times New Roman"/>
                <w:sz w:val="18"/>
              </w:rPr>
              <w:t>27</w:t>
            </w:r>
          </w:p>
        </w:tc>
        <w:tc>
          <w:tcPr>
            <w:tcW w:type="dxa" w:w="1901"/>
            <w:vAlign w:val="center"/>
          </w:tcPr>
          <w:p>
            <w:pPr>
              <w:spacing w:line="252" w:lineRule="auto" w:before="20" w:after="20"/>
              <w:jc w:val="left"/>
            </w:pPr>
            <w:r>
              <w:rPr>
                <w:rFonts w:ascii="Times New Roman" w:hAnsi="Times New Roman"/>
                <w:sz w:val="18"/>
              </w:rPr>
              <w:t>Commercial Datasheet</w:t>
            </w:r>
          </w:p>
        </w:tc>
      </w:tr>
    </w:tbl>
    <w:p>
      <w:pPr>
        <w:spacing w:before="0" w:after="160" w:line="324" w:lineRule="auto"/>
        <w:jc w:val="both"/>
      </w:pPr>
      <w:r>
        <w:rPr>
          <w:rFonts w:ascii="Times New Roman" w:hAnsi="Times New Roman"/>
          <w:b/>
          <w:i w:val="0"/>
          <w:sz w:val="24"/>
        </w:rPr>
        <w:t>Total verified catalog records in local MySQL database: 6,265,691 rows.</w:t>
      </w:r>
    </w:p>
    <w:p>
      <w:pPr>
        <w:keepNext/>
        <w:spacing w:before="160" w:after="40"/>
        <w:jc w:val="left"/>
      </w:pPr>
      <w:r>
        <w:rPr>
          <w:rFonts w:ascii="Times New Roman" w:hAnsi="Times New Roman"/>
          <w:b/>
          <w:i/>
          <w:sz w:val="24"/>
        </w:rPr>
        <w:t>Reversible Metadata Codec &amp; Compact Storage</w:t>
      </w:r>
    </w:p>
    <w:p>
      <w:pPr>
        <w:spacing w:before="0" w:after="80" w:line="324" w:lineRule="auto"/>
        <w:jc w:val="both"/>
      </w:pPr>
      <w:r>
        <w:rPr>
          <w:rFonts w:ascii="Times New Roman" w:hAnsi="Times New Roman"/>
          <w:b w:val="0"/>
          <w:i w:val="0"/>
          <w:sz w:val="24"/>
        </w:rPr>
        <w:t>The 6.1 million crystal records from the Alexandria database [7] include 3D unit cell parameters, atom coordinates, and formation energies. Inlining these structures directly into tabular columns would cause extreme database bloat. Starbase implements a reversible binary-packed JSON codec that stores unit cells as compact coordinate arrays while keeping formula names, space groups, and scalar properties directly searchable via SQL. Custom user descriptions and source citations survive round-trip decoding with zero data loss.</w:t>
      </w:r>
    </w:p>
    <w:p>
      <w:pPr>
        <w:keepNext/>
        <w:spacing w:before="160" w:after="40"/>
        <w:jc w:val="left"/>
      </w:pPr>
      <w:r>
        <w:rPr>
          <w:rFonts w:ascii="Times New Roman" w:hAnsi="Times New Roman"/>
          <w:b/>
          <w:i/>
          <w:sz w:val="24"/>
        </w:rPr>
        <w:t>ACID Transaction Boundaries during Bulk Ingestion</w:t>
      </w:r>
    </w:p>
    <w:p>
      <w:pPr>
        <w:spacing w:before="0" w:after="80" w:line="324" w:lineRule="auto"/>
        <w:jc w:val="both"/>
      </w:pPr>
      <w:r>
        <w:rPr>
          <w:rFonts w:ascii="Times New Roman" w:hAnsi="Times New Roman"/>
          <w:b w:val="0"/>
          <w:i w:val="0"/>
          <w:sz w:val="24"/>
        </w:rPr>
        <w:t>Bulk loading millions of records requires strict transaction boundaries to prevent catalog corruption. In import-catalog.js, records are processed in bounded batches of 1,000 to 5,000 items. Each batch begins with START TRANSACTION, executes batch INSERT ... ON DUPLICATE KEY UPDATE queries into Material and Material_Property, and concludes with COMMIT. If a process failure or network disconnect occurs, the uncommitted batch rolls back cleanly without leaving orphaned material properties. The checkpoint offset is recorded in Catalog_Import_Progress, enabling idempotent replay upon restart.</w:t>
      </w:r>
    </w:p>
    <w:p>
      <w:pPr>
        <w:spacing w:before="0" w:after="80" w:line="324" w:lineRule="auto"/>
        <w:jc w:val="both"/>
      </w:pPr>
      <w:r>
        <w:rPr>
          <w:rFonts w:ascii="Times New Roman" w:hAnsi="Times New Roman"/>
          <w:b w:val="0"/>
          <w:i w:val="0"/>
          <w:sz w:val="24"/>
        </w:rPr>
        <w:t>Figure 4.1 illustrates the transactional batch ETL pipeline and ingestion architecture, showing raw dataset extraction across 14 external repositories, SHA-256 integrity verification, reversible metadata codec packing, and ACID transaction boundaries.</w:t>
      </w:r>
    </w:p>
    <w:p>
      <w:pPr>
        <w:keepNext/>
        <w:spacing w:before="160" w:after="40"/>
        <w:jc w:val="center"/>
      </w:pPr>
      <w:r>
        <w:drawing>
          <wp:inline xmlns:a="http://schemas.openxmlformats.org/drawingml/2006/main" xmlns:pic="http://schemas.openxmlformats.org/drawingml/2006/picture">
            <wp:extent cx="5486400" cy="4023360"/>
            <wp:docPr id="8" name="Picture 8"/>
            <wp:cNvGraphicFramePr>
              <a:graphicFrameLocks noChangeAspect="1"/>
            </wp:cNvGraphicFramePr>
            <a:graphic>
              <a:graphicData uri="http://schemas.openxmlformats.org/drawingml/2006/picture">
                <pic:pic>
                  <pic:nvPicPr>
                    <pic:cNvPr id="0" name="Fig4-1_ETL_Pipeline.png"/>
                    <pic:cNvPicPr/>
                  </pic:nvPicPr>
                  <pic:blipFill>
                    <a:blip r:embed="rId18"/>
                    <a:stretch>
                      <a:fillRect/>
                    </a:stretch>
                  </pic:blipFill>
                  <pic:spPr>
                    <a:xfrm>
                      <a:off x="0" y="0"/>
                      <a:ext cx="5486400" cy="4023360"/>
                    </a:xfrm>
                    <a:prstGeom prst="rect"/>
                  </pic:spPr>
                </pic:pic>
              </a:graphicData>
            </a:graphic>
          </wp:inline>
        </w:drawing>
      </w:r>
    </w:p>
    <w:p>
      <w:pPr>
        <w:keepNext w:val="0"/>
        <w:spacing w:before="40" w:after="200"/>
        <w:jc w:val="center"/>
      </w:pPr>
      <w:r>
        <w:rPr>
          <w:rFonts w:ascii="Times New Roman" w:hAnsi="Times New Roman"/>
          <w:b/>
          <w:sz w:val="21"/>
        </w:rPr>
        <w:t>Figure 4.1 — Transactional batch ETL pipeline and ingestion architecture across 14 material repositories.</w:t>
      </w:r>
    </w:p>
    <w:p>
      <w:pPr>
        <w:keepNext/>
        <w:spacing w:before="240" w:after="80"/>
        <w:jc w:val="left"/>
      </w:pPr>
      <w:r>
        <w:rPr>
          <w:rFonts w:ascii="Times New Roman" w:hAnsi="Times New Roman"/>
          <w:b/>
          <w:sz w:val="26"/>
        </w:rPr>
        <w:t>4.4 SQL Queries, Operations, and Scalability Evidence</w:t>
      </w:r>
    </w:p>
    <w:p>
      <w:pPr>
        <w:spacing w:before="0" w:after="80" w:line="324" w:lineRule="auto"/>
        <w:jc w:val="both"/>
      </w:pPr>
      <w:r>
        <w:rPr>
          <w:rFonts w:ascii="Times New Roman" w:hAnsi="Times New Roman"/>
          <w:b w:val="0"/>
          <w:i w:val="0"/>
          <w:sz w:val="24"/>
        </w:rPr>
        <w:t>To achieve sub-second response times across 6.26M rows, candidate screening is expressed as parameterized SQL queries executed against composite B-tree indexes. Consider an engineering query requiring a minimum tensile strength of 400 MPa and a maximum density of 5.0 g/cm³:</w:t>
      </w:r>
    </w:p>
    <w:p>
      <w:pPr>
        <w:spacing w:before="80" w:after="120" w:line="252" w:lineRule="auto"/>
        <w:ind w:left="432"/>
        <w:jc w:val="left"/>
      </w:pPr>
      <w:r>
        <w:rPr>
          <w:rFonts w:ascii="Courier New" w:hAnsi="Courier New"/>
          <w:sz w:val="19"/>
        </w:rPr>
        <w:t>SELECT m.material_id, m.name, m.external_id, s.source_key,</w:t>
        <w:br/>
        <w:t xml:space="preserve">       v_ts.numeric_value AS tensileStrength, v_dens.numeric_value AS density</w:t>
        <w:br/>
        <w:t>FROM Material m</w:t>
        <w:br/>
        <w:t>JOIN Data_Source s ON s.source_id = m.source_id</w:t>
        <w:br/>
        <w:t>JOIN Material_Property v_ts ON v_ts.material_id = m.material_id AND v_ts.property_id = 1</w:t>
        <w:br/>
        <w:t>JOIN Material_Property v_dens ON v_dens.material_id = m.material_id AND v_dens.property_id = 2</w:t>
        <w:br/>
        <w:t>WHERE m.is_active = 1 AND v_ts.numeric_value &gt;= 400.0 AND v_dens.numeric_value &lt;= 5.0</w:t>
        <w:br/>
        <w:t>ORDER BY v_ts.numeric_value DESC LIMIT 50;</w:t>
      </w:r>
    </w:p>
    <w:p>
      <w:pPr>
        <w:keepNext/>
        <w:spacing w:before="160" w:after="40"/>
        <w:jc w:val="left"/>
      </w:pPr>
      <w:r>
        <w:rPr>
          <w:rFonts w:ascii="Times New Roman" w:hAnsi="Times New Roman"/>
          <w:b/>
          <w:i/>
          <w:sz w:val="24"/>
        </w:rPr>
        <w:t>Measured Scalability Benchmarks and EXPLAIN Execution Plans</w:t>
      </w:r>
    </w:p>
    <w:p>
      <w:pPr>
        <w:spacing w:before="0" w:after="80" w:line="324" w:lineRule="auto"/>
        <w:jc w:val="both"/>
      </w:pPr>
      <w:r>
        <w:rPr>
          <w:rFonts w:ascii="Times New Roman" w:hAnsi="Times New Roman"/>
          <w:b w:val="0"/>
          <w:i w:val="0"/>
          <w:sz w:val="24"/>
        </w:rPr>
        <w:t>To substantiate scalability claims, empirical benchmarks and MySQL EXPLAIN execution plans were captured on the live 6,265,691-record database. Table 4.7 presents the performance profile across indexed and unindexed operations.</w:t>
      </w:r>
    </w:p>
    <w:p>
      <w:pPr>
        <w:keepNext/>
        <w:spacing w:before="160" w:after="60"/>
        <w:jc w:val="left"/>
      </w:pPr>
      <w:r>
        <w:rPr>
          <w:rFonts w:ascii="Times New Roman" w:hAnsi="Times New Roman"/>
          <w:b/>
          <w:sz w:val="21"/>
        </w:rPr>
        <w:t>Table 4.7 — Measured Query Execution Benchmarks and EXPLAIN Plans on 6.26M Records.</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1733"/>
        <w:gridCol w:w="1733"/>
        <w:gridCol w:w="1733"/>
        <w:gridCol w:w="1733"/>
        <w:gridCol w:w="1733"/>
      </w:tblGrid>
      <w:tr>
        <w:trPr>
          <w:cantSplit/>
          <w:tblHeader/>
        </w:trPr>
        <w:tc>
          <w:tcPr>
            <w:tcW w:type="dxa" w:w="2592"/>
            <w:shd w:val="clear" w:color="auto" w:fill="EAEFF5"/>
            <w:vAlign w:val="center"/>
          </w:tcPr>
          <w:p>
            <w:pPr>
              <w:spacing w:line="252" w:lineRule="auto" w:before="40" w:after="40"/>
              <w:jc w:val="left"/>
            </w:pPr>
            <w:r>
              <w:rPr>
                <w:rFonts w:ascii="Times New Roman" w:hAnsi="Times New Roman"/>
                <w:b/>
                <w:sz w:val="19"/>
              </w:rPr>
              <w:t>Query Type / Operation</w:t>
            </w:r>
          </w:p>
        </w:tc>
        <w:tc>
          <w:tcPr>
            <w:tcW w:type="dxa" w:w="1728"/>
            <w:shd w:val="clear" w:color="auto" w:fill="EAEFF5"/>
            <w:vAlign w:val="center"/>
          </w:tcPr>
          <w:p>
            <w:pPr>
              <w:spacing w:line="252" w:lineRule="auto" w:before="40" w:after="40"/>
              <w:jc w:val="left"/>
            </w:pPr>
            <w:r>
              <w:rPr>
                <w:rFonts w:ascii="Times New Roman" w:hAnsi="Times New Roman"/>
                <w:b/>
                <w:sz w:val="19"/>
              </w:rPr>
              <w:t>MySQL Access Type</w:t>
            </w:r>
          </w:p>
        </w:tc>
        <w:tc>
          <w:tcPr>
            <w:tcW w:type="dxa" w:w="2016"/>
            <w:shd w:val="clear" w:color="auto" w:fill="EAEFF5"/>
            <w:vAlign w:val="center"/>
          </w:tcPr>
          <w:p>
            <w:pPr>
              <w:spacing w:line="252" w:lineRule="auto" w:before="40" w:after="40"/>
              <w:jc w:val="left"/>
            </w:pPr>
            <w:r>
              <w:rPr>
                <w:rFonts w:ascii="Times New Roman" w:hAnsi="Times New Roman"/>
                <w:b/>
                <w:sz w:val="19"/>
              </w:rPr>
              <w:t>Index Key Utilized</w:t>
            </w:r>
          </w:p>
        </w:tc>
        <w:tc>
          <w:tcPr>
            <w:tcW w:type="dxa" w:w="1440"/>
            <w:shd w:val="clear" w:color="auto" w:fill="EAEFF5"/>
            <w:vAlign w:val="center"/>
          </w:tcPr>
          <w:p>
            <w:pPr>
              <w:spacing w:line="252" w:lineRule="auto" w:before="40" w:after="40"/>
              <w:jc w:val="left"/>
            </w:pPr>
            <w:r>
              <w:rPr>
                <w:rFonts w:ascii="Times New Roman" w:hAnsi="Times New Roman"/>
                <w:b/>
                <w:sz w:val="19"/>
              </w:rPr>
              <w:t>Examined Rows</w:t>
            </w:r>
          </w:p>
        </w:tc>
        <w:tc>
          <w:tcPr>
            <w:tcW w:type="dxa" w:w="893"/>
            <w:shd w:val="clear" w:color="auto" w:fill="EAEFF5"/>
            <w:vAlign w:val="center"/>
          </w:tcPr>
          <w:p>
            <w:pPr>
              <w:spacing w:line="252" w:lineRule="auto" w:before="40" w:after="40"/>
              <w:jc w:val="left"/>
            </w:pPr>
            <w:r>
              <w:rPr>
                <w:rFonts w:ascii="Times New Roman" w:hAnsi="Times New Roman"/>
                <w:b/>
                <w:sz w:val="19"/>
              </w:rPr>
              <w:t>Measured Latency</w:t>
            </w:r>
          </w:p>
        </w:tc>
      </w:tr>
      <w:tr>
        <w:trPr>
          <w:cantSplit/>
        </w:trPr>
        <w:tc>
          <w:tcPr>
            <w:tcW w:type="dxa" w:w="2592"/>
            <w:shd w:val="clear" w:color="auto" w:fill="FAFBFC"/>
            <w:vAlign w:val="center"/>
          </w:tcPr>
          <w:p>
            <w:pPr>
              <w:spacing w:line="252" w:lineRule="auto" w:before="20" w:after="20"/>
              <w:jc w:val="left"/>
            </w:pPr>
            <w:r>
              <w:rPr>
                <w:rFonts w:ascii="Times New Roman" w:hAnsi="Times New Roman"/>
                <w:sz w:val="18"/>
              </w:rPr>
              <w:t>Primary Key ID Lookup</w:t>
            </w:r>
          </w:p>
        </w:tc>
        <w:tc>
          <w:tcPr>
            <w:tcW w:type="dxa" w:w="1728"/>
            <w:shd w:val="clear" w:color="auto" w:fill="FAFBFC"/>
            <w:vAlign w:val="center"/>
          </w:tcPr>
          <w:p>
            <w:pPr>
              <w:spacing w:line="252" w:lineRule="auto" w:before="20" w:after="20"/>
              <w:jc w:val="left"/>
            </w:pPr>
            <w:r>
              <w:rPr>
                <w:rFonts w:ascii="Times New Roman" w:hAnsi="Times New Roman"/>
                <w:sz w:val="18"/>
              </w:rPr>
              <w:t>eq_ref / const</w:t>
            </w:r>
          </w:p>
        </w:tc>
        <w:tc>
          <w:tcPr>
            <w:tcW w:type="dxa" w:w="2016"/>
            <w:shd w:val="clear" w:color="auto" w:fill="FAFBFC"/>
            <w:vAlign w:val="center"/>
          </w:tcPr>
          <w:p>
            <w:pPr>
              <w:spacing w:line="252" w:lineRule="auto" w:before="20" w:after="20"/>
              <w:jc w:val="left"/>
            </w:pPr>
            <w:r>
              <w:rPr>
                <w:rFonts w:ascii="Times New Roman" w:hAnsi="Times New Roman"/>
                <w:sz w:val="18"/>
              </w:rPr>
              <w:t>PRIMARY (material_id)</w:t>
            </w:r>
          </w:p>
        </w:tc>
        <w:tc>
          <w:tcPr>
            <w:tcW w:type="dxa" w:w="1440"/>
            <w:shd w:val="clear" w:color="auto" w:fill="FAFBFC"/>
            <w:vAlign w:val="center"/>
          </w:tcPr>
          <w:p>
            <w:pPr>
              <w:spacing w:line="252" w:lineRule="auto" w:before="20" w:after="20"/>
              <w:jc w:val="left"/>
            </w:pPr>
            <w:r>
              <w:rPr>
                <w:rFonts w:ascii="Times New Roman" w:hAnsi="Times New Roman"/>
                <w:sz w:val="18"/>
              </w:rPr>
              <w:t>1 row</w:t>
            </w:r>
          </w:p>
        </w:tc>
        <w:tc>
          <w:tcPr>
            <w:tcW w:type="dxa" w:w="893"/>
            <w:shd w:val="clear" w:color="auto" w:fill="FAFBFC"/>
            <w:vAlign w:val="center"/>
          </w:tcPr>
          <w:p>
            <w:pPr>
              <w:spacing w:line="252" w:lineRule="auto" w:before="20" w:after="20"/>
              <w:jc w:val="left"/>
            </w:pPr>
            <w:r>
              <w:rPr>
                <w:rFonts w:ascii="Times New Roman" w:hAnsi="Times New Roman"/>
                <w:sz w:val="18"/>
              </w:rPr>
              <w:t>0.8 ms</w:t>
            </w:r>
          </w:p>
        </w:tc>
      </w:tr>
      <w:tr>
        <w:trPr>
          <w:cantSplit/>
        </w:trPr>
        <w:tc>
          <w:tcPr>
            <w:tcW w:type="dxa" w:w="2592"/>
            <w:vAlign w:val="center"/>
          </w:tcPr>
          <w:p>
            <w:pPr>
              <w:spacing w:line="252" w:lineRule="auto" w:before="20" w:after="20"/>
              <w:jc w:val="left"/>
            </w:pPr>
            <w:r>
              <w:rPr>
                <w:rFonts w:ascii="Times New Roman" w:hAnsi="Times New Roman"/>
                <w:sz w:val="18"/>
              </w:rPr>
              <w:t>Source Catalog Pagination (Limit 24)</w:t>
            </w:r>
          </w:p>
        </w:tc>
        <w:tc>
          <w:tcPr>
            <w:tcW w:type="dxa" w:w="1728"/>
            <w:vAlign w:val="center"/>
          </w:tcPr>
          <w:p>
            <w:pPr>
              <w:spacing w:line="252" w:lineRule="auto" w:before="20" w:after="20"/>
              <w:jc w:val="left"/>
            </w:pPr>
            <w:r>
              <w:rPr>
                <w:rFonts w:ascii="Times New Roman" w:hAnsi="Times New Roman"/>
                <w:sz w:val="18"/>
              </w:rPr>
              <w:t>ref</w:t>
            </w:r>
          </w:p>
        </w:tc>
        <w:tc>
          <w:tcPr>
            <w:tcW w:type="dxa" w:w="2016"/>
            <w:vAlign w:val="center"/>
          </w:tcPr>
          <w:p>
            <w:pPr>
              <w:spacing w:line="252" w:lineRule="auto" w:before="20" w:after="20"/>
              <w:jc w:val="left"/>
            </w:pPr>
            <w:r>
              <w:rPr>
                <w:rFonts w:ascii="Times New Roman" w:hAnsi="Times New Roman"/>
                <w:sz w:val="18"/>
              </w:rPr>
              <w:t>material_external_unique</w:t>
            </w:r>
          </w:p>
        </w:tc>
        <w:tc>
          <w:tcPr>
            <w:tcW w:type="dxa" w:w="1440"/>
            <w:vAlign w:val="center"/>
          </w:tcPr>
          <w:p>
            <w:pPr>
              <w:spacing w:line="252" w:lineRule="auto" w:before="20" w:after="20"/>
              <w:jc w:val="left"/>
            </w:pPr>
            <w:r>
              <w:rPr>
                <w:rFonts w:ascii="Times New Roman" w:hAnsi="Times New Roman"/>
                <w:sz w:val="18"/>
              </w:rPr>
              <w:t>24 rows</w:t>
            </w:r>
          </w:p>
        </w:tc>
        <w:tc>
          <w:tcPr>
            <w:tcW w:type="dxa" w:w="893"/>
            <w:vAlign w:val="center"/>
          </w:tcPr>
          <w:p>
            <w:pPr>
              <w:spacing w:line="252" w:lineRule="auto" w:before="20" w:after="20"/>
              <w:jc w:val="left"/>
            </w:pPr>
            <w:r>
              <w:rPr>
                <w:rFonts w:ascii="Times New Roman" w:hAnsi="Times New Roman"/>
                <w:sz w:val="18"/>
              </w:rPr>
              <w:t>1.8 ms</w:t>
            </w:r>
          </w:p>
        </w:tc>
      </w:tr>
      <w:tr>
        <w:trPr>
          <w:cantSplit/>
        </w:trPr>
        <w:tc>
          <w:tcPr>
            <w:tcW w:type="dxa" w:w="2592"/>
            <w:shd w:val="clear" w:color="auto" w:fill="FAFBFC"/>
            <w:vAlign w:val="center"/>
          </w:tcPr>
          <w:p>
            <w:pPr>
              <w:spacing w:line="252" w:lineRule="auto" w:before="20" w:after="20"/>
              <w:jc w:val="left"/>
            </w:pPr>
            <w:r>
              <w:rPr>
                <w:rFonts w:ascii="Times New Roman" w:hAnsi="Times New Roman"/>
                <w:sz w:val="18"/>
              </w:rPr>
              <w:t>Indexed Property Range Screening</w:t>
            </w:r>
          </w:p>
        </w:tc>
        <w:tc>
          <w:tcPr>
            <w:tcW w:type="dxa" w:w="1728"/>
            <w:shd w:val="clear" w:color="auto" w:fill="FAFBFC"/>
            <w:vAlign w:val="center"/>
          </w:tcPr>
          <w:p>
            <w:pPr>
              <w:spacing w:line="252" w:lineRule="auto" w:before="20" w:after="20"/>
              <w:jc w:val="left"/>
            </w:pPr>
            <w:r>
              <w:rPr>
                <w:rFonts w:ascii="Times New Roman" w:hAnsi="Times New Roman"/>
                <w:sz w:val="18"/>
              </w:rPr>
              <w:t>ref / range</w:t>
            </w:r>
          </w:p>
        </w:tc>
        <w:tc>
          <w:tcPr>
            <w:tcW w:type="dxa" w:w="2016"/>
            <w:shd w:val="clear" w:color="auto" w:fill="FAFBFC"/>
            <w:vAlign w:val="center"/>
          </w:tcPr>
          <w:p>
            <w:pPr>
              <w:spacing w:line="252" w:lineRule="auto" w:before="20" w:after="20"/>
              <w:jc w:val="left"/>
            </w:pPr>
            <w:r>
              <w:rPr>
                <w:rFonts w:ascii="Times New Roman" w:hAnsi="Times New Roman"/>
                <w:sz w:val="18"/>
              </w:rPr>
              <w:t>material_numeric_index</w:t>
            </w:r>
          </w:p>
        </w:tc>
        <w:tc>
          <w:tcPr>
            <w:tcW w:type="dxa" w:w="1440"/>
            <w:shd w:val="clear" w:color="auto" w:fill="FAFBFC"/>
            <w:vAlign w:val="center"/>
          </w:tcPr>
          <w:p>
            <w:pPr>
              <w:spacing w:line="252" w:lineRule="auto" w:before="20" w:after="20"/>
              <w:jc w:val="left"/>
            </w:pPr>
            <w:r>
              <w:rPr>
                <w:rFonts w:ascii="Times New Roman" w:hAnsi="Times New Roman"/>
                <w:sz w:val="18"/>
              </w:rPr>
              <w:t>1,038 rows</w:t>
            </w:r>
          </w:p>
        </w:tc>
        <w:tc>
          <w:tcPr>
            <w:tcW w:type="dxa" w:w="893"/>
            <w:shd w:val="clear" w:color="auto" w:fill="FAFBFC"/>
            <w:vAlign w:val="center"/>
          </w:tcPr>
          <w:p>
            <w:pPr>
              <w:spacing w:line="252" w:lineRule="auto" w:before="20" w:after="20"/>
              <w:jc w:val="left"/>
            </w:pPr>
            <w:r>
              <w:rPr>
                <w:rFonts w:ascii="Times New Roman" w:hAnsi="Times New Roman"/>
                <w:sz w:val="18"/>
              </w:rPr>
              <w:t>4.2 ms</w:t>
            </w:r>
          </w:p>
        </w:tc>
      </w:tr>
      <w:tr>
        <w:trPr>
          <w:cantSplit/>
        </w:trPr>
        <w:tc>
          <w:tcPr>
            <w:tcW w:type="dxa" w:w="2592"/>
            <w:vAlign w:val="center"/>
          </w:tcPr>
          <w:p>
            <w:pPr>
              <w:spacing w:line="252" w:lineRule="auto" w:before="20" w:after="20"/>
              <w:jc w:val="left"/>
            </w:pPr>
            <w:r>
              <w:rPr>
                <w:rFonts w:ascii="Times New Roman" w:hAnsi="Times New Roman"/>
                <w:sz w:val="18"/>
              </w:rPr>
              <w:t>Unindexed Substring Search (LIKE '%...%')</w:t>
            </w:r>
          </w:p>
        </w:tc>
        <w:tc>
          <w:tcPr>
            <w:tcW w:type="dxa" w:w="1728"/>
            <w:vAlign w:val="center"/>
          </w:tcPr>
          <w:p>
            <w:pPr>
              <w:spacing w:line="252" w:lineRule="auto" w:before="20" w:after="20"/>
              <w:jc w:val="left"/>
            </w:pPr>
            <w:r>
              <w:rPr>
                <w:rFonts w:ascii="Times New Roman" w:hAnsi="Times New Roman"/>
                <w:sz w:val="18"/>
              </w:rPr>
              <w:t>ALL (Table Scan)</w:t>
            </w:r>
          </w:p>
        </w:tc>
        <w:tc>
          <w:tcPr>
            <w:tcW w:type="dxa" w:w="2016"/>
            <w:vAlign w:val="center"/>
          </w:tcPr>
          <w:p>
            <w:pPr>
              <w:spacing w:line="252" w:lineRule="auto" w:before="20" w:after="20"/>
              <w:jc w:val="left"/>
            </w:pPr>
            <w:r>
              <w:rPr>
                <w:rFonts w:ascii="Times New Roman" w:hAnsi="Times New Roman"/>
                <w:sz w:val="18"/>
              </w:rPr>
              <w:t>None (Full Scan)</w:t>
            </w:r>
          </w:p>
        </w:tc>
        <w:tc>
          <w:tcPr>
            <w:tcW w:type="dxa" w:w="1440"/>
            <w:vAlign w:val="center"/>
          </w:tcPr>
          <w:p>
            <w:pPr>
              <w:spacing w:line="252" w:lineRule="auto" w:before="20" w:after="20"/>
              <w:jc w:val="left"/>
            </w:pPr>
            <w:r>
              <w:rPr>
                <w:rFonts w:ascii="Times New Roman" w:hAnsi="Times New Roman"/>
                <w:sz w:val="18"/>
              </w:rPr>
              <w:t>6,265,691 rows</w:t>
            </w:r>
          </w:p>
        </w:tc>
        <w:tc>
          <w:tcPr>
            <w:tcW w:type="dxa" w:w="893"/>
            <w:vAlign w:val="center"/>
          </w:tcPr>
          <w:p>
            <w:pPr>
              <w:spacing w:line="252" w:lineRule="auto" w:before="20" w:after="20"/>
              <w:jc w:val="left"/>
            </w:pPr>
            <w:r>
              <w:rPr>
                <w:rFonts w:ascii="Times New Roman" w:hAnsi="Times New Roman"/>
                <w:sz w:val="18"/>
              </w:rPr>
              <w:t>355.2 s (~6 min)</w:t>
            </w:r>
          </w:p>
        </w:tc>
      </w:tr>
    </w:tbl>
    <w:p>
      <w:pPr>
        <w:spacing w:before="0" w:after="80" w:line="324" w:lineRule="auto"/>
        <w:jc w:val="both"/>
      </w:pPr>
      <w:r>
        <w:rPr>
          <w:rFonts w:ascii="Times New Roman" w:hAnsi="Times New Roman"/>
          <w:b/>
          <w:i w:val="0"/>
          <w:sz w:val="24"/>
        </w:rPr>
        <w:t xml:space="preserve">Academic Discussion of Scalability Findings: </w:t>
      </w:r>
    </w:p>
    <w:p>
      <w:pPr>
        <w:spacing w:before="0" w:after="80" w:line="324" w:lineRule="auto"/>
        <w:jc w:val="both"/>
      </w:pPr>
      <w:r>
        <w:rPr>
          <w:rFonts w:ascii="Times New Roman" w:hAnsi="Times New Roman"/>
          <w:b w:val="0"/>
          <w:i w:val="0"/>
          <w:sz w:val="24"/>
        </w:rPr>
        <w:t>The measured benchmarks demonstrate the profound impact of relational index design. When queries leverage composite B-tree indexes (such as material_numeric_index on property_id and numeric_value), the MySQL optimizer performs direct index lookups, inspecting only the relevant qualifying entries and returning results in 1.8 to 4.2 milliseconds. Conversely, when unindexed wildcard searches (LIKE '%1.4301%') are executed across the entire unpartitioned catalog, MySQL must inspect all 6,265,691 rows and unpack JSON descriptions, requiring over 355 seconds. This empirical proof underscores why Starbase enforces structured property-key screening and partitions large computational datasets.</w:t>
      </w:r>
    </w:p>
    <w:p>
      <w:pPr>
        <w:keepNext/>
        <w:spacing w:before="240" w:after="80"/>
        <w:jc w:val="left"/>
      </w:pPr>
      <w:r>
        <w:rPr>
          <w:rFonts w:ascii="Times New Roman" w:hAnsi="Times New Roman"/>
          <w:b/>
          <w:sz w:val="26"/>
        </w:rPr>
        <w:t>4.5 Application Implementation</w:t>
      </w:r>
    </w:p>
    <w:p>
      <w:pPr>
        <w:spacing w:before="0" w:after="80" w:line="324" w:lineRule="auto"/>
        <w:jc w:val="both"/>
      </w:pPr>
      <w:r>
        <w:rPr>
          <w:rFonts w:ascii="Times New Roman" w:hAnsi="Times New Roman"/>
          <w:b w:val="0"/>
          <w:i w:val="0"/>
          <w:sz w:val="24"/>
        </w:rPr>
        <w:t>The application layer exposes RESTful endpoints (Table 4.4) consumed by React frontend views (Table 4.5).</w:t>
      </w:r>
    </w:p>
    <w:p>
      <w:pPr>
        <w:keepNext/>
        <w:spacing w:before="160" w:after="60"/>
        <w:jc w:val="left"/>
      </w:pPr>
      <w:r>
        <w:rPr>
          <w:rFonts w:ascii="Times New Roman" w:hAnsi="Times New Roman"/>
          <w:b/>
          <w:sz w:val="21"/>
        </w:rPr>
        <w:t>Table 4.4 — Starbase RESTful API Endpoint Specifications.</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166"/>
        <w:gridCol w:w="2166"/>
        <w:gridCol w:w="2166"/>
        <w:gridCol w:w="2166"/>
      </w:tblGrid>
      <w:tr>
        <w:trPr>
          <w:cantSplit/>
          <w:tblHeader/>
        </w:trPr>
        <w:tc>
          <w:tcPr>
            <w:tcW w:type="dxa" w:w="1440"/>
            <w:shd w:val="clear" w:color="auto" w:fill="EAEFF5"/>
            <w:vAlign w:val="center"/>
          </w:tcPr>
          <w:p>
            <w:pPr>
              <w:spacing w:line="252" w:lineRule="auto" w:before="40" w:after="40"/>
              <w:jc w:val="left"/>
            </w:pPr>
            <w:r>
              <w:rPr>
                <w:rFonts w:ascii="Times New Roman" w:hAnsi="Times New Roman"/>
                <w:b/>
                <w:sz w:val="19"/>
              </w:rPr>
              <w:t>HTTP Method</w:t>
            </w:r>
          </w:p>
        </w:tc>
        <w:tc>
          <w:tcPr>
            <w:tcW w:type="dxa" w:w="2880"/>
            <w:shd w:val="clear" w:color="auto" w:fill="EAEFF5"/>
            <w:vAlign w:val="center"/>
          </w:tcPr>
          <w:p>
            <w:pPr>
              <w:spacing w:line="252" w:lineRule="auto" w:before="40" w:after="40"/>
              <w:jc w:val="left"/>
            </w:pPr>
            <w:r>
              <w:rPr>
                <w:rFonts w:ascii="Times New Roman" w:hAnsi="Times New Roman"/>
                <w:b/>
                <w:sz w:val="19"/>
              </w:rPr>
              <w:t>API Route Endpoint</w:t>
            </w:r>
          </w:p>
        </w:tc>
        <w:tc>
          <w:tcPr>
            <w:tcW w:type="dxa" w:w="3168"/>
            <w:shd w:val="clear" w:color="auto" w:fill="EAEFF5"/>
            <w:vAlign w:val="center"/>
          </w:tcPr>
          <w:p>
            <w:pPr>
              <w:spacing w:line="252" w:lineRule="auto" w:before="40" w:after="40"/>
              <w:jc w:val="left"/>
            </w:pPr>
            <w:r>
              <w:rPr>
                <w:rFonts w:ascii="Times New Roman" w:hAnsi="Times New Roman"/>
                <w:b/>
                <w:sz w:val="19"/>
              </w:rPr>
              <w:t>Functional Purpose</w:t>
            </w:r>
          </w:p>
        </w:tc>
        <w:tc>
          <w:tcPr>
            <w:tcW w:type="dxa" w:w="1181"/>
            <w:shd w:val="clear" w:color="auto" w:fill="EAEFF5"/>
            <w:vAlign w:val="center"/>
          </w:tcPr>
          <w:p>
            <w:pPr>
              <w:spacing w:line="252" w:lineRule="auto" w:before="40" w:after="40"/>
              <w:jc w:val="left"/>
            </w:pPr>
            <w:r>
              <w:rPr>
                <w:rFonts w:ascii="Times New Roman" w:hAnsi="Times New Roman"/>
                <w:b/>
                <w:sz w:val="19"/>
              </w:rPr>
              <w:t>Auth Required</w:t>
            </w:r>
          </w:p>
        </w:tc>
      </w:tr>
      <w:tr>
        <w:trPr>
          <w:cantSplit/>
        </w:trPr>
        <w:tc>
          <w:tcPr>
            <w:tcW w:type="dxa" w:w="1440"/>
            <w:shd w:val="clear" w:color="auto" w:fill="FAFBFC"/>
            <w:vAlign w:val="center"/>
          </w:tcPr>
          <w:p>
            <w:pPr>
              <w:spacing w:line="252" w:lineRule="auto" w:before="20" w:after="20"/>
              <w:jc w:val="left"/>
            </w:pPr>
            <w:r>
              <w:rPr>
                <w:rFonts w:ascii="Times New Roman" w:hAnsi="Times New Roman"/>
                <w:sz w:val="18"/>
              </w:rPr>
              <w:t>GET</w:t>
            </w:r>
          </w:p>
        </w:tc>
        <w:tc>
          <w:tcPr>
            <w:tcW w:type="dxa" w:w="2880"/>
            <w:shd w:val="clear" w:color="auto" w:fill="FAFBFC"/>
            <w:vAlign w:val="center"/>
          </w:tcPr>
          <w:p>
            <w:pPr>
              <w:spacing w:line="252" w:lineRule="auto" w:before="20" w:after="20"/>
              <w:jc w:val="left"/>
            </w:pPr>
            <w:r>
              <w:rPr>
                <w:rFonts w:ascii="Times New Roman" w:hAnsi="Times New Roman"/>
                <w:sz w:val="18"/>
              </w:rPr>
              <w:t>/api/materials</w:t>
            </w:r>
          </w:p>
        </w:tc>
        <w:tc>
          <w:tcPr>
            <w:tcW w:type="dxa" w:w="3168"/>
            <w:shd w:val="clear" w:color="auto" w:fill="FAFBFC"/>
            <w:vAlign w:val="center"/>
          </w:tcPr>
          <w:p>
            <w:pPr>
              <w:spacing w:line="252" w:lineRule="auto" w:before="20" w:after="20"/>
              <w:jc w:val="left"/>
            </w:pPr>
            <w:r>
              <w:rPr>
                <w:rFonts w:ascii="Times New Roman" w:hAnsi="Times New Roman"/>
                <w:sz w:val="18"/>
              </w:rPr>
              <w:t>List, filter, and paginate materials with property coverage metadata.</w:t>
            </w:r>
          </w:p>
        </w:tc>
        <w:tc>
          <w:tcPr>
            <w:tcW w:type="dxa" w:w="1181"/>
            <w:shd w:val="clear" w:color="auto" w:fill="FAFBFC"/>
            <w:vAlign w:val="center"/>
          </w:tcPr>
          <w:p>
            <w:pPr>
              <w:spacing w:line="252" w:lineRule="auto" w:before="20" w:after="20"/>
              <w:jc w:val="left"/>
            </w:pPr>
            <w:r>
              <w:rPr>
                <w:rFonts w:ascii="Times New Roman" w:hAnsi="Times New Roman"/>
                <w:sz w:val="18"/>
              </w:rPr>
              <w:t>Public</w:t>
            </w:r>
          </w:p>
        </w:tc>
      </w:tr>
      <w:tr>
        <w:trPr>
          <w:cantSplit/>
        </w:trPr>
        <w:tc>
          <w:tcPr>
            <w:tcW w:type="dxa" w:w="1440"/>
            <w:vAlign w:val="center"/>
          </w:tcPr>
          <w:p>
            <w:pPr>
              <w:spacing w:line="252" w:lineRule="auto" w:before="20" w:after="20"/>
              <w:jc w:val="left"/>
            </w:pPr>
            <w:r>
              <w:rPr>
                <w:rFonts w:ascii="Times New Roman" w:hAnsi="Times New Roman"/>
                <w:sz w:val="18"/>
              </w:rPr>
              <w:t>GET</w:t>
            </w:r>
          </w:p>
        </w:tc>
        <w:tc>
          <w:tcPr>
            <w:tcW w:type="dxa" w:w="2880"/>
            <w:vAlign w:val="center"/>
          </w:tcPr>
          <w:p>
            <w:pPr>
              <w:spacing w:line="252" w:lineRule="auto" w:before="20" w:after="20"/>
              <w:jc w:val="left"/>
            </w:pPr>
            <w:r>
              <w:rPr>
                <w:rFonts w:ascii="Times New Roman" w:hAnsi="Times New Roman"/>
                <w:sz w:val="18"/>
              </w:rPr>
              <w:t>/api/materials/:id</w:t>
            </w:r>
          </w:p>
        </w:tc>
        <w:tc>
          <w:tcPr>
            <w:tcW w:type="dxa" w:w="3168"/>
            <w:vAlign w:val="center"/>
          </w:tcPr>
          <w:p>
            <w:pPr>
              <w:spacing w:line="252" w:lineRule="auto" w:before="20" w:after="20"/>
              <w:jc w:val="left"/>
            </w:pPr>
            <w:r>
              <w:rPr>
                <w:rFonts w:ascii="Times New Roman" w:hAnsi="Times New Roman"/>
                <w:sz w:val="18"/>
              </w:rPr>
              <w:t>Retrieve complete material entity, property map, and provenance.</w:t>
            </w:r>
          </w:p>
        </w:tc>
        <w:tc>
          <w:tcPr>
            <w:tcW w:type="dxa" w:w="1181"/>
            <w:vAlign w:val="center"/>
          </w:tcPr>
          <w:p>
            <w:pPr>
              <w:spacing w:line="252" w:lineRule="auto" w:before="20" w:after="20"/>
              <w:jc w:val="left"/>
            </w:pPr>
            <w:r>
              <w:rPr>
                <w:rFonts w:ascii="Times New Roman" w:hAnsi="Times New Roman"/>
                <w:sz w:val="18"/>
              </w:rPr>
              <w:t>Public</w:t>
            </w:r>
          </w:p>
        </w:tc>
      </w:tr>
      <w:tr>
        <w:trPr>
          <w:cantSplit/>
        </w:trPr>
        <w:tc>
          <w:tcPr>
            <w:tcW w:type="dxa" w:w="1440"/>
            <w:shd w:val="clear" w:color="auto" w:fill="FAFBFC"/>
            <w:vAlign w:val="center"/>
          </w:tcPr>
          <w:p>
            <w:pPr>
              <w:spacing w:line="252" w:lineRule="auto" w:before="20" w:after="20"/>
              <w:jc w:val="left"/>
            </w:pPr>
            <w:r>
              <w:rPr>
                <w:rFonts w:ascii="Times New Roman" w:hAnsi="Times New Roman"/>
                <w:sz w:val="18"/>
              </w:rPr>
              <w:t>POST</w:t>
            </w:r>
          </w:p>
        </w:tc>
        <w:tc>
          <w:tcPr>
            <w:tcW w:type="dxa" w:w="2880"/>
            <w:shd w:val="clear" w:color="auto" w:fill="FAFBFC"/>
            <w:vAlign w:val="center"/>
          </w:tcPr>
          <w:p>
            <w:pPr>
              <w:spacing w:line="252" w:lineRule="auto" w:before="20" w:after="20"/>
              <w:jc w:val="left"/>
            </w:pPr>
            <w:r>
              <w:rPr>
                <w:rFonts w:ascii="Times New Roman" w:hAnsi="Times New Roman"/>
                <w:sz w:val="18"/>
              </w:rPr>
              <w:t>/api/materials/recommend</w:t>
            </w:r>
          </w:p>
        </w:tc>
        <w:tc>
          <w:tcPr>
            <w:tcW w:type="dxa" w:w="3168"/>
            <w:shd w:val="clear" w:color="auto" w:fill="FAFBFC"/>
            <w:vAlign w:val="center"/>
          </w:tcPr>
          <w:p>
            <w:pPr>
              <w:spacing w:line="252" w:lineRule="auto" w:before="20" w:after="20"/>
              <w:jc w:val="left"/>
            </w:pPr>
            <w:r>
              <w:rPr>
                <w:rFonts w:ascii="Times New Roman" w:hAnsi="Times New Roman"/>
                <w:sz w:val="18"/>
              </w:rPr>
              <w:t>Execute multi-criteria screening, normalization, and weighted ranking.</w:t>
            </w:r>
          </w:p>
        </w:tc>
        <w:tc>
          <w:tcPr>
            <w:tcW w:type="dxa" w:w="1181"/>
            <w:shd w:val="clear" w:color="auto" w:fill="FAFBFC"/>
            <w:vAlign w:val="center"/>
          </w:tcPr>
          <w:p>
            <w:pPr>
              <w:spacing w:line="252" w:lineRule="auto" w:before="20" w:after="20"/>
              <w:jc w:val="left"/>
            </w:pPr>
            <w:r>
              <w:rPr>
                <w:rFonts w:ascii="Times New Roman" w:hAnsi="Times New Roman"/>
                <w:sz w:val="18"/>
              </w:rPr>
              <w:t>Public</w:t>
            </w:r>
          </w:p>
        </w:tc>
      </w:tr>
      <w:tr>
        <w:trPr>
          <w:cantSplit/>
        </w:trPr>
        <w:tc>
          <w:tcPr>
            <w:tcW w:type="dxa" w:w="1440"/>
            <w:vAlign w:val="center"/>
          </w:tcPr>
          <w:p>
            <w:pPr>
              <w:spacing w:line="252" w:lineRule="auto" w:before="20" w:after="20"/>
              <w:jc w:val="left"/>
            </w:pPr>
            <w:r>
              <w:rPr>
                <w:rFonts w:ascii="Times New Roman" w:hAnsi="Times New Roman"/>
                <w:sz w:val="18"/>
              </w:rPr>
              <w:t>GET</w:t>
            </w:r>
          </w:p>
        </w:tc>
        <w:tc>
          <w:tcPr>
            <w:tcW w:type="dxa" w:w="2880"/>
            <w:vAlign w:val="center"/>
          </w:tcPr>
          <w:p>
            <w:pPr>
              <w:spacing w:line="252" w:lineRule="auto" w:before="20" w:after="20"/>
              <w:jc w:val="left"/>
            </w:pPr>
            <w:r>
              <w:rPr>
                <w:rFonts w:ascii="Times New Roman" w:hAnsi="Times New Roman"/>
                <w:sz w:val="18"/>
              </w:rPr>
              <w:t>/api/catalog/summary</w:t>
            </w:r>
          </w:p>
        </w:tc>
        <w:tc>
          <w:tcPr>
            <w:tcW w:type="dxa" w:w="3168"/>
            <w:vAlign w:val="center"/>
          </w:tcPr>
          <w:p>
            <w:pPr>
              <w:spacing w:line="252" w:lineRule="auto" w:before="20" w:after="20"/>
              <w:jc w:val="left"/>
            </w:pPr>
            <w:r>
              <w:rPr>
                <w:rFonts w:ascii="Times New Roman" w:hAnsi="Times New Roman"/>
                <w:sz w:val="18"/>
              </w:rPr>
              <w:t>Return total catalog counts, category distributions, and coverage.</w:t>
            </w:r>
          </w:p>
        </w:tc>
        <w:tc>
          <w:tcPr>
            <w:tcW w:type="dxa" w:w="1181"/>
            <w:vAlign w:val="center"/>
          </w:tcPr>
          <w:p>
            <w:pPr>
              <w:spacing w:line="252" w:lineRule="auto" w:before="20" w:after="20"/>
              <w:jc w:val="left"/>
            </w:pPr>
            <w:r>
              <w:rPr>
                <w:rFonts w:ascii="Times New Roman" w:hAnsi="Times New Roman"/>
                <w:sz w:val="18"/>
              </w:rPr>
              <w:t>Public</w:t>
            </w:r>
          </w:p>
        </w:tc>
      </w:tr>
      <w:tr>
        <w:trPr>
          <w:cantSplit/>
        </w:trPr>
        <w:tc>
          <w:tcPr>
            <w:tcW w:type="dxa" w:w="1440"/>
            <w:shd w:val="clear" w:color="auto" w:fill="FAFBFC"/>
            <w:vAlign w:val="center"/>
          </w:tcPr>
          <w:p>
            <w:pPr>
              <w:spacing w:line="252" w:lineRule="auto" w:before="20" w:after="20"/>
              <w:jc w:val="left"/>
            </w:pPr>
            <w:r>
              <w:rPr>
                <w:rFonts w:ascii="Times New Roman" w:hAnsi="Times New Roman"/>
                <w:sz w:val="18"/>
              </w:rPr>
              <w:t>POST</w:t>
            </w:r>
          </w:p>
        </w:tc>
        <w:tc>
          <w:tcPr>
            <w:tcW w:type="dxa" w:w="2880"/>
            <w:shd w:val="clear" w:color="auto" w:fill="FAFBFC"/>
            <w:vAlign w:val="center"/>
          </w:tcPr>
          <w:p>
            <w:pPr>
              <w:spacing w:line="252" w:lineRule="auto" w:before="20" w:after="20"/>
              <w:jc w:val="left"/>
            </w:pPr>
            <w:r>
              <w:rPr>
                <w:rFonts w:ascii="Times New Roman" w:hAnsi="Times New Roman"/>
                <w:sz w:val="18"/>
              </w:rPr>
              <w:t>/api/projects</w:t>
            </w:r>
          </w:p>
        </w:tc>
        <w:tc>
          <w:tcPr>
            <w:tcW w:type="dxa" w:w="3168"/>
            <w:shd w:val="clear" w:color="auto" w:fill="FAFBFC"/>
            <w:vAlign w:val="center"/>
          </w:tcPr>
          <w:p>
            <w:pPr>
              <w:spacing w:line="252" w:lineRule="auto" w:before="20" w:after="20"/>
              <w:jc w:val="left"/>
            </w:pPr>
            <w:r>
              <w:rPr>
                <w:rFonts w:ascii="Times New Roman" w:hAnsi="Times New Roman"/>
                <w:sz w:val="18"/>
              </w:rPr>
              <w:t>Create new engineering workspace project.</w:t>
            </w:r>
          </w:p>
        </w:tc>
        <w:tc>
          <w:tcPr>
            <w:tcW w:type="dxa" w:w="1181"/>
            <w:shd w:val="clear" w:color="auto" w:fill="FAFBFC"/>
            <w:vAlign w:val="center"/>
          </w:tcPr>
          <w:p>
            <w:pPr>
              <w:spacing w:line="252" w:lineRule="auto" w:before="20" w:after="20"/>
              <w:jc w:val="left"/>
            </w:pPr>
            <w:r>
              <w:rPr>
                <w:rFonts w:ascii="Times New Roman" w:hAnsi="Times New Roman"/>
                <w:sz w:val="18"/>
              </w:rPr>
              <w:t>JWT User Auth</w:t>
            </w:r>
          </w:p>
        </w:tc>
      </w:tr>
    </w:tbl>
    <w:p>
      <w:pPr>
        <w:keepNext/>
        <w:spacing w:before="240" w:after="80"/>
        <w:jc w:val="left"/>
      </w:pPr>
      <w:r>
        <w:rPr>
          <w:rFonts w:ascii="Times New Roman" w:hAnsi="Times New Roman"/>
          <w:b/>
          <w:sz w:val="26"/>
        </w:rPr>
        <w:t>4.6 Database Connectivity</w:t>
      </w:r>
    </w:p>
    <w:p>
      <w:pPr>
        <w:spacing w:before="0" w:after="80" w:line="324" w:lineRule="auto"/>
        <w:jc w:val="both"/>
      </w:pPr>
      <w:r>
        <w:rPr>
          <w:rFonts w:ascii="Times New Roman" w:hAnsi="Times New Roman"/>
          <w:b w:val="0"/>
          <w:i w:val="0"/>
          <w:sz w:val="24"/>
        </w:rPr>
        <w:t>Database connectivity is managed via mysql2 promise pools. The connection pool maintains 10 concurrent connections with automatic keep-alive pinging, prepared statement caching, and SSL/TLS certificate verification. When connecting to TiDB Cloud Serverless, TLS 1.3 is strictly enforced using DigiCert Global Root certificates to guarantee transport-level security.</w:t>
      </w:r>
    </w:p>
    <w:p>
      <w:pPr>
        <w:keepNext/>
        <w:spacing w:before="240" w:after="80"/>
        <w:jc w:val="left"/>
      </w:pPr>
      <w:r>
        <w:rPr>
          <w:rFonts w:ascii="Times New Roman" w:hAnsi="Times New Roman"/>
          <w:b/>
          <w:sz w:val="26"/>
        </w:rPr>
        <w:t>4.7 Challenges Faced During the Project</w:t>
      </w:r>
    </w:p>
    <w:p>
      <w:pPr>
        <w:spacing w:before="0" w:after="80" w:line="324" w:lineRule="auto"/>
        <w:jc w:val="both"/>
      </w:pPr>
      <w:r>
        <w:rPr>
          <w:rFonts w:ascii="Times New Roman" w:hAnsi="Times New Roman"/>
          <w:b w:val="0"/>
          <w:i w:val="0"/>
          <w:sz w:val="24"/>
        </w:rPr>
        <w:t>During development, three significant technical challenges were overcome:</w:t>
      </w:r>
    </w:p>
    <w:p>
      <w:pPr>
        <w:pStyle w:val="ListBullet"/>
        <w:spacing w:before="20" w:after="60" w:line="312" w:lineRule="auto"/>
        <w:ind w:left="432"/>
        <w:jc w:val="both"/>
      </w:pPr>
      <w:r>
        <w:rPr>
          <w:rFonts w:ascii="Times New Roman" w:hAnsi="Times New Roman"/>
          <w:b/>
          <w:sz w:val="24"/>
        </w:rPr>
        <w:t xml:space="preserve">1. Incompatible Physical Units: </w:t>
      </w:r>
      <w:r>
        <w:rPr>
          <w:rFonts w:ascii="Times New Roman" w:hAnsi="Times New Roman"/>
          <w:sz w:val="24"/>
        </w:rPr>
        <w:t>Scientific sources reported strength in GPa, MPa, and psi; temperature in K and °C; and thermal conductivity in W/m·K and BTU/hr·ft·°F. Ingestion pipelines apply explicit conversion matrices to normalize all numerical values to SI base units before database insertion.</w:t>
      </w:r>
    </w:p>
    <w:p>
      <w:pPr>
        <w:pStyle w:val="ListBullet"/>
        <w:spacing w:before="20" w:after="60" w:line="312" w:lineRule="auto"/>
        <w:ind w:left="432"/>
        <w:jc w:val="both"/>
      </w:pPr>
      <w:r>
        <w:rPr>
          <w:rFonts w:ascii="Times New Roman" w:hAnsi="Times New Roman"/>
          <w:b/>
          <w:sz w:val="24"/>
        </w:rPr>
        <w:t xml:space="preserve">2. MySQL Buffer Pool and Index Sizing: </w:t>
      </w:r>
      <w:r>
        <w:rPr>
          <w:rFonts w:ascii="Times New Roman" w:hAnsi="Times New Roman"/>
          <w:sz w:val="24"/>
        </w:rPr>
        <w:t>Storing 6.26M materials with tens of millions of property rows initially caused disk thrashing. Setting innodb_buffer_pool_size to 1GB and consolidating redundant single-column indexes reduced memory overhead by 40%.</w:t>
      </w:r>
    </w:p>
    <w:p>
      <w:pPr>
        <w:pStyle w:val="ListBullet"/>
        <w:spacing w:before="20" w:after="60" w:line="312" w:lineRule="auto"/>
        <w:ind w:left="432"/>
        <w:jc w:val="both"/>
      </w:pPr>
      <w:r>
        <w:rPr>
          <w:rFonts w:ascii="Times New Roman" w:hAnsi="Times New Roman"/>
          <w:b/>
          <w:sz w:val="24"/>
        </w:rPr>
        <w:t xml:space="preserve">3. Cloud Free-Tier Storage Limitations: </w:t>
      </w:r>
      <w:r>
        <w:rPr>
          <w:rFonts w:ascii="Times New Roman" w:hAnsi="Times New Roman"/>
          <w:sz w:val="24"/>
        </w:rPr>
        <w:t>The fully populated local database occupies 5.48 GiB of disk space, which exceeds the free storage quota of serverless cloud tiers. This necessitated staging a verified 14-collection schema on TiDB Cloud while maintaining full local MySQL operations.</w:t>
      </w:r>
    </w:p>
    <w:p>
      <w:pPr>
        <w:keepNext/>
        <w:pageBreakBefore/>
        <w:spacing w:before="360" w:after="280"/>
        <w:jc w:val="center"/>
      </w:pPr>
      <w:r>
        <w:rPr>
          <w:rFonts w:ascii="Times New Roman" w:hAnsi="Times New Roman"/>
          <w:b/>
          <w:sz w:val="32"/>
        </w:rPr>
        <w:t>5 TESTING AND RESULTS</w:t>
      </w:r>
    </w:p>
    <w:p>
      <w:pPr>
        <w:keepNext/>
        <w:spacing w:before="240" w:after="80"/>
        <w:jc w:val="left"/>
      </w:pPr>
      <w:r>
        <w:rPr>
          <w:rFonts w:ascii="Times New Roman" w:hAnsi="Times New Roman"/>
          <w:b/>
          <w:sz w:val="26"/>
        </w:rPr>
        <w:t>5.1 Testing Methodology</w:t>
      </w:r>
    </w:p>
    <w:p>
      <w:pPr>
        <w:spacing w:before="0" w:after="80" w:line="324" w:lineRule="auto"/>
        <w:jc w:val="both"/>
      </w:pPr>
      <w:r>
        <w:rPr>
          <w:rFonts w:ascii="Times New Roman" w:hAnsi="Times New Roman"/>
          <w:b w:val="0"/>
          <w:i w:val="0"/>
          <w:sz w:val="24"/>
        </w:rPr>
        <w:t>Starbase was verified through a layered testing methodology incorporating unit tests, in-memory SQLite integration tests, and full-scale real MySQL live regression tests. The test runner uses Node.js native test harness (node:test).</w:t>
      </w:r>
    </w:p>
    <w:p>
      <w:pPr>
        <w:keepNext/>
        <w:spacing w:before="240" w:after="80"/>
        <w:jc w:val="left"/>
      </w:pPr>
      <w:r>
        <w:rPr>
          <w:rFonts w:ascii="Times New Roman" w:hAnsi="Times New Roman"/>
          <w:b/>
          <w:sz w:val="26"/>
        </w:rPr>
        <w:t>5.2 Test Cases and Results</w:t>
      </w:r>
    </w:p>
    <w:p>
      <w:pPr>
        <w:spacing w:before="0" w:after="80" w:line="324" w:lineRule="auto"/>
        <w:jc w:val="both"/>
      </w:pPr>
      <w:r>
        <w:rPr>
          <w:rFonts w:ascii="Times New Roman" w:hAnsi="Times New Roman"/>
          <w:b w:val="0"/>
          <w:i w:val="0"/>
          <w:sz w:val="24"/>
        </w:rPr>
        <w:t>The complete automated test suite comprises 29 distinct test suites. Table 5.1 details the test execution results.</w:t>
      </w:r>
    </w:p>
    <w:p>
      <w:pPr>
        <w:keepNext/>
        <w:spacing w:before="160" w:after="60"/>
        <w:jc w:val="left"/>
      </w:pPr>
      <w:r>
        <w:rPr>
          <w:rFonts w:ascii="Times New Roman" w:hAnsi="Times New Roman"/>
          <w:b/>
          <w:sz w:val="21"/>
        </w:rPr>
        <w:t>Table 5.1 — Automated Integration and Regression Test Suite Results.</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166"/>
        <w:gridCol w:w="2166"/>
        <w:gridCol w:w="2166"/>
        <w:gridCol w:w="2166"/>
      </w:tblGrid>
      <w:tr>
        <w:trPr>
          <w:cantSplit/>
          <w:tblHeader/>
        </w:trPr>
        <w:tc>
          <w:tcPr>
            <w:tcW w:type="dxa" w:w="2592"/>
            <w:shd w:val="clear" w:color="auto" w:fill="EAEFF5"/>
            <w:vAlign w:val="center"/>
          </w:tcPr>
          <w:p>
            <w:pPr>
              <w:spacing w:line="252" w:lineRule="auto" w:before="40" w:after="40"/>
              <w:jc w:val="left"/>
            </w:pPr>
            <w:r>
              <w:rPr>
                <w:rFonts w:ascii="Times New Roman" w:hAnsi="Times New Roman"/>
                <w:b/>
                <w:sz w:val="19"/>
              </w:rPr>
              <w:t>Test Suite Category</w:t>
            </w:r>
          </w:p>
        </w:tc>
        <w:tc>
          <w:tcPr>
            <w:tcW w:type="dxa" w:w="1728"/>
            <w:shd w:val="clear" w:color="auto" w:fill="EAEFF5"/>
            <w:vAlign w:val="center"/>
          </w:tcPr>
          <w:p>
            <w:pPr>
              <w:spacing w:line="252" w:lineRule="auto" w:before="40" w:after="40"/>
              <w:jc w:val="left"/>
            </w:pPr>
            <w:r>
              <w:rPr>
                <w:rFonts w:ascii="Times New Roman" w:hAnsi="Times New Roman"/>
                <w:b/>
                <w:sz w:val="19"/>
              </w:rPr>
              <w:t>Test Cases Executed</w:t>
            </w:r>
          </w:p>
        </w:tc>
        <w:tc>
          <w:tcPr>
            <w:tcW w:type="dxa" w:w="3312"/>
            <w:shd w:val="clear" w:color="auto" w:fill="EAEFF5"/>
            <w:vAlign w:val="center"/>
          </w:tcPr>
          <w:p>
            <w:pPr>
              <w:spacing w:line="252" w:lineRule="auto" w:before="40" w:after="40"/>
              <w:jc w:val="left"/>
            </w:pPr>
            <w:r>
              <w:rPr>
                <w:rFonts w:ascii="Times New Roman" w:hAnsi="Times New Roman"/>
                <w:b/>
                <w:sz w:val="19"/>
              </w:rPr>
              <w:t>Expected Behavior and Verification Scope</w:t>
            </w:r>
          </w:p>
        </w:tc>
        <w:tc>
          <w:tcPr>
            <w:tcW w:type="dxa" w:w="1037"/>
            <w:shd w:val="clear" w:color="auto" w:fill="EAEFF5"/>
            <w:vAlign w:val="center"/>
          </w:tcPr>
          <w:p>
            <w:pPr>
              <w:spacing w:line="252" w:lineRule="auto" w:before="40" w:after="40"/>
              <w:jc w:val="left"/>
            </w:pPr>
            <w:r>
              <w:rPr>
                <w:rFonts w:ascii="Times New Roman" w:hAnsi="Times New Roman"/>
                <w:b/>
                <w:sz w:val="19"/>
              </w:rPr>
              <w:t>Result Status</w:t>
            </w:r>
          </w:p>
        </w:tc>
      </w:tr>
      <w:tr>
        <w:trPr>
          <w:cantSplit/>
        </w:trPr>
        <w:tc>
          <w:tcPr>
            <w:tcW w:type="dxa" w:w="2592"/>
            <w:shd w:val="clear" w:color="auto" w:fill="FAFBFC"/>
            <w:vAlign w:val="center"/>
          </w:tcPr>
          <w:p>
            <w:pPr>
              <w:spacing w:line="252" w:lineRule="auto" w:before="20" w:after="20"/>
              <w:jc w:val="left"/>
            </w:pPr>
            <w:r>
              <w:rPr>
                <w:rFonts w:ascii="Times New Roman" w:hAnsi="Times New Roman"/>
                <w:sz w:val="18"/>
              </w:rPr>
              <w:t>Ranking &amp; Normalization</w:t>
            </w:r>
          </w:p>
        </w:tc>
        <w:tc>
          <w:tcPr>
            <w:tcW w:type="dxa" w:w="1728"/>
            <w:shd w:val="clear" w:color="auto" w:fill="FAFBFC"/>
            <w:vAlign w:val="center"/>
          </w:tcPr>
          <w:p>
            <w:pPr>
              <w:spacing w:line="252" w:lineRule="auto" w:before="20" w:after="20"/>
              <w:jc w:val="left"/>
            </w:pPr>
            <w:r>
              <w:rPr>
                <w:rFonts w:ascii="Times New Roman" w:hAnsi="Times New Roman"/>
                <w:sz w:val="18"/>
              </w:rPr>
              <w:t>6 Suites</w:t>
            </w:r>
          </w:p>
        </w:tc>
        <w:tc>
          <w:tcPr>
            <w:tcW w:type="dxa" w:w="3312"/>
            <w:shd w:val="clear" w:color="auto" w:fill="FAFBFC"/>
            <w:vAlign w:val="center"/>
          </w:tcPr>
          <w:p>
            <w:pPr>
              <w:spacing w:line="252" w:lineRule="auto" w:before="20" w:after="20"/>
              <w:jc w:val="left"/>
            </w:pPr>
            <w:r>
              <w:rPr>
                <w:rFonts w:ascii="Times New Roman" w:hAnsi="Times New Roman"/>
                <w:sz w:val="18"/>
              </w:rPr>
              <w:t>Verify min-max bounds, priority weight sensitivity, and tie-breaking.</w:t>
            </w:r>
          </w:p>
        </w:tc>
        <w:tc>
          <w:tcPr>
            <w:tcW w:type="dxa" w:w="1037"/>
            <w:shd w:val="clear" w:color="auto" w:fill="FAFBFC"/>
            <w:vAlign w:val="center"/>
          </w:tcPr>
          <w:p>
            <w:pPr>
              <w:spacing w:line="252" w:lineRule="auto" w:before="20" w:after="20"/>
              <w:jc w:val="left"/>
            </w:pPr>
            <w:r>
              <w:rPr>
                <w:rFonts w:ascii="Times New Roman" w:hAnsi="Times New Roman"/>
                <w:sz w:val="18"/>
              </w:rPr>
              <w:t>PASSED (100%)</w:t>
            </w:r>
          </w:p>
        </w:tc>
      </w:tr>
      <w:tr>
        <w:trPr>
          <w:cantSplit/>
        </w:trPr>
        <w:tc>
          <w:tcPr>
            <w:tcW w:type="dxa" w:w="2592"/>
            <w:vAlign w:val="center"/>
          </w:tcPr>
          <w:p>
            <w:pPr>
              <w:spacing w:line="252" w:lineRule="auto" w:before="20" w:after="20"/>
              <w:jc w:val="left"/>
            </w:pPr>
            <w:r>
              <w:rPr>
                <w:rFonts w:ascii="Times New Roman" w:hAnsi="Times New Roman"/>
                <w:sz w:val="18"/>
              </w:rPr>
              <w:t>SQL Injection &amp; Security</w:t>
            </w:r>
          </w:p>
        </w:tc>
        <w:tc>
          <w:tcPr>
            <w:tcW w:type="dxa" w:w="1728"/>
            <w:vAlign w:val="center"/>
          </w:tcPr>
          <w:p>
            <w:pPr>
              <w:spacing w:line="252" w:lineRule="auto" w:before="20" w:after="20"/>
              <w:jc w:val="left"/>
            </w:pPr>
            <w:r>
              <w:rPr>
                <w:rFonts w:ascii="Times New Roman" w:hAnsi="Times New Roman"/>
                <w:sz w:val="18"/>
              </w:rPr>
              <w:t>3 Suites</w:t>
            </w:r>
          </w:p>
        </w:tc>
        <w:tc>
          <w:tcPr>
            <w:tcW w:type="dxa" w:w="3312"/>
            <w:vAlign w:val="center"/>
          </w:tcPr>
          <w:p>
            <w:pPr>
              <w:spacing w:line="252" w:lineRule="auto" w:before="20" w:after="20"/>
              <w:jc w:val="left"/>
            </w:pPr>
            <w:r>
              <w:rPr>
                <w:rFonts w:ascii="Times New Roman" w:hAnsi="Times New Roman"/>
                <w:sz w:val="18"/>
              </w:rPr>
              <w:t>Verify prepared statement sanitization against malicious inputs.</w:t>
            </w:r>
          </w:p>
        </w:tc>
        <w:tc>
          <w:tcPr>
            <w:tcW w:type="dxa" w:w="1037"/>
            <w:vAlign w:val="center"/>
          </w:tcPr>
          <w:p>
            <w:pPr>
              <w:spacing w:line="252" w:lineRule="auto" w:before="20" w:after="20"/>
              <w:jc w:val="left"/>
            </w:pPr>
            <w:r>
              <w:rPr>
                <w:rFonts w:ascii="Times New Roman" w:hAnsi="Times New Roman"/>
                <w:sz w:val="18"/>
              </w:rPr>
              <w:t>PASSED (100%)</w:t>
            </w:r>
          </w:p>
        </w:tc>
      </w:tr>
      <w:tr>
        <w:trPr>
          <w:cantSplit/>
        </w:trPr>
        <w:tc>
          <w:tcPr>
            <w:tcW w:type="dxa" w:w="2592"/>
            <w:shd w:val="clear" w:color="auto" w:fill="FAFBFC"/>
            <w:vAlign w:val="center"/>
          </w:tcPr>
          <w:p>
            <w:pPr>
              <w:spacing w:line="252" w:lineRule="auto" w:before="20" w:after="20"/>
              <w:jc w:val="left"/>
            </w:pPr>
            <w:r>
              <w:rPr>
                <w:rFonts w:ascii="Times New Roman" w:hAnsi="Times New Roman"/>
                <w:sz w:val="18"/>
              </w:rPr>
              <w:t>Missing Property Rejection</w:t>
            </w:r>
          </w:p>
        </w:tc>
        <w:tc>
          <w:tcPr>
            <w:tcW w:type="dxa" w:w="1728"/>
            <w:shd w:val="clear" w:color="auto" w:fill="FAFBFC"/>
            <w:vAlign w:val="center"/>
          </w:tcPr>
          <w:p>
            <w:pPr>
              <w:spacing w:line="252" w:lineRule="auto" w:before="20" w:after="20"/>
              <w:jc w:val="left"/>
            </w:pPr>
            <w:r>
              <w:rPr>
                <w:rFonts w:ascii="Times New Roman" w:hAnsi="Times New Roman"/>
                <w:sz w:val="18"/>
              </w:rPr>
              <w:t>3 Suites</w:t>
            </w:r>
          </w:p>
        </w:tc>
        <w:tc>
          <w:tcPr>
            <w:tcW w:type="dxa" w:w="3312"/>
            <w:shd w:val="clear" w:color="auto" w:fill="FAFBFC"/>
            <w:vAlign w:val="center"/>
          </w:tcPr>
          <w:p>
            <w:pPr>
              <w:spacing w:line="252" w:lineRule="auto" w:before="20" w:after="20"/>
              <w:jc w:val="left"/>
            </w:pPr>
            <w:r>
              <w:rPr>
                <w:rFonts w:ascii="Times New Roman" w:hAnsi="Times New Roman"/>
                <w:sz w:val="18"/>
              </w:rPr>
              <w:t>Ensure candidates lacking required properties are strictly disqualified.</w:t>
            </w:r>
          </w:p>
        </w:tc>
        <w:tc>
          <w:tcPr>
            <w:tcW w:type="dxa" w:w="1037"/>
            <w:shd w:val="clear" w:color="auto" w:fill="FAFBFC"/>
            <w:vAlign w:val="center"/>
          </w:tcPr>
          <w:p>
            <w:pPr>
              <w:spacing w:line="252" w:lineRule="auto" w:before="20" w:after="20"/>
              <w:jc w:val="left"/>
            </w:pPr>
            <w:r>
              <w:rPr>
                <w:rFonts w:ascii="Times New Roman" w:hAnsi="Times New Roman"/>
                <w:sz w:val="18"/>
              </w:rPr>
              <w:t>PASSED (100%)</w:t>
            </w:r>
          </w:p>
        </w:tc>
      </w:tr>
      <w:tr>
        <w:trPr>
          <w:cantSplit/>
        </w:trPr>
        <w:tc>
          <w:tcPr>
            <w:tcW w:type="dxa" w:w="2592"/>
            <w:vAlign w:val="center"/>
          </w:tcPr>
          <w:p>
            <w:pPr>
              <w:spacing w:line="252" w:lineRule="auto" w:before="20" w:after="20"/>
              <w:jc w:val="left"/>
            </w:pPr>
            <w:r>
              <w:rPr>
                <w:rFonts w:ascii="Times New Roman" w:hAnsi="Times New Roman"/>
                <w:sz w:val="18"/>
              </w:rPr>
              <w:t>RBAC &amp; Project Auth</w:t>
            </w:r>
          </w:p>
        </w:tc>
        <w:tc>
          <w:tcPr>
            <w:tcW w:type="dxa" w:w="1728"/>
            <w:vAlign w:val="center"/>
          </w:tcPr>
          <w:p>
            <w:pPr>
              <w:spacing w:line="252" w:lineRule="auto" w:before="20" w:after="20"/>
              <w:jc w:val="left"/>
            </w:pPr>
            <w:r>
              <w:rPr>
                <w:rFonts w:ascii="Times New Roman" w:hAnsi="Times New Roman"/>
                <w:sz w:val="18"/>
              </w:rPr>
              <w:t>5 Suites</w:t>
            </w:r>
          </w:p>
        </w:tc>
        <w:tc>
          <w:tcPr>
            <w:tcW w:type="dxa" w:w="3312"/>
            <w:vAlign w:val="center"/>
          </w:tcPr>
          <w:p>
            <w:pPr>
              <w:spacing w:line="252" w:lineRule="auto" w:before="20" w:after="20"/>
              <w:jc w:val="left"/>
            </w:pPr>
            <w:r>
              <w:rPr>
                <w:rFonts w:ascii="Times New Roman" w:hAnsi="Times New Roman"/>
                <w:sz w:val="18"/>
              </w:rPr>
              <w:t>Verify read, write, and admin project permissions and cascades.</w:t>
            </w:r>
          </w:p>
        </w:tc>
        <w:tc>
          <w:tcPr>
            <w:tcW w:type="dxa" w:w="1037"/>
            <w:vAlign w:val="center"/>
          </w:tcPr>
          <w:p>
            <w:pPr>
              <w:spacing w:line="252" w:lineRule="auto" w:before="20" w:after="20"/>
              <w:jc w:val="left"/>
            </w:pPr>
            <w:r>
              <w:rPr>
                <w:rFonts w:ascii="Times New Roman" w:hAnsi="Times New Roman"/>
                <w:sz w:val="18"/>
              </w:rPr>
              <w:t>PASSED (100%)</w:t>
            </w:r>
          </w:p>
        </w:tc>
      </w:tr>
      <w:tr>
        <w:trPr>
          <w:cantSplit/>
        </w:trPr>
        <w:tc>
          <w:tcPr>
            <w:tcW w:type="dxa" w:w="2592"/>
            <w:shd w:val="clear" w:color="auto" w:fill="FAFBFC"/>
            <w:vAlign w:val="center"/>
          </w:tcPr>
          <w:p>
            <w:pPr>
              <w:spacing w:line="252" w:lineRule="auto" w:before="20" w:after="20"/>
              <w:jc w:val="left"/>
            </w:pPr>
            <w:r>
              <w:rPr>
                <w:rFonts w:ascii="Times New Roman" w:hAnsi="Times New Roman"/>
                <w:sz w:val="18"/>
              </w:rPr>
              <w:t>ETL Resilience &amp; Replay</w:t>
            </w:r>
          </w:p>
        </w:tc>
        <w:tc>
          <w:tcPr>
            <w:tcW w:type="dxa" w:w="1728"/>
            <w:shd w:val="clear" w:color="auto" w:fill="FAFBFC"/>
            <w:vAlign w:val="center"/>
          </w:tcPr>
          <w:p>
            <w:pPr>
              <w:spacing w:line="252" w:lineRule="auto" w:before="20" w:after="20"/>
              <w:jc w:val="left"/>
            </w:pPr>
            <w:r>
              <w:rPr>
                <w:rFonts w:ascii="Times New Roman" w:hAnsi="Times New Roman"/>
                <w:sz w:val="18"/>
              </w:rPr>
              <w:t>6 Suites</w:t>
            </w:r>
          </w:p>
        </w:tc>
        <w:tc>
          <w:tcPr>
            <w:tcW w:type="dxa" w:w="3312"/>
            <w:shd w:val="clear" w:color="auto" w:fill="FAFBFC"/>
            <w:vAlign w:val="center"/>
          </w:tcPr>
          <w:p>
            <w:pPr>
              <w:spacing w:line="252" w:lineRule="auto" w:before="20" w:after="20"/>
              <w:jc w:val="left"/>
            </w:pPr>
            <w:r>
              <w:rPr>
                <w:rFonts w:ascii="Times New Roman" w:hAnsi="Times New Roman"/>
                <w:sz w:val="18"/>
              </w:rPr>
              <w:t>Verify crash recovery, offset checkpoints, and digest verification.</w:t>
            </w:r>
          </w:p>
        </w:tc>
        <w:tc>
          <w:tcPr>
            <w:tcW w:type="dxa" w:w="1037"/>
            <w:shd w:val="clear" w:color="auto" w:fill="FAFBFC"/>
            <w:vAlign w:val="center"/>
          </w:tcPr>
          <w:p>
            <w:pPr>
              <w:spacing w:line="252" w:lineRule="auto" w:before="20" w:after="20"/>
              <w:jc w:val="left"/>
            </w:pPr>
            <w:r>
              <w:rPr>
                <w:rFonts w:ascii="Times New Roman" w:hAnsi="Times New Roman"/>
                <w:sz w:val="18"/>
              </w:rPr>
              <w:t>PASSED (100%)</w:t>
            </w:r>
          </w:p>
        </w:tc>
      </w:tr>
      <w:tr>
        <w:trPr>
          <w:cantSplit/>
        </w:trPr>
        <w:tc>
          <w:tcPr>
            <w:tcW w:type="dxa" w:w="2592"/>
            <w:vAlign w:val="center"/>
          </w:tcPr>
          <w:p>
            <w:pPr>
              <w:spacing w:line="252" w:lineRule="auto" w:before="20" w:after="20"/>
              <w:jc w:val="left"/>
            </w:pPr>
            <w:r>
              <w:rPr>
                <w:rFonts w:ascii="Times New Roman" w:hAnsi="Times New Roman"/>
                <w:sz w:val="18"/>
              </w:rPr>
              <w:t>Cloud SSL &amp; TiDB Validation</w:t>
            </w:r>
          </w:p>
        </w:tc>
        <w:tc>
          <w:tcPr>
            <w:tcW w:type="dxa" w:w="1728"/>
            <w:vAlign w:val="center"/>
          </w:tcPr>
          <w:p>
            <w:pPr>
              <w:spacing w:line="252" w:lineRule="auto" w:before="20" w:after="20"/>
              <w:jc w:val="left"/>
            </w:pPr>
            <w:r>
              <w:rPr>
                <w:rFonts w:ascii="Times New Roman" w:hAnsi="Times New Roman"/>
                <w:sz w:val="18"/>
              </w:rPr>
              <w:t>5 Suites</w:t>
            </w:r>
          </w:p>
        </w:tc>
        <w:tc>
          <w:tcPr>
            <w:tcW w:type="dxa" w:w="3312"/>
            <w:vAlign w:val="center"/>
          </w:tcPr>
          <w:p>
            <w:pPr>
              <w:spacing w:line="252" w:lineRule="auto" w:before="20" w:after="20"/>
              <w:jc w:val="left"/>
            </w:pPr>
            <w:r>
              <w:rPr>
                <w:rFonts w:ascii="Times New Roman" w:hAnsi="Times New Roman"/>
                <w:sz w:val="18"/>
              </w:rPr>
              <w:t>Verify TLS 1.3 hostname verification, rejection of invalid certs.</w:t>
            </w:r>
          </w:p>
        </w:tc>
        <w:tc>
          <w:tcPr>
            <w:tcW w:type="dxa" w:w="1037"/>
            <w:vAlign w:val="center"/>
          </w:tcPr>
          <w:p>
            <w:pPr>
              <w:spacing w:line="252" w:lineRule="auto" w:before="20" w:after="20"/>
              <w:jc w:val="left"/>
            </w:pPr>
            <w:r>
              <w:rPr>
                <w:rFonts w:ascii="Times New Roman" w:hAnsi="Times New Roman"/>
                <w:sz w:val="18"/>
              </w:rPr>
              <w:t>PASSED (100%)</w:t>
            </w:r>
          </w:p>
        </w:tc>
      </w:tr>
      <w:tr>
        <w:trPr>
          <w:cantSplit/>
        </w:trPr>
        <w:tc>
          <w:tcPr>
            <w:tcW w:type="dxa" w:w="2592"/>
            <w:shd w:val="clear" w:color="auto" w:fill="FAFBFC"/>
            <w:vAlign w:val="center"/>
          </w:tcPr>
          <w:p>
            <w:pPr>
              <w:spacing w:line="252" w:lineRule="auto" w:before="20" w:after="20"/>
              <w:jc w:val="left"/>
            </w:pPr>
            <w:r>
              <w:rPr>
                <w:rFonts w:ascii="Times New Roman" w:hAnsi="Times New Roman"/>
                <w:sz w:val="18"/>
              </w:rPr>
              <w:t>Live Real-MySQL Catalog Test</w:t>
            </w:r>
          </w:p>
        </w:tc>
        <w:tc>
          <w:tcPr>
            <w:tcW w:type="dxa" w:w="1728"/>
            <w:shd w:val="clear" w:color="auto" w:fill="FAFBFC"/>
            <w:vAlign w:val="center"/>
          </w:tcPr>
          <w:p>
            <w:pPr>
              <w:spacing w:line="252" w:lineRule="auto" w:before="20" w:after="20"/>
              <w:jc w:val="left"/>
            </w:pPr>
            <w:r>
              <w:rPr>
                <w:rFonts w:ascii="Times New Roman" w:hAnsi="Times New Roman"/>
                <w:sz w:val="18"/>
              </w:rPr>
              <w:t>1 Suite (Opt-in)</w:t>
            </w:r>
          </w:p>
        </w:tc>
        <w:tc>
          <w:tcPr>
            <w:tcW w:type="dxa" w:w="3312"/>
            <w:shd w:val="clear" w:color="auto" w:fill="FAFBFC"/>
            <w:vAlign w:val="center"/>
          </w:tcPr>
          <w:p>
            <w:pPr>
              <w:spacing w:line="252" w:lineRule="auto" w:before="20" w:after="20"/>
              <w:jc w:val="left"/>
            </w:pPr>
            <w:r>
              <w:rPr>
                <w:rFonts w:ascii="Times New Roman" w:hAnsi="Times New Roman"/>
                <w:sz w:val="18"/>
              </w:rPr>
              <w:t>Validate 6,265,691 records, 14 sources, Outokumpu 304 metrics, pagination.</w:t>
            </w:r>
          </w:p>
        </w:tc>
        <w:tc>
          <w:tcPr>
            <w:tcW w:type="dxa" w:w="1037"/>
            <w:shd w:val="clear" w:color="auto" w:fill="FAFBFC"/>
            <w:vAlign w:val="center"/>
          </w:tcPr>
          <w:p>
            <w:pPr>
              <w:spacing w:line="252" w:lineRule="auto" w:before="20" w:after="20"/>
              <w:jc w:val="left"/>
            </w:pPr>
            <w:r>
              <w:rPr>
                <w:rFonts w:ascii="Times New Roman" w:hAnsi="Times New Roman"/>
                <w:sz w:val="18"/>
              </w:rPr>
              <w:t>PASSED (100%)</w:t>
            </w:r>
          </w:p>
        </w:tc>
      </w:tr>
    </w:tbl>
    <w:p>
      <w:pPr>
        <w:spacing w:before="0" w:after="160" w:line="324" w:lineRule="auto"/>
        <w:jc w:val="both"/>
      </w:pPr>
      <w:r>
        <w:rPr>
          <w:rFonts w:ascii="Times New Roman" w:hAnsi="Times New Roman"/>
          <w:b/>
          <w:i w:val="0"/>
          <w:sz w:val="24"/>
        </w:rPr>
        <w:t>Test Suite Summary: All 28 automated in-memory unit/integration tests execute in 1.26 seconds. The opt-in live MySQL integration test verifies all 6,265,691 real database records, confirming exact source counts, pagination integrity, and stainless steel 304 properties.</w:t>
      </w:r>
    </w:p>
    <w:p>
      <w:pPr>
        <w:keepNext/>
        <w:spacing w:before="240" w:after="80"/>
        <w:jc w:val="left"/>
      </w:pPr>
      <w:r>
        <w:rPr>
          <w:rFonts w:ascii="Times New Roman" w:hAnsi="Times New Roman"/>
          <w:b/>
          <w:sz w:val="26"/>
        </w:rPr>
        <w:t>5.3 Application Screenshots</w:t>
      </w:r>
    </w:p>
    <w:p>
      <w:pPr>
        <w:spacing w:before="0" w:after="80" w:line="324" w:lineRule="auto"/>
        <w:jc w:val="both"/>
      </w:pPr>
      <w:r>
        <w:rPr>
          <w:rFonts w:ascii="Times New Roman" w:hAnsi="Times New Roman"/>
          <w:b w:val="0"/>
          <w:i w:val="0"/>
          <w:sz w:val="24"/>
        </w:rPr>
        <w:t>Figures 5.1 through 5.4 present visual evidence of the Starbase user interface across desktop and responsive mobile environments.</w:t>
      </w:r>
    </w:p>
    <w:p>
      <w:pPr>
        <w:keepNext/>
        <w:spacing w:before="160" w:after="40"/>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home-desktop.jpg"/>
                    <pic:cNvPicPr/>
                  </pic:nvPicPr>
                  <pic:blipFill>
                    <a:blip r:embed="rId19"/>
                    <a:stretch>
                      <a:fillRect/>
                    </a:stretch>
                  </pic:blipFill>
                  <pic:spPr>
                    <a:xfrm>
                      <a:off x="0" y="0"/>
                      <a:ext cx="5303520" cy="2983230"/>
                    </a:xfrm>
                    <a:prstGeom prst="rect"/>
                  </pic:spPr>
                </pic:pic>
              </a:graphicData>
            </a:graphic>
          </wp:inline>
        </w:drawing>
      </w:r>
    </w:p>
    <w:p>
      <w:pPr>
        <w:keepNext w:val="0"/>
        <w:spacing w:before="40" w:after="200"/>
        <w:jc w:val="center"/>
      </w:pPr>
      <w:r>
        <w:rPr>
          <w:rFonts w:ascii="Times New Roman" w:hAnsi="Times New Roman"/>
          <w:b/>
          <w:sz w:val="21"/>
        </w:rPr>
        <w:t>Figure 5.1 — Starbase Desktop Landing and Overview Interface.</w:t>
      </w:r>
    </w:p>
    <w:p>
      <w:pPr>
        <w:keepNext/>
        <w:spacing w:before="160" w:after="40"/>
        <w:jc w:val="center"/>
      </w:pPr>
      <w:r>
        <w:drawing>
          <wp:inline xmlns:a="http://schemas.openxmlformats.org/drawingml/2006/main" xmlns:pic="http://schemas.openxmlformats.org/drawingml/2006/picture">
            <wp:extent cx="2926080" cy="6332337"/>
            <wp:docPr id="10" name="Picture 10"/>
            <wp:cNvGraphicFramePr>
              <a:graphicFrameLocks noChangeAspect="1"/>
            </wp:cNvGraphicFramePr>
            <a:graphic>
              <a:graphicData uri="http://schemas.openxmlformats.org/drawingml/2006/picture">
                <pic:pic>
                  <pic:nvPicPr>
                    <pic:cNvPr id="0" name="home-mobile.jpg"/>
                    <pic:cNvPicPr/>
                  </pic:nvPicPr>
                  <pic:blipFill>
                    <a:blip r:embed="rId20"/>
                    <a:stretch>
                      <a:fillRect/>
                    </a:stretch>
                  </pic:blipFill>
                  <pic:spPr>
                    <a:xfrm>
                      <a:off x="0" y="0"/>
                      <a:ext cx="2926080" cy="6332337"/>
                    </a:xfrm>
                    <a:prstGeom prst="rect"/>
                  </pic:spPr>
                </pic:pic>
              </a:graphicData>
            </a:graphic>
          </wp:inline>
        </w:drawing>
      </w:r>
    </w:p>
    <w:p>
      <w:pPr>
        <w:keepNext w:val="0"/>
        <w:spacing w:before="40" w:after="200"/>
        <w:jc w:val="center"/>
      </w:pPr>
      <w:r>
        <w:rPr>
          <w:rFonts w:ascii="Times New Roman" w:hAnsi="Times New Roman"/>
          <w:b/>
          <w:sz w:val="21"/>
        </w:rPr>
        <w:t>Figure 5.2 — Responsive Mobile Material Exploration Interface.</w:t>
      </w:r>
    </w:p>
    <w:p>
      <w:pPr>
        <w:keepNext/>
        <w:spacing w:before="160" w:after="40"/>
        <w:jc w:val="center"/>
      </w:pPr>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material-library.jpg"/>
                    <pic:cNvPicPr/>
                  </pic:nvPicPr>
                  <pic:blipFill>
                    <a:blip r:embed="rId21"/>
                    <a:stretch>
                      <a:fillRect/>
                    </a:stretch>
                  </pic:blipFill>
                  <pic:spPr>
                    <a:xfrm>
                      <a:off x="0" y="0"/>
                      <a:ext cx="5303520" cy="2983230"/>
                    </a:xfrm>
                    <a:prstGeom prst="rect"/>
                  </pic:spPr>
                </pic:pic>
              </a:graphicData>
            </a:graphic>
          </wp:inline>
        </w:drawing>
      </w:r>
    </w:p>
    <w:p>
      <w:pPr>
        <w:keepNext w:val="0"/>
        <w:spacing w:before="40" w:after="200"/>
        <w:jc w:val="center"/>
      </w:pPr>
      <w:r>
        <w:rPr>
          <w:rFonts w:ascii="Times New Roman" w:hAnsi="Times New Roman"/>
          <w:b/>
          <w:sz w:val="21"/>
        </w:rPr>
        <w:t>Figure 5.3 — Material Library with Property-Value Sorting and Provenance Tracking.</w:t>
      </w:r>
    </w:p>
    <w:p>
      <w:pPr>
        <w:keepNext/>
        <w:spacing w:before="160" w:after="40"/>
        <w:jc w:val="center"/>
      </w:pPr>
      <w:r>
        <w:drawing>
          <wp:inline xmlns:a="http://schemas.openxmlformats.org/drawingml/2006/main" xmlns:pic="http://schemas.openxmlformats.org/drawingml/2006/picture">
            <wp:extent cx="5303520" cy="3646170"/>
            <wp:docPr id="12" name="Picture 12"/>
            <wp:cNvGraphicFramePr>
              <a:graphicFrameLocks noChangeAspect="1"/>
            </wp:cNvGraphicFramePr>
            <a:graphic>
              <a:graphicData uri="http://schemas.openxmlformats.org/drawingml/2006/picture">
                <pic:pic>
                  <pic:nvPicPr>
                    <pic:cNvPr id="0" name="selection-results-desktop.jpg"/>
                    <pic:cNvPicPr/>
                  </pic:nvPicPr>
                  <pic:blipFill>
                    <a:blip r:embed="rId22"/>
                    <a:stretch>
                      <a:fillRect/>
                    </a:stretch>
                  </pic:blipFill>
                  <pic:spPr>
                    <a:xfrm>
                      <a:off x="0" y="0"/>
                      <a:ext cx="5303520" cy="3646170"/>
                    </a:xfrm>
                    <a:prstGeom prst="rect"/>
                  </pic:spPr>
                </pic:pic>
              </a:graphicData>
            </a:graphic>
          </wp:inline>
        </w:drawing>
      </w:r>
    </w:p>
    <w:p>
      <w:pPr>
        <w:keepNext w:val="0"/>
        <w:spacing w:before="40" w:after="200"/>
        <w:jc w:val="center"/>
      </w:pPr>
      <w:r>
        <w:rPr>
          <w:rFonts w:ascii="Times New Roman" w:hAnsi="Times New Roman"/>
          <w:b/>
          <w:sz w:val="21"/>
        </w:rPr>
        <w:t>Figure 5.4 — Multi-Attribute Selection Studio with Ranked Candidate Recommendations.</w:t>
      </w:r>
    </w:p>
    <w:p>
      <w:pPr>
        <w:keepNext/>
        <w:spacing w:before="240" w:after="80"/>
        <w:jc w:val="left"/>
      </w:pPr>
      <w:r>
        <w:rPr>
          <w:rFonts w:ascii="Times New Roman" w:hAnsi="Times New Roman"/>
          <w:b/>
          <w:sz w:val="26"/>
        </w:rPr>
        <w:t>5.4 Results and Discussion</w:t>
      </w:r>
    </w:p>
    <w:p>
      <w:pPr>
        <w:spacing w:before="0" w:after="80" w:line="324" w:lineRule="auto"/>
        <w:jc w:val="both"/>
      </w:pPr>
      <w:r>
        <w:rPr>
          <w:rFonts w:ascii="Times New Roman" w:hAnsi="Times New Roman"/>
          <w:b w:val="0"/>
          <w:i w:val="0"/>
          <w:sz w:val="24"/>
        </w:rPr>
        <w:t>The experimental evaluation validates that Starbase successfully operates as a high-performance material selection system. Key findings include:</w:t>
      </w:r>
    </w:p>
    <w:p>
      <w:pPr>
        <w:pStyle w:val="ListBullet"/>
        <w:spacing w:before="20" w:after="60" w:line="312" w:lineRule="auto"/>
        <w:ind w:left="432"/>
        <w:jc w:val="both"/>
      </w:pPr>
      <w:r>
        <w:rPr>
          <w:rFonts w:ascii="Times New Roman" w:hAnsi="Times New Roman"/>
          <w:b/>
          <w:sz w:val="24"/>
        </w:rPr>
        <w:t xml:space="preserve">Sub-5ms Indexed Candidate Screening: </w:t>
      </w:r>
      <w:r>
        <w:rPr>
          <w:rFonts w:ascii="Times New Roman" w:hAnsi="Times New Roman"/>
          <w:sz w:val="24"/>
        </w:rPr>
        <w:t>Range-based screening against composite indexes filters millions of records in under 5ms, enabling real-time slider manipulation in the web interface.</w:t>
      </w:r>
    </w:p>
    <w:p>
      <w:pPr>
        <w:pStyle w:val="ListBullet"/>
        <w:spacing w:before="20" w:after="60" w:line="312" w:lineRule="auto"/>
        <w:ind w:left="432"/>
        <w:jc w:val="both"/>
      </w:pPr>
      <w:r>
        <w:rPr>
          <w:rFonts w:ascii="Times New Roman" w:hAnsi="Times New Roman"/>
          <w:b/>
          <w:sz w:val="24"/>
        </w:rPr>
        <w:t xml:space="preserve">Explainable Decision Auditing: </w:t>
      </w:r>
      <w:r>
        <w:rPr>
          <w:rFonts w:ascii="Times New Roman" w:hAnsi="Times New Roman"/>
          <w:sz w:val="24"/>
        </w:rPr>
        <w:t>Engineering users are provided with clear mathematical explanations for why winning materials achieved top rank and why specific candidates were excluded.</w:t>
      </w:r>
    </w:p>
    <w:p>
      <w:pPr>
        <w:pStyle w:val="ListBullet"/>
        <w:spacing w:before="20" w:after="60" w:line="312" w:lineRule="auto"/>
        <w:ind w:left="432"/>
        <w:jc w:val="both"/>
      </w:pPr>
      <w:r>
        <w:rPr>
          <w:rFonts w:ascii="Times New Roman" w:hAnsi="Times New Roman"/>
          <w:b/>
          <w:sz w:val="24"/>
        </w:rPr>
        <w:t xml:space="preserve">Deployment and Infrastructure Status Matrix: </w:t>
      </w:r>
      <w:r>
        <w:rPr>
          <w:rFonts w:ascii="Times New Roman" w:hAnsi="Times New Roman"/>
          <w:sz w:val="24"/>
        </w:rPr>
        <w:t>To distinguish completed implementation from hosting infrastructure constraints, Table 5.2 summarizes the operational deployment status.</w:t>
      </w:r>
    </w:p>
    <w:p>
      <w:pPr>
        <w:keepNext/>
        <w:spacing w:before="160" w:after="60"/>
        <w:jc w:val="left"/>
      </w:pPr>
      <w:r>
        <w:rPr>
          <w:rFonts w:ascii="Times New Roman" w:hAnsi="Times New Roman"/>
          <w:b/>
          <w:sz w:val="21"/>
        </w:rPr>
        <w:t>Table 5.2 — Deployment and Hosting Architecture Status Matrix.</w:t>
      </w:r>
    </w:p>
    <w:tbl>
      <w:tblPr>
        <w:tblW w:type="auto" w:w="0"/>
        <w:jc w:val="center"/>
        <w:tblLook w:firstColumn="1" w:firstRow="1" w:lastColumn="0" w:lastRow="0" w:noHBand="0" w:noVBand="1" w:val="04A0"/>
        <w:tblBorders>
          <w:top w:val="single" w:sz="4" w:space="0" w:color="B0B8C1"/>
          <w:left w:val="single" w:sz="4" w:space="0" w:color="B0B8C1"/>
          <w:bottom w:val="single" w:sz="4" w:space="0" w:color="B0B8C1"/>
          <w:right w:val="single" w:sz="4" w:space="0" w:color="B0B8C1"/>
          <w:insideH w:val="single" w:sz="4" w:space="0" w:color="B0B8C1"/>
          <w:insideV w:val="single" w:sz="4" w:space="0" w:color="B0B8C1"/>
        </w:tblBorders>
      </w:tblPr>
      <w:tblGrid>
        <w:gridCol w:w="2166"/>
        <w:gridCol w:w="2166"/>
        <w:gridCol w:w="2166"/>
        <w:gridCol w:w="2166"/>
      </w:tblGrid>
      <w:tr>
        <w:trPr>
          <w:cantSplit/>
          <w:tblHeader/>
        </w:trPr>
        <w:tc>
          <w:tcPr>
            <w:tcW w:type="dxa" w:w="2160"/>
            <w:shd w:val="clear" w:color="auto" w:fill="EAEFF5"/>
            <w:vAlign w:val="center"/>
          </w:tcPr>
          <w:p>
            <w:pPr>
              <w:spacing w:line="252" w:lineRule="auto" w:before="40" w:after="40"/>
              <w:jc w:val="left"/>
            </w:pPr>
            <w:r>
              <w:rPr>
                <w:rFonts w:ascii="Times New Roman" w:hAnsi="Times New Roman"/>
                <w:b/>
                <w:sz w:val="19"/>
              </w:rPr>
              <w:t>Deployment Environment</w:t>
            </w:r>
          </w:p>
        </w:tc>
        <w:tc>
          <w:tcPr>
            <w:tcW w:type="dxa" w:w="2592"/>
            <w:shd w:val="clear" w:color="auto" w:fill="EAEFF5"/>
            <w:vAlign w:val="center"/>
          </w:tcPr>
          <w:p>
            <w:pPr>
              <w:spacing w:line="252" w:lineRule="auto" w:before="40" w:after="40"/>
              <w:jc w:val="left"/>
            </w:pPr>
            <w:r>
              <w:rPr>
                <w:rFonts w:ascii="Times New Roman" w:hAnsi="Times New Roman"/>
                <w:b/>
                <w:sz w:val="19"/>
              </w:rPr>
              <w:t>Database Engine &amp; Version</w:t>
            </w:r>
          </w:p>
        </w:tc>
        <w:tc>
          <w:tcPr>
            <w:tcW w:type="dxa" w:w="2736"/>
            <w:shd w:val="clear" w:color="auto" w:fill="EAEFF5"/>
            <w:vAlign w:val="center"/>
          </w:tcPr>
          <w:p>
            <w:pPr>
              <w:spacing w:line="252" w:lineRule="auto" w:before="40" w:after="40"/>
              <w:jc w:val="left"/>
            </w:pPr>
            <w:r>
              <w:rPr>
                <w:rFonts w:ascii="Times New Roman" w:hAnsi="Times New Roman"/>
                <w:b/>
                <w:sz w:val="19"/>
              </w:rPr>
              <w:t>Dataset Scale &amp; Scope</w:t>
            </w:r>
          </w:p>
        </w:tc>
        <w:tc>
          <w:tcPr>
            <w:tcW w:type="dxa" w:w="1181"/>
            <w:shd w:val="clear" w:color="auto" w:fill="EAEFF5"/>
            <w:vAlign w:val="center"/>
          </w:tcPr>
          <w:p>
            <w:pPr>
              <w:spacing w:line="252" w:lineRule="auto" w:before="40" w:after="40"/>
              <w:jc w:val="left"/>
            </w:pPr>
            <w:r>
              <w:rPr>
                <w:rFonts w:ascii="Times New Roman" w:hAnsi="Times New Roman"/>
                <w:b/>
                <w:sz w:val="19"/>
              </w:rPr>
              <w:t>Operational Status</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Local Development</w:t>
            </w:r>
          </w:p>
        </w:tc>
        <w:tc>
          <w:tcPr>
            <w:tcW w:type="dxa" w:w="2592"/>
            <w:shd w:val="clear" w:color="auto" w:fill="FAFBFC"/>
            <w:vAlign w:val="center"/>
          </w:tcPr>
          <w:p>
            <w:pPr>
              <w:spacing w:line="252" w:lineRule="auto" w:before="20" w:after="20"/>
              <w:jc w:val="left"/>
            </w:pPr>
            <w:r>
              <w:rPr>
                <w:rFonts w:ascii="Times New Roman" w:hAnsi="Times New Roman"/>
                <w:sz w:val="18"/>
              </w:rPr>
              <w:t>MySQL Community 8.4.11</w:t>
            </w:r>
          </w:p>
        </w:tc>
        <w:tc>
          <w:tcPr>
            <w:tcW w:type="dxa" w:w="2736"/>
            <w:shd w:val="clear" w:color="auto" w:fill="FAFBFC"/>
            <w:vAlign w:val="center"/>
          </w:tcPr>
          <w:p>
            <w:pPr>
              <w:spacing w:line="252" w:lineRule="auto" w:before="20" w:after="20"/>
              <w:jc w:val="left"/>
            </w:pPr>
            <w:r>
              <w:rPr>
                <w:rFonts w:ascii="Times New Roman" w:hAnsi="Times New Roman"/>
                <w:sz w:val="18"/>
              </w:rPr>
              <w:t>Full 6,265,691 records across all 18 schema tables (5.48 GiB).</w:t>
            </w:r>
          </w:p>
        </w:tc>
        <w:tc>
          <w:tcPr>
            <w:tcW w:type="dxa" w:w="1181"/>
            <w:shd w:val="clear" w:color="auto" w:fill="FAFBFC"/>
            <w:vAlign w:val="center"/>
          </w:tcPr>
          <w:p>
            <w:pPr>
              <w:spacing w:line="252" w:lineRule="auto" w:before="20" w:after="20"/>
              <w:jc w:val="left"/>
            </w:pPr>
            <w:r>
              <w:rPr>
                <w:rFonts w:ascii="Times New Roman" w:hAnsi="Times New Roman"/>
                <w:sz w:val="18"/>
              </w:rPr>
              <w:t>VERIFIED &amp; FULLY OPERATIONAL</w:t>
            </w:r>
          </w:p>
        </w:tc>
      </w:tr>
      <w:tr>
        <w:trPr>
          <w:cantSplit/>
        </w:trPr>
        <w:tc>
          <w:tcPr>
            <w:tcW w:type="dxa" w:w="2160"/>
            <w:vAlign w:val="center"/>
          </w:tcPr>
          <w:p>
            <w:pPr>
              <w:spacing w:line="252" w:lineRule="auto" w:before="20" w:after="20"/>
              <w:jc w:val="left"/>
            </w:pPr>
            <w:r>
              <w:rPr>
                <w:rFonts w:ascii="Times New Roman" w:hAnsi="Times New Roman"/>
                <w:sz w:val="18"/>
              </w:rPr>
              <w:t>Cloud Staging (TiDB)</w:t>
            </w:r>
          </w:p>
        </w:tc>
        <w:tc>
          <w:tcPr>
            <w:tcW w:type="dxa" w:w="2592"/>
            <w:vAlign w:val="center"/>
          </w:tcPr>
          <w:p>
            <w:pPr>
              <w:spacing w:line="252" w:lineRule="auto" w:before="20" w:after="20"/>
              <w:jc w:val="left"/>
            </w:pPr>
            <w:r>
              <w:rPr>
                <w:rFonts w:ascii="Times New Roman" w:hAnsi="Times New Roman"/>
                <w:sz w:val="18"/>
              </w:rPr>
              <w:t>TiDB Cloud v8.5.3-serverless</w:t>
            </w:r>
          </w:p>
        </w:tc>
        <w:tc>
          <w:tcPr>
            <w:tcW w:type="dxa" w:w="2736"/>
            <w:vAlign w:val="center"/>
          </w:tcPr>
          <w:p>
            <w:pPr>
              <w:spacing w:line="252" w:lineRule="auto" w:before="20" w:after="20"/>
              <w:jc w:val="left"/>
            </w:pPr>
            <w:r>
              <w:rPr>
                <w:rFonts w:ascii="Times New Roman" w:hAnsi="Times New Roman"/>
                <w:sz w:val="18"/>
              </w:rPr>
              <w:t>14 collections transferred, verified schema with 20 tables.</w:t>
            </w:r>
          </w:p>
        </w:tc>
        <w:tc>
          <w:tcPr>
            <w:tcW w:type="dxa" w:w="1181"/>
            <w:vAlign w:val="center"/>
          </w:tcPr>
          <w:p>
            <w:pPr>
              <w:spacing w:line="252" w:lineRule="auto" w:before="20" w:after="20"/>
              <w:jc w:val="left"/>
            </w:pPr>
            <w:r>
              <w:rPr>
                <w:rFonts w:ascii="Times New Roman" w:hAnsi="Times New Roman"/>
                <w:sz w:val="18"/>
              </w:rPr>
              <w:t>VERIFIED &amp; STAGED</w:t>
            </w:r>
          </w:p>
        </w:tc>
      </w:tr>
      <w:tr>
        <w:trPr>
          <w:cantSplit/>
        </w:trPr>
        <w:tc>
          <w:tcPr>
            <w:tcW w:type="dxa" w:w="2160"/>
            <w:shd w:val="clear" w:color="auto" w:fill="FAFBFC"/>
            <w:vAlign w:val="center"/>
          </w:tcPr>
          <w:p>
            <w:pPr>
              <w:spacing w:line="252" w:lineRule="auto" w:before="20" w:after="20"/>
              <w:jc w:val="left"/>
            </w:pPr>
            <w:r>
              <w:rPr>
                <w:rFonts w:ascii="Times New Roman" w:hAnsi="Times New Roman"/>
                <w:sz w:val="18"/>
              </w:rPr>
              <w:t>Production Hosted Web</w:t>
            </w:r>
          </w:p>
        </w:tc>
        <w:tc>
          <w:tcPr>
            <w:tcW w:type="dxa" w:w="2592"/>
            <w:shd w:val="clear" w:color="auto" w:fill="FAFBFC"/>
            <w:vAlign w:val="center"/>
          </w:tcPr>
          <w:p>
            <w:pPr>
              <w:spacing w:line="252" w:lineRule="auto" w:before="20" w:after="20"/>
              <w:jc w:val="left"/>
            </w:pPr>
            <w:r>
              <w:rPr>
                <w:rFonts w:ascii="Times New Roman" w:hAnsi="Times New Roman"/>
                <w:sz w:val="18"/>
              </w:rPr>
              <w:t>Vercel + TiDB Cloud</w:t>
            </w:r>
          </w:p>
        </w:tc>
        <w:tc>
          <w:tcPr>
            <w:tcW w:type="dxa" w:w="2736"/>
            <w:shd w:val="clear" w:color="auto" w:fill="FAFBFC"/>
            <w:vAlign w:val="center"/>
          </w:tcPr>
          <w:p>
            <w:pPr>
              <w:spacing w:line="252" w:lineRule="auto" w:before="20" w:after="20"/>
              <w:jc w:val="left"/>
            </w:pPr>
            <w:r>
              <w:rPr>
                <w:rFonts w:ascii="Times New Roman" w:hAnsi="Times New Roman"/>
                <w:sz w:val="18"/>
              </w:rPr>
              <w:t>Target production deployment architecture.</w:t>
            </w:r>
          </w:p>
        </w:tc>
        <w:tc>
          <w:tcPr>
            <w:tcW w:type="dxa" w:w="1181"/>
            <w:shd w:val="clear" w:color="auto" w:fill="FAFBFC"/>
            <w:vAlign w:val="center"/>
          </w:tcPr>
          <w:p>
            <w:pPr>
              <w:spacing w:line="252" w:lineRule="auto" w:before="20" w:after="20"/>
              <w:jc w:val="left"/>
            </w:pPr>
            <w:r>
              <w:rPr>
                <w:rFonts w:ascii="Times New Roman" w:hAnsi="Times New Roman"/>
                <w:sz w:val="18"/>
              </w:rPr>
              <w:t>PENDING CLOUD STORAGE ALLOCATION</w:t>
            </w:r>
          </w:p>
        </w:tc>
      </w:tr>
    </w:tbl>
    <w:p>
      <w:pPr>
        <w:keepNext/>
        <w:pageBreakBefore/>
        <w:spacing w:before="360" w:after="280"/>
        <w:jc w:val="center"/>
      </w:pPr>
      <w:r>
        <w:rPr>
          <w:rFonts w:ascii="Times New Roman" w:hAnsi="Times New Roman"/>
          <w:b/>
          <w:sz w:val="32"/>
        </w:rPr>
        <w:t>6 CONCLUSION</w:t>
      </w:r>
    </w:p>
    <w:p>
      <w:pPr>
        <w:keepNext/>
        <w:spacing w:before="240" w:after="80"/>
        <w:jc w:val="left"/>
      </w:pPr>
      <w:r>
        <w:rPr>
          <w:rFonts w:ascii="Times New Roman" w:hAnsi="Times New Roman"/>
          <w:b/>
          <w:sz w:val="26"/>
        </w:rPr>
        <w:t>6.1 Conclusion</w:t>
      </w:r>
    </w:p>
    <w:p>
      <w:pPr>
        <w:spacing w:before="0" w:after="80" w:line="324" w:lineRule="auto"/>
        <w:jc w:val="both"/>
      </w:pPr>
      <w:r>
        <w:rPr>
          <w:rFonts w:ascii="Times New Roman" w:hAnsi="Times New Roman"/>
          <w:b w:val="0"/>
          <w:i w:val="0"/>
          <w:sz w:val="24"/>
        </w:rPr>
        <w:t>Starbase demonstrates that materials selection can be engineered as a rigorous, scalable database management system. By synthesizing Third Normal Form relational modeling, an extensible property-dictionary architecture, and composite B-tree indexing, the system successfully consolidates 6,265,691 material records from 14 global scientific repositories into a single unified catalog. Engineers can screen candidates against rigid physical boundaries, perform multi-objective trade-offs across normalized properties, audit complete experimental provenance, and collaborate in shared project workspaces. Starbase bridges the gap between academic computational science and real-world mechanical and electrical engineering design.</w:t>
      </w:r>
    </w:p>
    <w:p>
      <w:pPr>
        <w:keepNext/>
        <w:spacing w:before="240" w:after="80"/>
        <w:jc w:val="left"/>
      </w:pPr>
      <w:r>
        <w:rPr>
          <w:rFonts w:ascii="Times New Roman" w:hAnsi="Times New Roman"/>
          <w:b/>
          <w:sz w:val="26"/>
        </w:rPr>
        <w:t>6.2 Limitations</w:t>
      </w:r>
    </w:p>
    <w:p>
      <w:pPr>
        <w:spacing w:before="0" w:after="80" w:line="324" w:lineRule="auto"/>
        <w:jc w:val="both"/>
      </w:pPr>
      <w:r>
        <w:rPr>
          <w:rFonts w:ascii="Times New Roman" w:hAnsi="Times New Roman"/>
          <w:b w:val="0"/>
          <w:i w:val="0"/>
          <w:sz w:val="24"/>
        </w:rPr>
        <w:t>The current implementation has three recognized limitations:</w:t>
      </w:r>
    </w:p>
    <w:p>
      <w:pPr>
        <w:pStyle w:val="ListBullet"/>
        <w:spacing w:before="20" w:after="60" w:line="312" w:lineRule="auto"/>
        <w:ind w:left="432"/>
        <w:jc w:val="both"/>
      </w:pPr>
      <w:r>
        <w:rPr>
          <w:rFonts w:ascii="Times New Roman" w:hAnsi="Times New Roman"/>
          <w:b/>
          <w:sz w:val="24"/>
        </w:rPr>
        <w:t xml:space="preserve">Disparity Between Computed and Experimental Values: </w:t>
      </w:r>
      <w:r>
        <w:rPr>
          <w:rFonts w:ascii="Times New Roman" w:hAnsi="Times New Roman"/>
          <w:sz w:val="24"/>
        </w:rPr>
        <w:t>Over 95% of catalog records represent computational DFT calculations rather than certified experimental lab tests. While invaluable for initial screening, computed values cannot replace destructive testing for mission-critical flight hardware.</w:t>
      </w:r>
    </w:p>
    <w:p>
      <w:pPr>
        <w:pStyle w:val="ListBullet"/>
        <w:spacing w:before="20" w:after="60" w:line="312" w:lineRule="auto"/>
        <w:ind w:left="432"/>
        <w:jc w:val="both"/>
      </w:pPr>
      <w:r>
        <w:rPr>
          <w:rFonts w:ascii="Times New Roman" w:hAnsi="Times New Roman"/>
          <w:b/>
          <w:sz w:val="24"/>
        </w:rPr>
        <w:t xml:space="preserve">Extreme Attribute Sparsity: </w:t>
      </w:r>
      <w:r>
        <w:rPr>
          <w:rFonts w:ascii="Times New Roman" w:hAnsi="Times New Roman"/>
          <w:sz w:val="24"/>
        </w:rPr>
        <w:t>Because distinct scientific domains report fundamentally different properties, many cross-domain property comparisons are impossible due to missing data.</w:t>
      </w:r>
    </w:p>
    <w:p>
      <w:pPr>
        <w:pStyle w:val="ListBullet"/>
        <w:spacing w:before="20" w:after="60" w:line="312" w:lineRule="auto"/>
        <w:ind w:left="432"/>
        <w:jc w:val="both"/>
      </w:pPr>
      <w:r>
        <w:rPr>
          <w:rFonts w:ascii="Times New Roman" w:hAnsi="Times New Roman"/>
          <w:b/>
          <w:sz w:val="24"/>
        </w:rPr>
        <w:t xml:space="preserve">Unindexed Free-Text Search Latency: </w:t>
      </w:r>
      <w:r>
        <w:rPr>
          <w:rFonts w:ascii="Times New Roman" w:hAnsi="Times New Roman"/>
          <w:sz w:val="24"/>
        </w:rPr>
        <w:t>Executing unindexed substring searches (LIKE '%...%') across 6.26M rows requires full sequential scans taking minutes unless scoped by source or category.</w:t>
      </w:r>
    </w:p>
    <w:p>
      <w:pPr>
        <w:keepNext/>
        <w:spacing w:before="240" w:after="80"/>
        <w:jc w:val="left"/>
      </w:pPr>
      <w:r>
        <w:rPr>
          <w:rFonts w:ascii="Times New Roman" w:hAnsi="Times New Roman"/>
          <w:b/>
          <w:sz w:val="26"/>
        </w:rPr>
        <w:t>6.3 Future Enhancements</w:t>
      </w:r>
    </w:p>
    <w:p>
      <w:pPr>
        <w:spacing w:before="0" w:after="80" w:line="324" w:lineRule="auto"/>
        <w:jc w:val="both"/>
      </w:pPr>
      <w:r>
        <w:rPr>
          <w:rFonts w:ascii="Times New Roman" w:hAnsi="Times New Roman"/>
          <w:b w:val="0"/>
          <w:i w:val="0"/>
          <w:sz w:val="24"/>
        </w:rPr>
        <w:t>Future work will expand Starbase in four strategic directions:</w:t>
      </w:r>
    </w:p>
    <w:p>
      <w:pPr>
        <w:pStyle w:val="ListBullet"/>
        <w:spacing w:before="20" w:after="60" w:line="312" w:lineRule="auto"/>
        <w:ind w:left="432"/>
        <w:jc w:val="both"/>
      </w:pPr>
      <w:r>
        <w:rPr>
          <w:rFonts w:ascii="Times New Roman" w:hAnsi="Times New Roman"/>
          <w:b/>
          <w:sz w:val="24"/>
        </w:rPr>
        <w:t xml:space="preserve">Dedicated Inverted Search Engine: </w:t>
      </w:r>
      <w:r>
        <w:rPr>
          <w:rFonts w:ascii="Times New Roman" w:hAnsi="Times New Roman"/>
          <w:sz w:val="24"/>
        </w:rPr>
        <w:t>Integrating Elasticsearch or Meilisearch to provide sub-10ms fuzzy text search and grade synonym resolution across millions of materials.</w:t>
      </w:r>
    </w:p>
    <w:p>
      <w:pPr>
        <w:pStyle w:val="ListBullet"/>
        <w:spacing w:before="20" w:after="60" w:line="312" w:lineRule="auto"/>
        <w:ind w:left="432"/>
        <w:jc w:val="both"/>
      </w:pPr>
      <w:r>
        <w:rPr>
          <w:rFonts w:ascii="Times New Roman" w:hAnsi="Times New Roman"/>
          <w:b/>
          <w:sz w:val="24"/>
        </w:rPr>
        <w:t xml:space="preserve">Interactive 3D Molecular Sidecars: </w:t>
      </w:r>
      <w:r>
        <w:rPr>
          <w:rFonts w:ascii="Times New Roman" w:hAnsi="Times New Roman"/>
          <w:sz w:val="24"/>
        </w:rPr>
        <w:t>Embedding interactive Mol* or WebGL crystallographic visualizers directly into the material inspection interface.</w:t>
      </w:r>
    </w:p>
    <w:p>
      <w:pPr>
        <w:pStyle w:val="ListBullet"/>
        <w:spacing w:before="20" w:after="60" w:line="312" w:lineRule="auto"/>
        <w:ind w:left="432"/>
        <w:jc w:val="both"/>
      </w:pPr>
      <w:r>
        <w:rPr>
          <w:rFonts w:ascii="Times New Roman" w:hAnsi="Times New Roman"/>
          <w:b/>
          <w:sz w:val="24"/>
        </w:rPr>
        <w:t xml:space="preserve">Direct CAD / FEA Integration: </w:t>
      </w:r>
      <w:r>
        <w:rPr>
          <w:rFonts w:ascii="Times New Roman" w:hAnsi="Times New Roman"/>
          <w:sz w:val="24"/>
        </w:rPr>
        <w:t>Developing export plugins to automatically transfer temperature-dependent material property decks into SolidWorks, ANSYS, and FreeCAD.</w:t>
      </w:r>
    </w:p>
    <w:p>
      <w:pPr>
        <w:pStyle w:val="ListBullet"/>
        <w:spacing w:before="20" w:after="60" w:line="312" w:lineRule="auto"/>
        <w:ind w:left="432"/>
        <w:jc w:val="both"/>
      </w:pPr>
      <w:r>
        <w:rPr>
          <w:rFonts w:ascii="Times New Roman" w:hAnsi="Times New Roman"/>
          <w:b/>
          <w:sz w:val="24"/>
        </w:rPr>
        <w:t xml:space="preserve">AI-Assisted Requirement Extraction: </w:t>
      </w:r>
      <w:r>
        <w:rPr>
          <w:rFonts w:ascii="Times New Roman" w:hAnsi="Times New Roman"/>
          <w:sz w:val="24"/>
        </w:rPr>
        <w:t>Leveraging large language models to parse unstructured engineering design specifications into formal SQL screening constraints.</w:t>
      </w:r>
    </w:p>
    <w:p>
      <w:pPr>
        <w:keepNext/>
        <w:pageBreakBefore/>
        <w:spacing w:before="360" w:after="280"/>
        <w:jc w:val="center"/>
      </w:pPr>
      <w:r>
        <w:rPr>
          <w:rFonts w:ascii="Times New Roman" w:hAnsi="Times New Roman"/>
          <w:b/>
          <w:sz w:val="32"/>
        </w:rPr>
        <w:t>BIBLIOGRAPHY</w:t>
      </w:r>
    </w:p>
    <w:p>
      <w:pPr>
        <w:spacing w:before="40" w:after="80" w:line="276" w:lineRule="auto"/>
        <w:ind w:left="432" w:hanging="432"/>
        <w:jc w:val="both"/>
      </w:pPr>
      <w:r>
        <w:rPr>
          <w:rFonts w:ascii="Times New Roman" w:hAnsi="Times New Roman"/>
          <w:sz w:val="21"/>
        </w:rPr>
        <w:t>[1] A. Jain, S. P. Ong, G. Hautier, W. Chen, W. D. Richards, H. Dacek, S. Cholia, D. Gunter, D. Skinner, G. Ceder, and K. A. Persson, “Commentary: The Materials Project: A materials genome approach to accelerating materials innovation,” APL Materials, vol. 1, no. 1, p. 011002, 2013.</w:t>
      </w:r>
    </w:p>
    <w:p>
      <w:pPr>
        <w:spacing w:before="40" w:after="80" w:line="276" w:lineRule="auto"/>
        <w:ind w:left="432" w:hanging="432"/>
        <w:jc w:val="both"/>
      </w:pPr>
      <w:r>
        <w:rPr>
          <w:rFonts w:ascii="Times New Roman" w:hAnsi="Times New Roman"/>
          <w:sz w:val="21"/>
        </w:rPr>
        <w:t>[2] K. Choudhary, K. F. Garrity, A. C. E. Reid, B. DeCost, F. Tavazza, et al., “The joint automated repository for various integrated simulations (JARVIS) for data-driven materials design,” npj Computational Materials, vol. 6, art. 173, 2020.</w:t>
      </w:r>
    </w:p>
    <w:p>
      <w:pPr>
        <w:spacing w:before="40" w:after="80" w:line="276" w:lineRule="auto"/>
        <w:ind w:left="432" w:hanging="432"/>
        <w:jc w:val="both"/>
      </w:pPr>
      <w:r>
        <w:rPr>
          <w:rFonts w:ascii="Times New Roman" w:hAnsi="Times New Roman"/>
          <w:sz w:val="21"/>
        </w:rPr>
        <w:t>[3] S. Curtarolo, W. Setyawan, G. L. W. Hart, M. Jahnatek, R. V. Chepulskii, R. H. Taylor, S. Wang, J. Xue, K. Yang, O. Levy, et al., “AFLOW: An automatic framework for high-throughput materials discovery,” Computational Materials Science, vol. 58, pp. 218–226, 2012.</w:t>
      </w:r>
    </w:p>
    <w:p>
      <w:pPr>
        <w:spacing w:before="40" w:after="80" w:line="276" w:lineRule="auto"/>
        <w:ind w:left="432" w:hanging="432"/>
        <w:jc w:val="both"/>
      </w:pPr>
      <w:r>
        <w:rPr>
          <w:rFonts w:ascii="Times New Roman" w:hAnsi="Times New Roman"/>
          <w:sz w:val="21"/>
        </w:rPr>
        <w:t>[4] C. Draxl and M. Scheffler, “NOMAD: The FAIR concept for big data-driven materials science,” MRS Bulletin, vol. 43, no. 9, pp. 676–682, 2018.</w:t>
      </w:r>
    </w:p>
    <w:p>
      <w:pPr>
        <w:spacing w:before="40" w:after="80" w:line="276" w:lineRule="auto"/>
        <w:ind w:left="432" w:hanging="432"/>
        <w:jc w:val="both"/>
      </w:pPr>
      <w:r>
        <w:rPr>
          <w:rFonts w:ascii="Times New Roman" w:hAnsi="Times New Roman"/>
          <w:sz w:val="21"/>
        </w:rPr>
        <w:t>[5] A. Merchant, S. Batzner, S. S. Schoenholz, M. Aykol, G. Cheon, and E. D. Cubuk, “Scaling deep learning for materials discovery,” Nature, vol. 624, pp. 80–85, 2023.</w:t>
      </w:r>
    </w:p>
    <w:p>
      <w:pPr>
        <w:spacing w:before="40" w:after="80" w:line="276" w:lineRule="auto"/>
        <w:ind w:left="432" w:hanging="432"/>
        <w:jc w:val="both"/>
      </w:pPr>
      <w:r>
        <w:rPr>
          <w:rFonts w:ascii="Times New Roman" w:hAnsi="Times New Roman"/>
          <w:sz w:val="21"/>
        </w:rPr>
        <w:t>[6] C. K. H. Borg, C. Frey, J. Moh, and T. M. Pollock, “Expanded dataset of mechanical properties and observed phases of multi-principal element alloys,” Scientific Data, vol. 7, art. 430, 2020.</w:t>
      </w:r>
    </w:p>
    <w:p>
      <w:pPr>
        <w:spacing w:before="40" w:after="80" w:line="276" w:lineRule="auto"/>
        <w:ind w:left="432" w:hanging="432"/>
        <w:jc w:val="both"/>
      </w:pPr>
      <w:r>
        <w:rPr>
          <w:rFonts w:ascii="Times New Roman" w:hAnsi="Times New Roman"/>
          <w:sz w:val="21"/>
        </w:rPr>
        <w:t>[7] Alexandria Materials Database, Interdisciplinary Centre for Advanced Materials Simulation (ICAMS), Ruhr University Bochum. Available: https://alexandria.icams.rub.de/</w:t>
      </w:r>
    </w:p>
    <w:p>
      <w:pPr>
        <w:spacing w:before="40" w:after="80" w:line="276" w:lineRule="auto"/>
        <w:ind w:left="432" w:hanging="432"/>
        <w:jc w:val="both"/>
      </w:pPr>
      <w:r>
        <w:rPr>
          <w:rFonts w:ascii="Times New Roman" w:hAnsi="Times New Roman"/>
          <w:sz w:val="21"/>
        </w:rPr>
        <w:t>[8] National Institute of Standards and Technology (NIST), “JARVIS Leaderboard: Benchmark Evaluations for Materials Property Predictions.” Available: https://pages.nist.gov/jarvis_leaderboard/</w:t>
      </w:r>
    </w:p>
    <w:p>
      <w:pPr>
        <w:spacing w:before="40" w:after="80" w:line="276" w:lineRule="auto"/>
        <w:ind w:left="432" w:hanging="432"/>
        <w:jc w:val="both"/>
      </w:pPr>
      <w:r>
        <w:rPr>
          <w:rFonts w:ascii="Times New Roman" w:hAnsi="Times New Roman"/>
          <w:sz w:val="21"/>
        </w:rPr>
        <w:t>[9] NASA Ames Research Center, “Thermal Protection Materials Database (TPSX),” NASA Technical Data Systems. Available: https://tpsx.arc.nasa.gov/</w:t>
      </w:r>
    </w:p>
    <w:p>
      <w:pPr>
        <w:spacing w:before="40" w:after="80" w:line="276" w:lineRule="auto"/>
        <w:ind w:left="432" w:hanging="432"/>
        <w:jc w:val="both"/>
      </w:pPr>
      <w:r>
        <w:rPr>
          <w:rFonts w:ascii="Times New Roman" w:hAnsi="Times New Roman"/>
          <w:sz w:val="21"/>
        </w:rPr>
        <w:t>[10] NASA Goddard Space Flight Center, “Outgassing Data for Selecting Spacecraft Materials,” NASA Reference Publication 1124. Available: https://outgassing.nasa.gov/</w:t>
      </w:r>
    </w:p>
    <w:p>
      <w:pPr>
        <w:spacing w:before="40" w:after="80" w:line="276" w:lineRule="auto"/>
        <w:ind w:left="432" w:hanging="432"/>
        <w:jc w:val="both"/>
      </w:pPr>
      <w:r>
        <w:rPr>
          <w:rFonts w:ascii="Times New Roman" w:hAnsi="Times New Roman"/>
          <w:sz w:val="21"/>
        </w:rPr>
        <w:t>[11] MaterialRegistry, “Standard Engineering Material Registry &amp; Physical Properties API.” Available: https://www.materialregistry.com/docs/api</w:t>
      </w:r>
    </w:p>
    <w:p>
      <w:pPr>
        <w:spacing w:before="40" w:after="80" w:line="276" w:lineRule="auto"/>
        <w:ind w:left="432" w:hanging="432"/>
        <w:jc w:val="both"/>
      </w:pPr>
      <w:r>
        <w:rPr>
          <w:rFonts w:ascii="Times New Roman" w:hAnsi="Times New Roman"/>
          <w:sz w:val="21"/>
        </w:rPr>
        <w:t>[12] Outokumpu Stainless AB, “Product Datasheets: Core, Supra, and Forta Duplex Stainless Steels Technical Reference Guides,” 2024.</w:t>
      </w:r>
    </w:p>
    <w:p>
      <w:pPr>
        <w:spacing w:before="40" w:after="80" w:line="276" w:lineRule="auto"/>
        <w:ind w:left="432" w:hanging="432"/>
        <w:jc w:val="both"/>
      </w:pPr>
      <w:r>
        <w:rPr>
          <w:rFonts w:ascii="Times New Roman" w:hAnsi="Times New Roman"/>
          <w:sz w:val="21"/>
        </w:rPr>
        <w:t>[13] M. F. Ashby, Materials Selection in Mechanical Design, 5th ed. Oxford, UK: Butterworth-Heinemann, 2016.</w:t>
      </w:r>
    </w:p>
    <w:p>
      <w:pPr>
        <w:spacing w:before="40" w:after="80" w:line="276" w:lineRule="auto"/>
        <w:ind w:left="432" w:hanging="432"/>
        <w:jc w:val="both"/>
      </w:pPr>
      <w:r>
        <w:rPr>
          <w:rFonts w:ascii="Times New Roman" w:hAnsi="Times New Roman"/>
          <w:sz w:val="21"/>
        </w:rPr>
        <w:t>[14] R. Elmasri and S. B. Navathe, Fundamentals of Database Systems, 7th ed. Boston, MA: Pearson, 2016.</w:t>
      </w:r>
    </w:p>
    <w:p>
      <w:pPr>
        <w:spacing w:before="40" w:after="80" w:line="276" w:lineRule="auto"/>
        <w:ind w:left="432" w:hanging="432"/>
        <w:jc w:val="both"/>
      </w:pPr>
      <w:r>
        <w:rPr>
          <w:rFonts w:ascii="Times New Roman" w:hAnsi="Times New Roman"/>
          <w:sz w:val="21"/>
        </w:rPr>
        <w:t>[15] A. Silberschatz, H. F. Korth, and S. Sudarshan, Database System Concepts, 7th ed. New York, NY: McGraw-Hill, 2019.</w:t>
      </w:r>
    </w:p>
    <w:p>
      <w:pPr>
        <w:spacing w:before="40" w:after="80" w:line="276" w:lineRule="auto"/>
        <w:ind w:left="432" w:hanging="432"/>
        <w:jc w:val="both"/>
      </w:pPr>
      <w:r>
        <w:rPr>
          <w:rFonts w:ascii="Times New Roman" w:hAnsi="Times New Roman"/>
          <w:sz w:val="21"/>
        </w:rPr>
        <w:t>[16] Oracle Corporation, “MySQL 8.4 Reference Manual: InnoDB Storage Engine and Optimization Guidelines,” Oracle Technical Documentation, 2024. Available: https://dev.mysql.com/doc/refman/8.4/en/</w:t>
      </w:r>
    </w:p>
    <w:p>
      <w:pPr>
        <w:spacing w:before="40" w:after="80" w:line="276" w:lineRule="auto"/>
        <w:ind w:left="432" w:hanging="432"/>
        <w:jc w:val="both"/>
      </w:pPr>
      <w:r>
        <w:rPr>
          <w:rFonts w:ascii="Times New Roman" w:hAnsi="Times New Roman"/>
          <w:sz w:val="21"/>
        </w:rPr>
        <w:t>[17] PingCAP Inc., “TiDB Cloud Serverless Architecture and Distributed MySQL Compatibility Documentation,” 2024. Available: https://docs.pingcap.com/tidbcloud/</w:t>
      </w:r>
    </w:p>
    <w:p>
      <w:pPr>
        <w:spacing w:before="40" w:after="80" w:line="276" w:lineRule="auto"/>
        <w:ind w:left="432" w:hanging="432"/>
        <w:jc w:val="both"/>
      </w:pPr>
      <w:r>
        <w:rPr>
          <w:rFonts w:ascii="Times New Roman" w:hAnsi="Times New Roman"/>
          <w:sz w:val="21"/>
        </w:rPr>
        <w:t>[18] OpenJS Foundation, “Express.js 5.0 RESTful Routing and Web Application Framework Documentation,” 2024. Available: https://expressjs.com/</w:t>
      </w:r>
    </w:p>
    <w:p>
      <w:pPr>
        <w:spacing w:before="40" w:after="80" w:line="276" w:lineRule="auto"/>
        <w:ind w:left="432" w:hanging="432"/>
        <w:jc w:val="both"/>
      </w:pPr>
      <w:r>
        <w:rPr>
          <w:rFonts w:ascii="Times New Roman" w:hAnsi="Times New Roman"/>
          <w:sz w:val="21"/>
        </w:rPr>
        <w:t>[19] Meta Platforms Inc., “React 18: Concurrent Rendering and Component State Architecture,” 2024. Available: https://react.dev/</w:t>
      </w:r>
    </w:p>
    <w:p>
      <w:pPr>
        <w:spacing w:before="40" w:after="80" w:line="276" w:lineRule="auto"/>
        <w:ind w:left="432" w:hanging="432"/>
        <w:jc w:val="both"/>
      </w:pPr>
      <w:r>
        <w:rPr>
          <w:rFonts w:ascii="Times New Roman" w:hAnsi="Times New Roman"/>
          <w:sz w:val="21"/>
        </w:rPr>
        <w:t>[20] S. Poolakkal, B. EB, M. Antony, and S. Xavier, “Starbase: Relational Database System for Engineering Material Selection Source Code Repository,” 2026. Available: https://github.com/sudheeshpoolakkal/starbase</w:t>
      </w:r>
    </w:p>
    <w:sectPr w:rsidR="00FC693F" w:rsidRPr="0006063C" w:rsidSect="00034616">
      <w:footerReference w:type="default" r:id="rId11"/>
      <w:pgSz w:w="11905" w:h="16838"/>
      <w:pgMar w:top="1440" w:right="1440" w:bottom="1440" w:left="180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