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PersonalOS</w:t>
      </w:r>
    </w:p>
    <w:p>
      <w:pPr>
        <w:spacing w:after="600"/>
        <w:jc w:val="center"/>
      </w:pPr>
      <w:r>
        <w:rPr>
          <w:rFonts w:ascii="Arial" w:cs="Arial" w:eastAsia="Arial" w:hAnsi="Arial"/>
          <w:color w:val="566573"/>
          <w:sz w:val="36"/>
          <w:szCs w:val="36"/>
        </w:rPr>
        <w:t xml:space="preserve">The Personal Data Economy Platform</w:t>
      </w:r>
    </w:p>
    <w:p>
      <w:pPr>
        <w:spacing w:after="200"/>
        <w:jc w:val="center"/>
      </w:pPr>
      <w:r>
        <w:rPr>
          <w:rFonts w:ascii="Arial" w:cs="Arial" w:eastAsia="Arial" w:hAnsi="Arial"/>
          <w:color w:val="2C3E50"/>
          <w:sz w:val="28"/>
          <w:szCs w:val="28"/>
        </w:rPr>
        <w:t xml:space="preserve">Value Proposition &amp; Platform Architecture</w:t>
      </w:r>
    </w:p>
    <w:p>
      <w:pPr>
        <w:spacing w:before="2000"/>
      </w:pPr>
    </w:p>
    <w:p>
      <w:pPr>
        <w:spacing w:after="100"/>
        <w:jc w:val="center"/>
      </w:pPr>
      <w:r>
        <w:rPr>
          <w:rFonts w:ascii="Arial" w:cs="Arial" w:eastAsia="Arial" w:hAnsi="Arial"/>
          <w:i/>
          <w:iCs/>
          <w:color w:val="566573"/>
          <w:sz w:val="22"/>
          <w:szCs w:val="22"/>
        </w:rPr>
        <w:t xml:space="preserve">Confidential</w:t>
      </w:r>
    </w:p>
    <w:p>
      <w:pPr>
        <w:spacing w:after="100"/>
        <w:jc w:val="center"/>
      </w:pPr>
      <w:r>
        <w:rPr>
          <w:rFonts w:ascii="Arial" w:cs="Arial" w:eastAsia="Arial" w:hAnsi="Arial"/>
          <w:color w:val="566573"/>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6"/>
          <w:szCs w:val="36"/>
        </w:rPr>
        <w:t xml:space="preserve">Executive Summary</w:t>
      </w:r>
    </w:p>
    <w:p>
      <w:pPr>
        <w:spacing w:after="150"/>
      </w:pPr>
      <w:r>
        <w:rPr>
          <w:rFonts w:ascii="Arial" w:cs="Arial" w:eastAsia="Arial" w:hAnsi="Arial"/>
          <w:color w:val="566573"/>
          <w:sz w:val="22"/>
          <w:szCs w:val="22"/>
        </w:rPr>
        <w:t xml:space="preserve">PersonalOS is a consent-based data monetization platform that gives individuals ownership, control, and economic benefit from their personal data. The platform connects consumers (Souls) with brands through a transparent marketplace where every data exchange is explicitly consented, fairly compensated, and cryptographically verified on-chain.</w:t>
      </w:r>
    </w:p>
    <w:p>
      <w:pPr>
        <w:spacing w:after="150"/>
      </w:pPr>
      <w:r>
        <w:rPr>
          <w:rFonts w:ascii="Arial" w:cs="Arial" w:eastAsia="Arial" w:hAnsi="Arial"/>
          <w:color w:val="566573"/>
          <w:sz w:val="22"/>
          <w:szCs w:val="22"/>
        </w:rPr>
        <w:t xml:space="preserve">The global digital advertising industry spends over $500 billion annually with less than 10% measurable return. PersonalOS addresses this inefficiency by creating a direct channel between brands and verified, consenting consumers — eliminating intermediary data brokers and delivering 3-5x higher engagement rates through consent-verified audiences.</w:t>
      </w:r>
    </w:p>
    <w:p>
      <w:pPr>
        <w:pStyle w:val="Heading2"/>
        <w:spacing w:after="150" w:before="300"/>
      </w:pPr>
      <w:r>
        <w:rPr>
          <w:rFonts w:ascii="Arial" w:cs="Arial" w:eastAsia="Arial" w:hAnsi="Arial"/>
          <w:b/>
          <w:bCs/>
          <w:color w:val="2C3E50"/>
          <w:sz w:val="28"/>
          <w:szCs w:val="28"/>
        </w:rPr>
        <w:t xml:space="preserve">The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jc w:val="center"/>
            </w:pPr>
            <w:r>
              <w:rPr>
                <w:rFonts w:ascii="Arial" w:cs="Arial" w:eastAsia="Arial" w:hAnsi="Arial"/>
                <w:b/>
                <w:bCs/>
                <w:color w:val="1B4F72"/>
                <w:sz w:val="32"/>
                <w:szCs w:val="32"/>
              </w:rPr>
              <w:t xml:space="preserve">$500B+</w:t>
            </w:r>
          </w:p>
          <w:p>
            <w:pPr>
              <w:jc w:val="center"/>
            </w:pPr>
            <w:r>
              <w:rPr>
                <w:rFonts w:ascii="Arial" w:cs="Arial" w:eastAsia="Arial" w:hAnsi="Arial"/>
                <w:color w:val="566573"/>
                <w:sz w:val="18"/>
                <w:szCs w:val="18"/>
              </w:rPr>
              <w:t xml:space="preserve">Annual Ad Spend</w:t>
            </w:r>
          </w:p>
        </w:tc>
        <w:tc>
          <w:tcPr>
            <w:tcW w:type="dxa" w:w="234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jc w:val="center"/>
            </w:pPr>
            <w:r>
              <w:rPr>
                <w:rFonts w:ascii="Arial" w:cs="Arial" w:eastAsia="Arial" w:hAnsi="Arial"/>
                <w:b/>
                <w:bCs/>
                <w:color w:val="1B4F72"/>
                <w:sz w:val="32"/>
                <w:szCs w:val="32"/>
              </w:rPr>
              <w:t xml:space="preserve">&lt;10%</w:t>
            </w:r>
          </w:p>
          <w:p>
            <w:pPr>
              <w:jc w:val="center"/>
            </w:pPr>
            <w:r>
              <w:rPr>
                <w:rFonts w:ascii="Arial" w:cs="Arial" w:eastAsia="Arial" w:hAnsi="Arial"/>
                <w:color w:val="566573"/>
                <w:sz w:val="18"/>
                <w:szCs w:val="18"/>
              </w:rPr>
              <w:t xml:space="preserve">Measurable ROI</w:t>
            </w:r>
          </w:p>
        </w:tc>
        <w:tc>
          <w:tcPr>
            <w:tcW w:type="dxa" w:w="234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jc w:val="center"/>
            </w:pPr>
            <w:r>
              <w:rPr>
                <w:rFonts w:ascii="Arial" w:cs="Arial" w:eastAsia="Arial" w:hAnsi="Arial"/>
                <w:b/>
                <w:bCs/>
                <w:color w:val="1B4F72"/>
                <w:sz w:val="32"/>
                <w:szCs w:val="32"/>
              </w:rPr>
              <w:t xml:space="preserve">$250B</w:t>
            </w:r>
          </w:p>
          <w:p>
            <w:pPr>
              <w:jc w:val="center"/>
            </w:pPr>
            <w:r>
              <w:rPr>
                <w:rFonts w:ascii="Arial" w:cs="Arial" w:eastAsia="Arial" w:hAnsi="Arial"/>
                <w:color w:val="566573"/>
                <w:sz w:val="18"/>
                <w:szCs w:val="18"/>
              </w:rPr>
              <w:t xml:space="preserve">Data Broker Revenue</w:t>
            </w:r>
          </w:p>
        </w:tc>
        <w:tc>
          <w:tcPr>
            <w:tcW w:type="dxa" w:w="234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spacing w:after="40"/>
              <w:jc w:val="center"/>
            </w:pPr>
            <w:r>
              <w:rPr>
                <w:rFonts w:ascii="Arial" w:cs="Arial" w:eastAsia="Arial" w:hAnsi="Arial"/>
                <w:b/>
                <w:bCs/>
                <w:color w:val="1B4F72"/>
                <w:sz w:val="32"/>
                <w:szCs w:val="32"/>
              </w:rPr>
              <w:t xml:space="preserve">$0</w:t>
            </w:r>
          </w:p>
          <w:p>
            <w:pPr>
              <w:jc w:val="center"/>
            </w:pPr>
            <w:r>
              <w:rPr>
                <w:rFonts w:ascii="Arial" w:cs="Arial" w:eastAsia="Arial" w:hAnsi="Arial"/>
                <w:color w:val="566573"/>
                <w:sz w:val="18"/>
                <w:szCs w:val="18"/>
              </w:rPr>
              <w:t xml:space="preserve">Consumer Share</w:t>
            </w:r>
          </w:p>
        </w:tc>
      </w:tr>
    </w:tbl>
    <w:p>
      <w:pPr>
        <w:spacing w:after="200"/>
      </w:pPr>
    </w:p>
    <w:p>
      <w:pPr>
        <w:spacing w:after="150"/>
      </w:pPr>
      <w:r>
        <w:rPr>
          <w:rFonts w:ascii="Arial" w:cs="Arial" w:eastAsia="Arial" w:hAnsi="Arial"/>
          <w:color w:val="566573"/>
          <w:sz w:val="22"/>
          <w:szCs w:val="22"/>
        </w:rPr>
        <w:t xml:space="preserve">Consumers generate billions of data points daily across financial transactions, health metrics, location patterns, and digital interactions. Today, this data is harvested without meaningful consent, aggregated by data brokers, and sold to advertisers — with zero compensation flowing back to the individual.</w:t>
      </w:r>
    </w:p>
    <w:p>
      <w:pPr>
        <w:spacing w:after="150"/>
      </w:pPr>
      <w:r>
        <w:rPr>
          <w:rFonts w:ascii="Arial" w:cs="Arial" w:eastAsia="Arial" w:hAnsi="Arial"/>
          <w:color w:val="566573"/>
          <w:sz w:val="22"/>
          <w:szCs w:val="22"/>
        </w:rPr>
        <w:t xml:space="preserve">PersonalOS flips this model: consumers explicitly choose what to share, with whom, for how much. Brands get higher-quality, consent-verified data. Consumers get paid. Trust replaces surveillance.</w:t>
      </w:r>
    </w:p>
    <w:p>
      <w:pPr>
        <w:pStyle w:val="Heading2"/>
        <w:spacing w:after="150" w:before="300"/>
      </w:pPr>
      <w:r>
        <w:rPr>
          <w:rFonts w:ascii="Arial" w:cs="Arial" w:eastAsia="Arial" w:hAnsi="Arial"/>
          <w:b/>
          <w:bCs/>
          <w:color w:val="2C3E50"/>
          <w:sz w:val="28"/>
          <w:szCs w:val="28"/>
        </w:rPr>
        <w:t xml:space="preserve">Platform Overview</w:t>
      </w:r>
    </w:p>
    <w:p>
      <w:pPr>
        <w:spacing w:after="150"/>
      </w:pPr>
      <w:r>
        <w:rPr>
          <w:rFonts w:ascii="Arial" w:cs="Arial" w:eastAsia="Arial" w:hAnsi="Arial"/>
          <w:color w:val="566573"/>
          <w:sz w:val="22"/>
          <w:szCs w:val="22"/>
        </w:rPr>
        <w:t xml:space="preserve">PersonalOS operates as a four-sided platform:</w:t>
      </w:r>
    </w:p>
    <w:p>
      <w:pPr>
        <w:pStyle w:val="ListParagraph"/>
        <w:numPr>
          <w:ilvl w:val="0"/>
          <w:numId w:val="2"/>
        </w:numPr>
        <w:spacing w:after="80"/>
      </w:pPr>
      <w:r>
        <w:rPr>
          <w:rFonts w:ascii="Arial" w:cs="Arial" w:eastAsia="Arial" w:hAnsi="Arial"/>
          <w:color w:val="566573"/>
          <w:sz w:val="22"/>
          <w:szCs w:val="22"/>
        </w:rPr>
        <w:t xml:space="preserve">Soul App — Consumer-facing mobile application for data management, monetization, and personal analytics</w:t>
      </w:r>
    </w:p>
    <w:p>
      <w:pPr>
        <w:pStyle w:val="ListParagraph"/>
        <w:numPr>
          <w:ilvl w:val="0"/>
          <w:numId w:val="2"/>
        </w:numPr>
        <w:spacing w:after="80"/>
      </w:pPr>
      <w:r>
        <w:rPr>
          <w:rFonts w:ascii="Arial" w:cs="Arial" w:eastAsia="Arial" w:hAnsi="Arial"/>
          <w:color w:val="566573"/>
          <w:sz w:val="22"/>
          <w:szCs w:val="22"/>
        </w:rPr>
        <w:t xml:space="preserve">Operator Control Tower — Marketplace orchestration console managing matching, scoring, and settlement</w:t>
      </w:r>
    </w:p>
    <w:p>
      <w:pPr>
        <w:pStyle w:val="ListParagraph"/>
        <w:numPr>
          <w:ilvl w:val="0"/>
          <w:numId w:val="2"/>
        </w:numPr>
        <w:spacing w:after="80"/>
      </w:pPr>
      <w:r>
        <w:rPr>
          <w:rFonts w:ascii="Arial" w:cs="Arial" w:eastAsia="Arial" w:hAnsi="Arial"/>
          <w:color w:val="566573"/>
          <w:sz w:val="22"/>
          <w:szCs w:val="22"/>
        </w:rPr>
        <w:t xml:space="preserve">Marketplace — The consent-based exchange protocol with on-chain escrow and settlement</w:t>
      </w:r>
    </w:p>
    <w:p>
      <w:pPr>
        <w:pStyle w:val="ListParagraph"/>
        <w:numPr>
          <w:ilvl w:val="0"/>
          <w:numId w:val="2"/>
        </w:numPr>
        <w:spacing w:after="80"/>
      </w:pPr>
      <w:r>
        <w:rPr>
          <w:rFonts w:ascii="Arial" w:cs="Arial" w:eastAsia="Arial" w:hAnsi="Arial"/>
          <w:color w:val="566573"/>
          <w:sz w:val="22"/>
          <w:szCs w:val="22"/>
        </w:rPr>
        <w:t xml:space="preserve">Brand Portal — Brand onboarding, campaign management, and reputation scorecarding</w:t>
      </w:r>
    </w:p>
    <w:p>
      <w:r>
        <w:br w:type="page"/>
      </w:r>
    </w:p>
    <w:p>
      <w:pPr>
        <w:pStyle w:val="Heading1"/>
        <w:spacing w:after="200" w:before="400"/>
      </w:pPr>
      <w:r>
        <w:rPr>
          <w:rFonts w:ascii="Arial" w:cs="Arial" w:eastAsia="Arial" w:hAnsi="Arial"/>
          <w:b/>
          <w:bCs/>
          <w:color w:val="1B4F72"/>
          <w:sz w:val="36"/>
          <w:szCs w:val="36"/>
        </w:rPr>
        <w:t xml:space="preserve">1. Soul App</w:t>
      </w:r>
    </w:p>
    <w:p>
      <w:pPr>
        <w:spacing w:after="150"/>
      </w:pPr>
      <w:r>
        <w:rPr>
          <w:rFonts w:ascii="Arial" w:cs="Arial" w:eastAsia="Arial" w:hAnsi="Arial"/>
          <w:color w:val="566573"/>
          <w:sz w:val="22"/>
          <w:szCs w:val="22"/>
        </w:rPr>
        <w:t xml:space="preserve">The Soul App is the consumer-facing interface where individuals take ownership of their personal data, gain unprecedented self-insight, and earn passive income from brands who value their attention and consent.</w:t>
      </w:r>
    </w:p>
    <w:p>
      <w:pPr>
        <w:pStyle w:val="Heading2"/>
        <w:spacing w:after="150" w:before="300"/>
      </w:pPr>
      <w:r>
        <w:rPr>
          <w:rFonts w:ascii="Arial" w:cs="Arial" w:eastAsia="Arial" w:hAnsi="Arial"/>
          <w:b/>
          <w:bCs/>
          <w:color w:val="2C3E50"/>
          <w:sz w:val="28"/>
          <w:szCs w:val="28"/>
        </w:rPr>
        <w:t xml:space="preserve">1.1 Core Value Proposition: Know Yourself</w:t>
      </w:r>
    </w:p>
    <w:p>
      <w:pPr>
        <w:spacing w:after="150"/>
      </w:pPr>
      <w:r>
        <w:rPr>
          <w:rFonts w:ascii="Arial" w:cs="Arial" w:eastAsia="Arial" w:hAnsi="Arial"/>
          <w:color w:val="566573"/>
          <w:sz w:val="22"/>
          <w:szCs w:val="22"/>
        </w:rPr>
        <w:t xml:space="preserve">For the first time, consumers can see a unified picture of who they are across all their digital touchpoints. No single app today can show you the composite view — Uber knows your travel, Amazon knows your purchases, Apple Health knows your body, Plaid knows your finances. PersonalOS brings it all together.</w:t>
      </w:r>
    </w:p>
    <w:p>
      <w:pPr>
        <w:pStyle w:val="Heading3"/>
        <w:spacing w:after="100" w:before="200"/>
      </w:pPr>
      <w:r>
        <w:rPr>
          <w:rFonts w:ascii="Arial" w:cs="Arial" w:eastAsia="Arial" w:hAnsi="Arial"/>
          <w:b/>
          <w:bCs/>
          <w:color w:val="2E86C1"/>
          <w:sz w:val="24"/>
          <w:szCs w:val="24"/>
        </w:rPr>
        <w:t xml:space="preserve">Insight Cards (Cross-Source Synthesis)</w:t>
      </w:r>
    </w:p>
    <w:p>
      <w:pPr>
        <w:pStyle w:val="ListParagraph"/>
        <w:numPr>
          <w:ilvl w:val="0"/>
          <w:numId w:val="2"/>
        </w:numPr>
        <w:spacing w:after="80"/>
      </w:pPr>
      <w:r>
        <w:rPr>
          <w:rFonts w:ascii="Arial" w:cs="Arial" w:eastAsia="Arial" w:hAnsi="Arial"/>
          <w:color w:val="566573"/>
          <w:sz w:val="22"/>
          <w:szCs w:val="22"/>
        </w:rPr>
        <w:t xml:space="preserve">Convenience Score — What percentage of spending goes to time-savings (delivery, rideshares, impulse purchases). Powered by Plaid + Uber + Amazon.</w:t>
      </w:r>
    </w:p>
    <w:p>
      <w:pPr>
        <w:pStyle w:val="ListParagraph"/>
        <w:numPr>
          <w:ilvl w:val="0"/>
          <w:numId w:val="2"/>
        </w:numPr>
        <w:spacing w:after="80"/>
      </w:pPr>
      <w:r>
        <w:rPr>
          <w:rFonts w:ascii="Arial" w:cs="Arial" w:eastAsia="Arial" w:hAnsi="Arial"/>
          <w:color w:val="566573"/>
          <w:sz w:val="22"/>
          <w:szCs w:val="22"/>
        </w:rPr>
        <w:t xml:space="preserve">Body-Budget Connection — Correlation between fitness activity and discretionary spending patterns. Powered by Apple Health + Plaid.</w:t>
      </w:r>
    </w:p>
    <w:p>
      <w:pPr>
        <w:pStyle w:val="ListParagraph"/>
        <w:numPr>
          <w:ilvl w:val="0"/>
          <w:numId w:val="2"/>
        </w:numPr>
        <w:spacing w:after="80"/>
      </w:pPr>
      <w:r>
        <w:rPr>
          <w:rFonts w:ascii="Arial" w:cs="Arial" w:eastAsia="Arial" w:hAnsi="Arial"/>
          <w:color w:val="566573"/>
          <w:sz w:val="22"/>
          <w:szCs w:val="22"/>
        </w:rPr>
        <w:t xml:space="preserve">Your Rhythm — A 24-hour clock visualization of when you shop, move, post, and spend. Powered by all connected sources.</w:t>
      </w:r>
    </w:p>
    <w:p>
      <w:pPr>
        <w:pStyle w:val="ListParagraph"/>
        <w:numPr>
          <w:ilvl w:val="0"/>
          <w:numId w:val="2"/>
        </w:numPr>
        <w:spacing w:after="80"/>
      </w:pPr>
      <w:r>
        <w:rPr>
          <w:rFonts w:ascii="Arial" w:cs="Arial" w:eastAsia="Arial" w:hAnsi="Arial"/>
          <w:color w:val="566573"/>
          <w:sz w:val="22"/>
          <w:szCs w:val="22"/>
        </w:rPr>
        <w:t xml:space="preserve">Digital Footprint Size — How much data you generate monthly across all platforms. A single number that contextualizes your digital presence.</w:t>
      </w:r>
    </w:p>
    <w:p>
      <w:pPr>
        <w:pStyle w:val="ListParagraph"/>
        <w:numPr>
          <w:ilvl w:val="0"/>
          <w:numId w:val="2"/>
        </w:numPr>
        <w:spacing w:after="80"/>
      </w:pPr>
      <w:r>
        <w:rPr>
          <w:rFonts w:ascii="Arial" w:cs="Arial" w:eastAsia="Arial" w:hAnsi="Arial"/>
          <w:color w:val="566573"/>
          <w:sz w:val="22"/>
          <w:szCs w:val="22"/>
        </w:rPr>
        <w:t xml:space="preserve">Real Categories — Behavioral archetypes derived from actual patterns: night-owl impulse buyer, weekend warrior, subscription stacker.</w:t>
      </w:r>
    </w:p>
    <w:p>
      <w:pPr>
        <w:pStyle w:val="Heading3"/>
        <w:spacing w:after="100" w:before="200"/>
      </w:pPr>
      <w:r>
        <w:rPr>
          <w:rFonts w:ascii="Arial" w:cs="Arial" w:eastAsia="Arial" w:hAnsi="Arial"/>
          <w:b/>
          <w:bCs/>
          <w:color w:val="2E86C1"/>
          <w:sz w:val="24"/>
          <w:szCs w:val="24"/>
        </w:rPr>
        <w:t xml:space="preserve">Personal AI Agent</w:t>
      </w:r>
    </w:p>
    <w:p>
      <w:pPr>
        <w:spacing w:after="150"/>
      </w:pPr>
      <w:r>
        <w:rPr>
          <w:rFonts w:ascii="Arial" w:cs="Arial" w:eastAsia="Arial" w:hAnsi="Arial"/>
          <w:color w:val="566573"/>
          <w:sz w:val="22"/>
          <w:szCs w:val="22"/>
        </w:rPr>
        <w:t xml:space="preserve">A weekly AI-powered narrative that synthesizes patterns across all connected data sources. The agent identifies inflection points, emerging trends, and actionable insights:</w:t>
      </w:r>
    </w:p>
    <w:p>
      <w:pPr>
        <w:pStyle w:val="ListParagraph"/>
        <w:numPr>
          <w:ilvl w:val="0"/>
          <w:numId w:val="2"/>
        </w:numPr>
        <w:spacing w:after="80"/>
      </w:pPr>
      <w:r>
        <w:rPr>
          <w:rFonts w:ascii="Arial" w:cs="Arial" w:eastAsia="Arial" w:hAnsi="Arial"/>
          <w:color w:val="566573"/>
          <w:sz w:val="22"/>
          <w:szCs w:val="22"/>
        </w:rPr>
        <w:t xml:space="preserve">Pattern-triggered alerts when significant changes occur (spending shifts, fitness declines, routine breaks)</w:t>
      </w:r>
    </w:p>
    <w:p>
      <w:pPr>
        <w:pStyle w:val="ListParagraph"/>
        <w:numPr>
          <w:ilvl w:val="0"/>
          <w:numId w:val="2"/>
        </w:numPr>
        <w:spacing w:after="80"/>
      </w:pPr>
      <w:r>
        <w:rPr>
          <w:rFonts w:ascii="Arial" w:cs="Arial" w:eastAsia="Arial" w:hAnsi="Arial"/>
          <w:color w:val="566573"/>
          <w:sz w:val="22"/>
          <w:szCs w:val="22"/>
        </w:rPr>
        <w:t xml:space="preserve">Weekly digest summarizing your week across all dimensions</w:t>
      </w:r>
    </w:p>
    <w:p>
      <w:pPr>
        <w:pStyle w:val="ListParagraph"/>
        <w:numPr>
          <w:ilvl w:val="0"/>
          <w:numId w:val="2"/>
        </w:numPr>
        <w:spacing w:after="80"/>
      </w:pPr>
      <w:r>
        <w:rPr>
          <w:rFonts w:ascii="Arial" w:cs="Arial" w:eastAsia="Arial" w:hAnsi="Arial"/>
          <w:color w:val="566573"/>
          <w:sz w:val="22"/>
          <w:szCs w:val="22"/>
        </w:rPr>
        <w:t xml:space="preserve">Privacy-preserving architecture: raw data stays on-device, only pre-aggregated summaries reach the AI model via ephemeral, zero-retention API calls</w:t>
      </w:r>
    </w:p>
    <w:p>
      <w:pPr>
        <w:pStyle w:val="Heading2"/>
        <w:spacing w:after="150" w:before="300"/>
      </w:pPr>
      <w:r>
        <w:rPr>
          <w:rFonts w:ascii="Arial" w:cs="Arial" w:eastAsia="Arial" w:hAnsi="Arial"/>
          <w:b/>
          <w:bCs/>
          <w:color w:val="2C3E50"/>
          <w:sz w:val="28"/>
          <w:szCs w:val="28"/>
        </w:rPr>
        <w:t xml:space="preserve">1.2 Data Monetization</w:t>
      </w:r>
    </w:p>
    <w:p>
      <w:pPr>
        <w:spacing w:after="150"/>
      </w:pPr>
      <w:r>
        <w:rPr>
          <w:rFonts w:ascii="Arial" w:cs="Arial" w:eastAsia="Arial" w:hAnsi="Arial"/>
          <w:color w:val="566573"/>
          <w:sz w:val="22"/>
          <w:szCs w:val="22"/>
        </w:rPr>
        <w:t xml:space="preserve">Beyond self-insight, Soul App enables passive income through consent-based data sharing with brands:</w:t>
      </w:r>
    </w:p>
    <w:p>
      <w:pPr>
        <w:pStyle w:val="ListParagraph"/>
        <w:numPr>
          <w:ilvl w:val="0"/>
          <w:numId w:val="2"/>
        </w:numPr>
        <w:spacing w:after="80"/>
      </w:pPr>
      <w:r>
        <w:rPr>
          <w:rFonts w:ascii="Arial" w:cs="Arial" w:eastAsia="Arial" w:hAnsi="Arial"/>
          <w:color w:val="566573"/>
          <w:sz w:val="22"/>
          <w:szCs w:val="22"/>
        </w:rPr>
        <w:t xml:space="preserve">Browse personalized offers from brands seeking your specific data categories</w:t>
      </w:r>
    </w:p>
    <w:p>
      <w:pPr>
        <w:pStyle w:val="ListParagraph"/>
        <w:numPr>
          <w:ilvl w:val="0"/>
          <w:numId w:val="2"/>
        </w:numPr>
        <w:spacing w:after="80"/>
      </w:pPr>
      <w:r>
        <w:rPr>
          <w:rFonts w:ascii="Arial" w:cs="Arial" w:eastAsia="Arial" w:hAnsi="Arial"/>
          <w:color w:val="566573"/>
          <w:sz w:val="22"/>
          <w:szCs w:val="22"/>
        </w:rPr>
        <w:t xml:space="preserve">See exactly what data points each brand requests — radical transparency</w:t>
      </w:r>
    </w:p>
    <w:p>
      <w:pPr>
        <w:pStyle w:val="ListParagraph"/>
        <w:numPr>
          <w:ilvl w:val="0"/>
          <w:numId w:val="2"/>
        </w:numPr>
        <w:spacing w:after="80"/>
      </w:pPr>
      <w:r>
        <w:rPr>
          <w:rFonts w:ascii="Arial" w:cs="Arial" w:eastAsia="Arial" w:hAnsi="Arial"/>
          <w:color w:val="566573"/>
          <w:sz w:val="22"/>
          <w:szCs w:val="22"/>
        </w:rPr>
        <w:t xml:space="preserve">Accept or reject with one tap; receive USDC micropayments instantly on-chain</w:t>
      </w:r>
    </w:p>
    <w:p>
      <w:pPr>
        <w:pStyle w:val="ListParagraph"/>
        <w:numPr>
          <w:ilvl w:val="0"/>
          <w:numId w:val="2"/>
        </w:numPr>
        <w:spacing w:after="80"/>
      </w:pPr>
      <w:r>
        <w:rPr>
          <w:rFonts w:ascii="Arial" w:cs="Arial" w:eastAsia="Arial" w:hAnsi="Arial"/>
          <w:color w:val="566573"/>
          <w:sz w:val="22"/>
          <w:szCs w:val="22"/>
        </w:rPr>
        <w:t xml:space="preserve">Revoke consent at any time; previously shared data cannot be re-accessed</w:t>
      </w:r>
    </w:p>
    <w:p>
      <w:pPr>
        <w:pStyle w:val="Heading3"/>
        <w:spacing w:after="100" w:before="200"/>
      </w:pPr>
      <w:r>
        <w:rPr>
          <w:rFonts w:ascii="Arial" w:cs="Arial" w:eastAsia="Arial" w:hAnsi="Arial"/>
          <w:b/>
          <w:bCs/>
          <w:color w:val="2E86C1"/>
          <w:sz w:val="24"/>
          <w:szCs w:val="24"/>
        </w:rPr>
        <w:t xml:space="preserve">Earnings Model</w:t>
      </w:r>
    </w:p>
    <w:p>
      <w:pPr>
        <w:spacing w:after="150"/>
      </w:pPr>
      <w:r>
        <w:rPr>
          <w:rFonts w:ascii="Arial" w:cs="Arial" w:eastAsia="Arial" w:hAnsi="Arial"/>
          <w:color w:val="566573"/>
          <w:sz w:val="22"/>
          <w:szCs w:val="22"/>
        </w:rPr>
        <w:t xml:space="preserve">Typical earnings range from $3-15/month depending on number of connected sources and consent breadth. High-value categories (financial data, health metrics) command premium bids of $3-5 per claim, while lifestyle data (location, dining) ranges $0.50-2.</w:t>
      </w:r>
    </w:p>
    <w:p>
      <w:pPr>
        <w:pStyle w:val="Heading2"/>
        <w:spacing w:after="150" w:before="300"/>
      </w:pPr>
      <w:r>
        <w:rPr>
          <w:rFonts w:ascii="Arial" w:cs="Arial" w:eastAsia="Arial" w:hAnsi="Arial"/>
          <w:b/>
          <w:bCs/>
          <w:color w:val="2C3E50"/>
          <w:sz w:val="28"/>
          <w:szCs w:val="28"/>
        </w:rPr>
        <w:t xml:space="preserve">1.3 Trust Architecture</w:t>
      </w:r>
    </w:p>
    <w:p>
      <w:pPr>
        <w:pStyle w:val="ListParagraph"/>
        <w:numPr>
          <w:ilvl w:val="0"/>
          <w:numId w:val="2"/>
        </w:numPr>
        <w:spacing w:after="80"/>
      </w:pPr>
      <w:r>
        <w:rPr>
          <w:rFonts w:ascii="Arial" w:cs="Arial" w:eastAsia="Arial" w:hAnsi="Arial"/>
          <w:color w:val="566573"/>
          <w:sz w:val="22"/>
          <w:szCs w:val="22"/>
        </w:rPr>
        <w:t xml:space="preserve">Raw data never leaves the device — only aggregated summaries are processed server-side</w:t>
      </w:r>
    </w:p>
    <w:p>
      <w:pPr>
        <w:pStyle w:val="ListParagraph"/>
        <w:numPr>
          <w:ilvl w:val="0"/>
          <w:numId w:val="2"/>
        </w:numPr>
        <w:spacing w:after="80"/>
      </w:pPr>
      <w:r>
        <w:rPr>
          <w:rFonts w:ascii="Arial" w:cs="Arial" w:eastAsia="Arial" w:hAnsi="Arial"/>
          <w:color w:val="566573"/>
          <w:sz w:val="22"/>
          <w:szCs w:val="22"/>
        </w:rPr>
        <w:t xml:space="preserve">Every settlement generates an immutable on-chain receipt verifiable on Base blockchain</w:t>
      </w:r>
    </w:p>
    <w:p>
      <w:pPr>
        <w:pStyle w:val="ListParagraph"/>
        <w:numPr>
          <w:ilvl w:val="0"/>
          <w:numId w:val="2"/>
        </w:numPr>
        <w:spacing w:after="80"/>
      </w:pPr>
      <w:r>
        <w:rPr>
          <w:rFonts w:ascii="Arial" w:cs="Arial" w:eastAsia="Arial" w:hAnsi="Arial"/>
          <w:color w:val="566573"/>
          <w:sz w:val="22"/>
          <w:szCs w:val="22"/>
        </w:rPr>
        <w:t xml:space="preserve">Personal data audit: complete history of what was shared, with whom, for how much</w:t>
      </w:r>
    </w:p>
    <w:p>
      <w:pPr>
        <w:pStyle w:val="ListParagraph"/>
        <w:numPr>
          <w:ilvl w:val="0"/>
          <w:numId w:val="2"/>
        </w:numPr>
        <w:spacing w:after="80"/>
      </w:pPr>
      <w:r>
        <w:rPr>
          <w:rFonts w:ascii="Arial" w:cs="Arial" w:eastAsia="Arial" w:hAnsi="Arial"/>
          <w:color w:val="566573"/>
          <w:sz w:val="22"/>
          <w:szCs w:val="22"/>
        </w:rPr>
        <w:t xml:space="preserve">Consent-source uniqueness ensures one real person per account (Sybil-resistant by design)</w:t>
      </w:r>
    </w:p>
    <w:p>
      <w:pPr>
        <w:pStyle w:val="Heading2"/>
        <w:spacing w:after="150" w:before="300"/>
      </w:pPr>
      <w:r>
        <w:rPr>
          <w:rFonts w:ascii="Arial" w:cs="Arial" w:eastAsia="Arial" w:hAnsi="Arial"/>
          <w:b/>
          <w:bCs/>
          <w:color w:val="2C3E50"/>
          <w:sz w:val="28"/>
          <w:szCs w:val="28"/>
        </w:rPr>
        <w:t xml:space="preserve">1.4 Progressive Onboarding</w:t>
      </w:r>
    </w:p>
    <w:p>
      <w:pPr>
        <w:spacing w:after="150"/>
      </w:pPr>
      <w:r>
        <w:rPr>
          <w:rFonts w:ascii="Arial" w:cs="Arial" w:eastAsia="Arial" w:hAnsi="Arial"/>
          <w:color w:val="566573"/>
          <w:sz w:val="22"/>
          <w:szCs w:val="22"/>
        </w:rPr>
        <w:t xml:space="preserve">Souls activate with a single tap — location permission. This immediately unlocks geo-targeted offers and the first insight card. Additional sources (Plaid, Apple Health, Instagram, Uber, Amazon) progressively enrich both earnings potential and Know Yourself depth.</w:t>
      </w:r>
    </w:p>
    <w:p>
      <w:r>
        <w:br w:type="page"/>
      </w:r>
    </w:p>
    <w:p>
      <w:pPr>
        <w:pStyle w:val="Heading1"/>
        <w:spacing w:after="200" w:before="400"/>
      </w:pPr>
      <w:r>
        <w:rPr>
          <w:rFonts w:ascii="Arial" w:cs="Arial" w:eastAsia="Arial" w:hAnsi="Arial"/>
          <w:b/>
          <w:bCs/>
          <w:color w:val="1B4F72"/>
          <w:sz w:val="36"/>
          <w:szCs w:val="36"/>
        </w:rPr>
        <w:t xml:space="preserve">2. Operator Control Tower</w:t>
      </w:r>
    </w:p>
    <w:p>
      <w:pPr>
        <w:spacing w:after="150"/>
      </w:pPr>
      <w:r>
        <w:rPr>
          <w:rFonts w:ascii="Arial" w:cs="Arial" w:eastAsia="Arial" w:hAnsi="Arial"/>
          <w:color w:val="566573"/>
          <w:sz w:val="22"/>
          <w:szCs w:val="22"/>
        </w:rPr>
        <w:t xml:space="preserve">The Operator Control Tower is the marketplace orchestration layer — the intelligence that matches supply (consumer data consent) with demand (brand campaigns) while maintaining quality, fairness, and trust across the ecosystem.</w:t>
      </w:r>
    </w:p>
    <w:p>
      <w:pPr>
        <w:pStyle w:val="Heading2"/>
        <w:spacing w:after="150" w:before="300"/>
      </w:pPr>
      <w:r>
        <w:rPr>
          <w:rFonts w:ascii="Arial" w:cs="Arial" w:eastAsia="Arial" w:hAnsi="Arial"/>
          <w:b/>
          <w:bCs/>
          <w:color w:val="2C3E50"/>
          <w:sz w:val="28"/>
          <w:szCs w:val="28"/>
        </w:rPr>
        <w:t xml:space="preserve">2.1 Matching Engine</w:t>
      </w:r>
    </w:p>
    <w:p>
      <w:pPr>
        <w:spacing w:after="150"/>
      </w:pPr>
      <w:r>
        <w:rPr>
          <w:rFonts w:ascii="Arial" w:cs="Arial" w:eastAsia="Arial" w:hAnsi="Arial"/>
          <w:color w:val="566573"/>
          <w:sz w:val="22"/>
          <w:szCs w:val="22"/>
        </w:rPr>
        <w:t xml:space="preserve">The proprietary matching algorithm evaluates every potential soul-listing pair across multiple dimensions:</w:t>
      </w:r>
    </w:p>
    <w:p>
      <w:pPr>
        <w:pStyle w:val="ListParagraph"/>
        <w:numPr>
          <w:ilvl w:val="0"/>
          <w:numId w:val="2"/>
        </w:numPr>
        <w:spacing w:after="80"/>
      </w:pPr>
      <w:r>
        <w:rPr>
          <w:rFonts w:ascii="Arial" w:cs="Arial" w:eastAsia="Arial" w:hAnsi="Arial"/>
          <w:color w:val="566573"/>
          <w:sz w:val="22"/>
          <w:szCs w:val="22"/>
        </w:rPr>
        <w:t xml:space="preserve">Category alignment — Hierarchical category matching with parent-child inheritance (e.g., dining.grocery matches both specific grocery offers and broader dining campaigns)</w:t>
      </w:r>
    </w:p>
    <w:p>
      <w:pPr>
        <w:pStyle w:val="ListParagraph"/>
        <w:numPr>
          <w:ilvl w:val="0"/>
          <w:numId w:val="2"/>
        </w:numPr>
        <w:spacing w:after="80"/>
      </w:pPr>
      <w:r>
        <w:rPr>
          <w:rFonts w:ascii="Arial" w:cs="Arial" w:eastAsia="Arial" w:hAnsi="Arial"/>
          <w:color w:val="566573"/>
          <w:sz w:val="22"/>
          <w:szCs w:val="22"/>
        </w:rPr>
        <w:t xml:space="preserve">Score thresholds — Minimum data quality requirements set by brands</w:t>
      </w:r>
    </w:p>
    <w:p>
      <w:pPr>
        <w:pStyle w:val="ListParagraph"/>
        <w:numPr>
          <w:ilvl w:val="0"/>
          <w:numId w:val="2"/>
        </w:numPr>
        <w:spacing w:after="80"/>
      </w:pPr>
      <w:r>
        <w:rPr>
          <w:rFonts w:ascii="Arial" w:cs="Arial" w:eastAsia="Arial" w:hAnsi="Arial"/>
          <w:color w:val="566573"/>
          <w:sz w:val="22"/>
          <w:szCs w:val="22"/>
        </w:rPr>
        <w:t xml:space="preserve">Yield floors — Minimum compensation requirements set by souls</w:t>
      </w:r>
    </w:p>
    <w:p>
      <w:pPr>
        <w:pStyle w:val="ListParagraph"/>
        <w:numPr>
          <w:ilvl w:val="0"/>
          <w:numId w:val="2"/>
        </w:numPr>
        <w:spacing w:after="80"/>
      </w:pPr>
      <w:r>
        <w:rPr>
          <w:rFonts w:ascii="Arial" w:cs="Arial" w:eastAsia="Arial" w:hAnsi="Arial"/>
          <w:color w:val="566573"/>
          <w:sz w:val="22"/>
          <w:szCs w:val="22"/>
        </w:rPr>
        <w:t xml:space="preserve">Escrow sufficiency — Real-time verification that brand budgets can cover the bid</w:t>
      </w:r>
    </w:p>
    <w:p>
      <w:pPr>
        <w:pStyle w:val="ListParagraph"/>
        <w:numPr>
          <w:ilvl w:val="0"/>
          <w:numId w:val="2"/>
        </w:numPr>
        <w:spacing w:after="80"/>
      </w:pPr>
      <w:r>
        <w:rPr>
          <w:rFonts w:ascii="Arial" w:cs="Arial" w:eastAsia="Arial" w:hAnsi="Arial"/>
          <w:color w:val="566573"/>
          <w:sz w:val="22"/>
          <w:szCs w:val="22"/>
        </w:rPr>
        <w:t xml:space="preserve">Recency weighting — Fresher data consent receives priority in matching</w:t>
      </w:r>
    </w:p>
    <w:p>
      <w:pPr>
        <w:pStyle w:val="Heading3"/>
        <w:spacing w:after="100" w:before="200"/>
      </w:pPr>
      <w:r>
        <w:rPr>
          <w:rFonts w:ascii="Arial" w:cs="Arial" w:eastAsia="Arial" w:hAnsi="Arial"/>
          <w:b/>
          <w:bCs/>
          <w:color w:val="2E86C1"/>
          <w:sz w:val="24"/>
          <w:szCs w:val="24"/>
        </w:rPr>
        <w:t xml:space="preserve">Composite Scoring Formula</w:t>
      </w:r>
    </w:p>
    <w:p>
      <w:pPr>
        <w:spacing w:after="150"/>
      </w:pPr>
      <w:r>
        <w:rPr>
          <w:rFonts w:ascii="Arial" w:cs="Arial" w:eastAsia="Arial" w:hAnsi="Arial"/>
          <w:color w:val="566573"/>
          <w:sz w:val="22"/>
          <w:szCs w:val="22"/>
        </w:rPr>
        <w:t xml:space="preserve">Each match receives a composite score determining offer priority:</w:t>
      </w:r>
    </w:p>
    <w:p>
      <w:pPr>
        <w:spacing w:after="150"/>
      </w:pPr>
      <w:r>
        <w:rPr>
          <w:rFonts w:ascii="Arial" w:cs="Arial" w:eastAsia="Arial" w:hAnsi="Arial"/>
          <w:i/>
          <w:iCs/>
          <w:color w:val="566573"/>
          <w:sz w:val="22"/>
          <w:szCs w:val="22"/>
        </w:rPr>
        <w:t xml:space="preserve">Composite = Bid × Soul Reputation × Recency Weight × Brand Score Factor</w:t>
      </w:r>
    </w:p>
    <w:p>
      <w:pPr>
        <w:spacing w:after="150"/>
      </w:pPr>
      <w:r>
        <w:rPr>
          <w:rFonts w:ascii="Arial" w:cs="Arial" w:eastAsia="Arial" w:hAnsi="Arial"/>
          <w:color w:val="566573"/>
          <w:sz w:val="22"/>
          <w:szCs w:val="22"/>
        </w:rPr>
        <w:t xml:space="preserve">This multi-factor formula ensures that the highest-quality matches surface first — balancing brand generosity, consumer reliability, data freshness, and brand trustworthiness.</w:t>
      </w:r>
    </w:p>
    <w:p>
      <w:pPr>
        <w:pStyle w:val="Heading2"/>
        <w:spacing w:after="150" w:before="300"/>
      </w:pPr>
      <w:r>
        <w:rPr>
          <w:rFonts w:ascii="Arial" w:cs="Arial" w:eastAsia="Arial" w:hAnsi="Arial"/>
          <w:b/>
          <w:bCs/>
          <w:color w:val="2C3E50"/>
          <w:sz w:val="28"/>
          <w:szCs w:val="28"/>
        </w:rPr>
        <w:t xml:space="preserve">2.2 Brand Scoring System</w:t>
      </w:r>
    </w:p>
    <w:p>
      <w:pPr>
        <w:spacing w:after="150"/>
      </w:pPr>
      <w:r>
        <w:rPr>
          <w:rFonts w:ascii="Arial" w:cs="Arial" w:eastAsia="Arial" w:hAnsi="Arial"/>
          <w:color w:val="566573"/>
          <w:sz w:val="22"/>
          <w:szCs w:val="22"/>
        </w:rPr>
        <w:t xml:space="preserve">Every brand on the platform receives a dynamic reputation score computed from three weighted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jc w:val="center"/>
            </w:pPr>
            <w:r>
              <w:rPr>
                <w:rFonts w:ascii="Arial" w:cs="Arial" w:eastAsia="Arial" w:hAnsi="Arial"/>
                <w:b/>
                <w:bCs/>
                <w:sz w:val="20"/>
                <w:szCs w:val="20"/>
              </w:rPr>
              <w:t xml:space="preserve">Claim Rate (40%)</w:t>
            </w:r>
          </w:p>
          <w:p>
            <w:pPr>
              <w:jc w:val="center"/>
            </w:pPr>
            <w:r>
              <w:rPr>
                <w:rFonts w:ascii="Arial" w:cs="Arial" w:eastAsia="Arial" w:hAnsi="Arial"/>
                <w:color w:val="566573"/>
                <w:sz w:val="18"/>
                <w:szCs w:val="18"/>
              </w:rPr>
              <w:t xml:space="preserve">Offers accepted vs. total delivered</w:t>
            </w:r>
          </w:p>
        </w:tc>
        <w:tc>
          <w:tcPr>
            <w:tcW w:type="dxa" w:w="312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jc w:val="center"/>
            </w:pPr>
            <w:r>
              <w:rPr>
                <w:rFonts w:ascii="Arial" w:cs="Arial" w:eastAsia="Arial" w:hAnsi="Arial"/>
                <w:b/>
                <w:bCs/>
                <w:sz w:val="20"/>
                <w:szCs w:val="20"/>
              </w:rPr>
              <w:t xml:space="preserve">Bid Fairness (30%)</w:t>
            </w:r>
          </w:p>
          <w:p>
            <w:pPr>
              <w:jc w:val="center"/>
            </w:pPr>
            <w:r>
              <w:rPr>
                <w:rFonts w:ascii="Arial" w:cs="Arial" w:eastAsia="Arial" w:hAnsi="Arial"/>
                <w:color w:val="566573"/>
                <w:sz w:val="18"/>
                <w:szCs w:val="18"/>
              </w:rPr>
              <w:t xml:space="preserve">Percentile rank within category</w:t>
            </w:r>
          </w:p>
        </w:tc>
        <w:tc>
          <w:tcPr>
            <w:tcW w:type="dxa" w:w="312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pPr>
              <w:jc w:val="center"/>
            </w:pPr>
            <w:r>
              <w:rPr>
                <w:rFonts w:ascii="Arial" w:cs="Arial" w:eastAsia="Arial" w:hAnsi="Arial"/>
                <w:b/>
                <w:bCs/>
                <w:sz w:val="20"/>
                <w:szCs w:val="20"/>
              </w:rPr>
              <w:t xml:space="preserve">Escrow Health (30%)</w:t>
            </w:r>
          </w:p>
          <w:p>
            <w:pPr>
              <w:jc w:val="center"/>
            </w:pPr>
            <w:r>
              <w:rPr>
                <w:rFonts w:ascii="Arial" w:cs="Arial" w:eastAsia="Arial" w:hAnsi="Arial"/>
                <w:color w:val="566573"/>
                <w:sz w:val="18"/>
                <w:szCs w:val="18"/>
              </w:rPr>
              <w:t xml:space="preserve">Budget runway + absolute floor</w:t>
            </w:r>
          </w:p>
        </w:tc>
      </w:tr>
    </w:tbl>
    <w:p>
      <w:pPr>
        <w:spacing w:after="200"/>
      </w:pPr>
    </w:p>
    <w:p>
      <w:pPr>
        <w:spacing w:after="150"/>
      </w:pPr>
      <w:r>
        <w:rPr>
          <w:rFonts w:ascii="Arial" w:cs="Arial" w:eastAsia="Arial" w:hAnsi="Arial"/>
          <w:color w:val="566573"/>
          <w:sz w:val="22"/>
          <w:szCs w:val="22"/>
        </w:rPr>
        <w:t xml:space="preserve">Contextual multipliers further adjust scores based on real-time conditions:</w:t>
      </w:r>
    </w:p>
    <w:p>
      <w:pPr>
        <w:pStyle w:val="ListParagraph"/>
        <w:numPr>
          <w:ilvl w:val="0"/>
          <w:numId w:val="2"/>
        </w:numPr>
        <w:spacing w:after="80"/>
      </w:pPr>
      <w:r>
        <w:rPr>
          <w:rFonts w:ascii="Arial" w:cs="Arial" w:eastAsia="Arial" w:hAnsi="Arial"/>
          <w:color w:val="566573"/>
          <w:sz w:val="22"/>
          <w:szCs w:val="22"/>
        </w:rPr>
        <w:t xml:space="preserve">Trend Multiplier (0.9-1.2x) — 7-day performance vs. 30-day baseline</w:t>
      </w:r>
    </w:p>
    <w:p>
      <w:pPr>
        <w:pStyle w:val="ListParagraph"/>
        <w:numPr>
          <w:ilvl w:val="0"/>
          <w:numId w:val="2"/>
        </w:numPr>
        <w:spacing w:after="80"/>
      </w:pPr>
      <w:r>
        <w:rPr>
          <w:rFonts w:ascii="Arial" w:cs="Arial" w:eastAsia="Arial" w:hAnsi="Arial"/>
          <w:color w:val="566573"/>
          <w:sz w:val="22"/>
          <w:szCs w:val="22"/>
        </w:rPr>
        <w:t xml:space="preserve">Seasonality — Category-specific monthly weights (e.g., dining peaks in December)</w:t>
      </w:r>
    </w:p>
    <w:p>
      <w:pPr>
        <w:pStyle w:val="ListParagraph"/>
        <w:numPr>
          <w:ilvl w:val="0"/>
          <w:numId w:val="2"/>
        </w:numPr>
        <w:spacing w:after="80"/>
      </w:pPr>
      <w:r>
        <w:rPr>
          <w:rFonts w:ascii="Arial" w:cs="Arial" w:eastAsia="Arial" w:hAnsi="Arial"/>
          <w:color w:val="566573"/>
          <w:sz w:val="22"/>
          <w:szCs w:val="22"/>
        </w:rPr>
        <w:t xml:space="preserve">Geography — 10% boost when brand markets match soul location</w:t>
      </w:r>
    </w:p>
    <w:p>
      <w:pPr>
        <w:pStyle w:val="ListParagraph"/>
        <w:numPr>
          <w:ilvl w:val="0"/>
          <w:numId w:val="2"/>
        </w:numPr>
        <w:spacing w:after="80"/>
      </w:pPr>
      <w:r>
        <w:rPr>
          <w:rFonts w:ascii="Arial" w:cs="Arial" w:eastAsia="Arial" w:hAnsi="Arial"/>
          <w:color w:val="566573"/>
          <w:sz w:val="22"/>
          <w:szCs w:val="22"/>
        </w:rPr>
        <w:t xml:space="preserve">Cohort Affinity — Behavioral cohort matching based on consent patterns</w:t>
      </w:r>
    </w:p>
    <w:p>
      <w:pPr>
        <w:pStyle w:val="Heading2"/>
        <w:spacing w:after="150" w:before="300"/>
      </w:pPr>
      <w:r>
        <w:rPr>
          <w:rFonts w:ascii="Arial" w:cs="Arial" w:eastAsia="Arial" w:hAnsi="Arial"/>
          <w:b/>
          <w:bCs/>
          <w:color w:val="2C3E50"/>
          <w:sz w:val="28"/>
          <w:szCs w:val="28"/>
        </w:rPr>
        <w:t xml:space="preserve">2.3 Settlement Management</w:t>
      </w:r>
    </w:p>
    <w:p>
      <w:pPr>
        <w:spacing w:after="150"/>
      </w:pPr>
      <w:r>
        <w:rPr>
          <w:rFonts w:ascii="Arial" w:cs="Arial" w:eastAsia="Arial" w:hAnsi="Arial"/>
          <w:color w:val="566573"/>
          <w:sz w:val="22"/>
          <w:szCs w:val="22"/>
        </w:rPr>
        <w:t xml:space="preserve">The operator oversees the complete settlement lifecycle:</w:t>
      </w:r>
    </w:p>
    <w:p>
      <w:pPr>
        <w:pStyle w:val="ListParagraph"/>
        <w:numPr>
          <w:ilvl w:val="0"/>
          <w:numId w:val="2"/>
        </w:numPr>
        <w:spacing w:after="80"/>
      </w:pPr>
      <w:r>
        <w:rPr>
          <w:rFonts w:ascii="Arial" w:cs="Arial" w:eastAsia="Arial" w:hAnsi="Arial"/>
          <w:color w:val="566573"/>
          <w:sz w:val="22"/>
          <w:szCs w:val="22"/>
        </w:rPr>
        <w:t xml:space="preserve">Exchange runs match eligible souls to active listings</w:t>
      </w:r>
    </w:p>
    <w:p>
      <w:pPr>
        <w:pStyle w:val="ListParagraph"/>
        <w:numPr>
          <w:ilvl w:val="0"/>
          <w:numId w:val="2"/>
        </w:numPr>
        <w:spacing w:after="80"/>
      </w:pPr>
      <w:r>
        <w:rPr>
          <w:rFonts w:ascii="Arial" w:cs="Arial" w:eastAsia="Arial" w:hAnsi="Arial"/>
          <w:color w:val="566573"/>
          <w:sz w:val="22"/>
          <w:szCs w:val="22"/>
        </w:rPr>
        <w:t xml:space="preserve">Offers are generated and presented to matched souls</w:t>
      </w:r>
    </w:p>
    <w:p>
      <w:pPr>
        <w:pStyle w:val="ListParagraph"/>
        <w:numPr>
          <w:ilvl w:val="0"/>
          <w:numId w:val="2"/>
        </w:numPr>
        <w:spacing w:after="80"/>
      </w:pPr>
      <w:r>
        <w:rPr>
          <w:rFonts w:ascii="Arial" w:cs="Arial" w:eastAsia="Arial" w:hAnsi="Arial"/>
          <w:color w:val="566573"/>
          <w:sz w:val="22"/>
          <w:szCs w:val="22"/>
        </w:rPr>
        <w:t xml:space="preserve">Claims trigger on-chain settlement: 90% yield to soul, 10% platform fee</w:t>
      </w:r>
    </w:p>
    <w:p>
      <w:pPr>
        <w:pStyle w:val="ListParagraph"/>
        <w:numPr>
          <w:ilvl w:val="0"/>
          <w:numId w:val="2"/>
        </w:numPr>
        <w:spacing w:after="80"/>
      </w:pPr>
      <w:r>
        <w:rPr>
          <w:rFonts w:ascii="Arial" w:cs="Arial" w:eastAsia="Arial" w:hAnsi="Arial"/>
          <w:color w:val="566573"/>
          <w:sz w:val="22"/>
          <w:szCs w:val="22"/>
        </w:rPr>
        <w:t xml:space="preserve">Dual-write pattern: JSON state always succeeds, on-chain settlement attempted with graceful degradation</w:t>
      </w:r>
    </w:p>
    <w:p>
      <w:pPr>
        <w:pStyle w:val="ListParagraph"/>
        <w:numPr>
          <w:ilvl w:val="0"/>
          <w:numId w:val="2"/>
        </w:numPr>
        <w:spacing w:after="80"/>
      </w:pPr>
      <w:r>
        <w:rPr>
          <w:rFonts w:ascii="Arial" w:cs="Arial" w:eastAsia="Arial" w:hAnsi="Arial"/>
          <w:color w:val="566573"/>
          <w:sz w:val="22"/>
          <w:szCs w:val="22"/>
        </w:rPr>
        <w:t xml:space="preserve">Real-time health monitoring across all three surfaces (Soul App, Brand Portal, Operator Console)</w:t>
      </w:r>
    </w:p>
    <w:p>
      <w:pPr>
        <w:pStyle w:val="Heading2"/>
        <w:spacing w:after="150" w:before="300"/>
      </w:pPr>
      <w:r>
        <w:rPr>
          <w:rFonts w:ascii="Arial" w:cs="Arial" w:eastAsia="Arial" w:hAnsi="Arial"/>
          <w:b/>
          <w:bCs/>
          <w:color w:val="2C3E50"/>
          <w:sz w:val="28"/>
          <w:szCs w:val="28"/>
        </w:rPr>
        <w:t xml:space="preserve">2.4 Operator Dashboard</w:t>
      </w:r>
    </w:p>
    <w:p>
      <w:pPr>
        <w:pStyle w:val="ListParagraph"/>
        <w:numPr>
          <w:ilvl w:val="0"/>
          <w:numId w:val="2"/>
        </w:numPr>
        <w:spacing w:after="80"/>
      </w:pPr>
      <w:r>
        <w:rPr>
          <w:rFonts w:ascii="Arial" w:cs="Arial" w:eastAsia="Arial" w:hAnsi="Arial"/>
          <w:color w:val="566573"/>
          <w:sz w:val="22"/>
          <w:szCs w:val="22"/>
        </w:rPr>
        <w:t xml:space="preserve">Live exchange statistics: match rates, settlement volumes, active consents</w:t>
      </w:r>
    </w:p>
    <w:p>
      <w:pPr>
        <w:pStyle w:val="ListParagraph"/>
        <w:numPr>
          <w:ilvl w:val="0"/>
          <w:numId w:val="2"/>
        </w:numPr>
        <w:spacing w:after="80"/>
      </w:pPr>
      <w:r>
        <w:rPr>
          <w:rFonts w:ascii="Arial" w:cs="Arial" w:eastAsia="Arial" w:hAnsi="Arial"/>
          <w:color w:val="566573"/>
          <w:sz w:val="22"/>
          <w:szCs w:val="22"/>
        </w:rPr>
        <w:t xml:space="preserve">Brand scoring configuration: adjustable weights, seasonality grids, cohort definitions</w:t>
      </w:r>
    </w:p>
    <w:p>
      <w:pPr>
        <w:pStyle w:val="ListParagraph"/>
        <w:numPr>
          <w:ilvl w:val="0"/>
          <w:numId w:val="2"/>
        </w:numPr>
        <w:spacing w:after="80"/>
      </w:pPr>
      <w:r>
        <w:rPr>
          <w:rFonts w:ascii="Arial" w:cs="Arial" w:eastAsia="Arial" w:hAnsi="Arial"/>
          <w:color w:val="566573"/>
          <w:sz w:val="22"/>
          <w:szCs w:val="22"/>
        </w:rPr>
        <w:t xml:space="preserve">Listing management: create, pause, replenish, exhaust brand campaigns</w:t>
      </w:r>
    </w:p>
    <w:p>
      <w:pPr>
        <w:pStyle w:val="ListParagraph"/>
        <w:numPr>
          <w:ilvl w:val="0"/>
          <w:numId w:val="2"/>
        </w:numPr>
        <w:spacing w:after="80"/>
      </w:pPr>
      <w:r>
        <w:rPr>
          <w:rFonts w:ascii="Arial" w:cs="Arial" w:eastAsia="Arial" w:hAnsi="Arial"/>
          <w:color w:val="566573"/>
          <w:sz w:val="22"/>
          <w:szCs w:val="22"/>
        </w:rPr>
        <w:t xml:space="preserve">Health monitoring: cross-surface API status, on-chain sync verification</w:t>
      </w:r>
    </w:p>
    <w:p>
      <w:r>
        <w:br w:type="page"/>
      </w:r>
    </w:p>
    <w:p>
      <w:pPr>
        <w:pStyle w:val="Heading1"/>
        <w:spacing w:after="200" w:before="400"/>
      </w:pPr>
      <w:r>
        <w:rPr>
          <w:rFonts w:ascii="Arial" w:cs="Arial" w:eastAsia="Arial" w:hAnsi="Arial"/>
          <w:b/>
          <w:bCs/>
          <w:color w:val="1B4F72"/>
          <w:sz w:val="36"/>
          <w:szCs w:val="36"/>
        </w:rPr>
        <w:t xml:space="preserve">3. The Marketplace</w:t>
      </w:r>
    </w:p>
    <w:p>
      <w:pPr>
        <w:spacing w:after="150"/>
      </w:pPr>
      <w:r>
        <w:rPr>
          <w:rFonts w:ascii="Arial" w:cs="Arial" w:eastAsia="Arial" w:hAnsi="Arial"/>
          <w:color w:val="566573"/>
          <w:sz w:val="22"/>
          <w:szCs w:val="22"/>
        </w:rPr>
        <w:t xml:space="preserve">The PersonalOS Marketplace is the protocol layer that enables trustless, transparent data exchange between souls and brands. Built on Base (Coinbase L2), it combines the efficiency of off-chain matching with the security of on-chain settlement.</w:t>
      </w:r>
    </w:p>
    <w:p>
      <w:pPr>
        <w:pStyle w:val="Heading2"/>
        <w:spacing w:after="150" w:before="300"/>
      </w:pPr>
      <w:r>
        <w:rPr>
          <w:rFonts w:ascii="Arial" w:cs="Arial" w:eastAsia="Arial" w:hAnsi="Arial"/>
          <w:b/>
          <w:bCs/>
          <w:color w:val="2C3E50"/>
          <w:sz w:val="28"/>
          <w:szCs w:val="28"/>
        </w:rPr>
        <w:t xml:space="preserve">3.1 How It Works</w:t>
      </w:r>
    </w:p>
    <w:p>
      <w:pPr>
        <w:pStyle w:val="ListParagraph"/>
        <w:numPr>
          <w:ilvl w:val="0"/>
          <w:numId w:val="3"/>
        </w:numPr>
        <w:spacing w:after="100"/>
      </w:pPr>
      <w:r>
        <w:rPr>
          <w:rFonts w:ascii="Arial" w:cs="Arial" w:eastAsia="Arial" w:hAnsi="Arial"/>
          <w:color w:val="566573"/>
          <w:sz w:val="22"/>
          <w:szCs w:val="22"/>
        </w:rPr>
        <w:t xml:space="preserve">Brand deposits USDC into the BudgetEscrow smart contract, locked to a specific listing</w:t>
      </w:r>
    </w:p>
    <w:p>
      <w:pPr>
        <w:pStyle w:val="ListParagraph"/>
        <w:numPr>
          <w:ilvl w:val="0"/>
          <w:numId w:val="3"/>
        </w:numPr>
        <w:spacing w:after="100"/>
      </w:pPr>
      <w:r>
        <w:rPr>
          <w:rFonts w:ascii="Arial" w:cs="Arial" w:eastAsia="Arial" w:hAnsi="Arial"/>
          <w:color w:val="566573"/>
          <w:sz w:val="22"/>
          <w:szCs w:val="22"/>
        </w:rPr>
        <w:t xml:space="preserve">Matching engine identifies eligible soul-listing pairs based on consent, score, and bid alignment</w:t>
      </w:r>
    </w:p>
    <w:p>
      <w:pPr>
        <w:pStyle w:val="ListParagraph"/>
        <w:numPr>
          <w:ilvl w:val="0"/>
          <w:numId w:val="3"/>
        </w:numPr>
        <w:spacing w:after="100"/>
      </w:pPr>
      <w:r>
        <w:rPr>
          <w:rFonts w:ascii="Arial" w:cs="Arial" w:eastAsia="Arial" w:hAnsi="Arial"/>
          <w:color w:val="566573"/>
          <w:sz w:val="22"/>
          <w:szCs w:val="22"/>
        </w:rPr>
        <w:t xml:space="preserve">Offers are presented to souls showing exactly what data is requested and the payment amount</w:t>
      </w:r>
    </w:p>
    <w:p>
      <w:pPr>
        <w:pStyle w:val="ListParagraph"/>
        <w:numPr>
          <w:ilvl w:val="0"/>
          <w:numId w:val="3"/>
        </w:numPr>
        <w:spacing w:after="100"/>
      </w:pPr>
      <w:r>
        <w:rPr>
          <w:rFonts w:ascii="Arial" w:cs="Arial" w:eastAsia="Arial" w:hAnsi="Arial"/>
          <w:color w:val="566573"/>
          <w:sz w:val="22"/>
          <w:szCs w:val="22"/>
        </w:rPr>
        <w:t xml:space="preserve">Soul accepts → on-chain claim executes: USDC flows from escrow to soul wallet (90%) and operator (10% fee)</w:t>
      </w:r>
    </w:p>
    <w:p>
      <w:pPr>
        <w:pStyle w:val="ListParagraph"/>
        <w:numPr>
          <w:ilvl w:val="0"/>
          <w:numId w:val="3"/>
        </w:numPr>
        <w:spacing w:after="100"/>
      </w:pPr>
      <w:r>
        <w:rPr>
          <w:rFonts w:ascii="Arial" w:cs="Arial" w:eastAsia="Arial" w:hAnsi="Arial"/>
          <w:color w:val="566573"/>
          <w:sz w:val="22"/>
          <w:szCs w:val="22"/>
        </w:rPr>
        <w:t xml:space="preserve">Immutable settlement receipt recorded on Base blockchain — verifiable by all parties</w:t>
      </w:r>
    </w:p>
    <w:p>
      <w:pPr>
        <w:pStyle w:val="Heading2"/>
        <w:spacing w:after="150" w:before="300"/>
      </w:pPr>
      <w:r>
        <w:rPr>
          <w:rFonts w:ascii="Arial" w:cs="Arial" w:eastAsia="Arial" w:hAnsi="Arial"/>
          <w:b/>
          <w:bCs/>
          <w:color w:val="2C3E50"/>
          <w:sz w:val="28"/>
          <w:szCs w:val="28"/>
        </w:rPr>
        <w:t xml:space="preserve">3.2 Smart Contract Architecture</w:t>
      </w:r>
    </w:p>
    <w:p>
      <w:pPr>
        <w:spacing w:after="150"/>
      </w:pPr>
      <w:r>
        <w:rPr>
          <w:rFonts w:ascii="Arial" w:cs="Arial" w:eastAsia="Arial" w:hAnsi="Arial"/>
          <w:color w:val="566573"/>
          <w:sz w:val="22"/>
          <w:szCs w:val="22"/>
        </w:rPr>
        <w:t xml:space="preserve">Two verified contracts on Base (Coinbase Layer 2) form the financial backbone:</w:t>
      </w:r>
    </w:p>
    <w:p>
      <w:pPr>
        <w:pStyle w:val="Heading3"/>
        <w:spacing w:after="100" w:before="200"/>
      </w:pPr>
      <w:r>
        <w:rPr>
          <w:rFonts w:ascii="Arial" w:cs="Arial" w:eastAsia="Arial" w:hAnsi="Arial"/>
          <w:b/>
          <w:bCs/>
          <w:color w:val="2E86C1"/>
          <w:sz w:val="24"/>
          <w:szCs w:val="24"/>
        </w:rPr>
        <w:t xml:space="preserve">BudgetEscrow.sol</w:t>
      </w:r>
    </w:p>
    <w:p>
      <w:pPr>
        <w:pStyle w:val="ListParagraph"/>
        <w:numPr>
          <w:ilvl w:val="0"/>
          <w:numId w:val="2"/>
        </w:numPr>
        <w:spacing w:after="80"/>
      </w:pPr>
      <w:r>
        <w:rPr>
          <w:rFonts w:ascii="Arial" w:cs="Arial" w:eastAsia="Arial" w:hAnsi="Arial"/>
          <w:color w:val="566573"/>
          <w:sz w:val="22"/>
          <w:szCs w:val="22"/>
        </w:rPr>
        <w:t xml:space="preserve">Holds brand deposits in USDC, locked per-listing</w:t>
      </w:r>
    </w:p>
    <w:p>
      <w:pPr>
        <w:pStyle w:val="ListParagraph"/>
        <w:numPr>
          <w:ilvl w:val="0"/>
          <w:numId w:val="2"/>
        </w:numPr>
        <w:spacing w:after="80"/>
      </w:pPr>
      <w:r>
        <w:rPr>
          <w:rFonts w:ascii="Arial" w:cs="Arial" w:eastAsia="Arial" w:hAnsi="Arial"/>
          <w:color w:val="566573"/>
          <w:sz w:val="22"/>
          <w:szCs w:val="22"/>
        </w:rPr>
        <w:t xml:space="preserve">Operator-authorized claims distribute funds: 90% to soul, 10% fee</w:t>
      </w:r>
    </w:p>
    <w:p>
      <w:pPr>
        <w:pStyle w:val="ListParagraph"/>
        <w:numPr>
          <w:ilvl w:val="0"/>
          <w:numId w:val="2"/>
        </w:numPr>
        <w:spacing w:after="80"/>
      </w:pPr>
      <w:r>
        <w:rPr>
          <w:rFonts w:ascii="Arial" w:cs="Arial" w:eastAsia="Arial" w:hAnsi="Arial"/>
          <w:color w:val="566573"/>
          <w:sz w:val="22"/>
          <w:szCs w:val="22"/>
        </w:rPr>
        <w:t xml:space="preserve">Brands can refund unclaimed balances at any time</w:t>
      </w:r>
    </w:p>
    <w:p>
      <w:pPr>
        <w:pStyle w:val="ListParagraph"/>
        <w:numPr>
          <w:ilvl w:val="0"/>
          <w:numId w:val="2"/>
        </w:numPr>
        <w:spacing w:after="80"/>
      </w:pPr>
      <w:r>
        <w:rPr>
          <w:rFonts w:ascii="Arial" w:cs="Arial" w:eastAsia="Arial" w:hAnsi="Arial"/>
          <w:color w:val="566573"/>
          <w:sz w:val="22"/>
          <w:szCs w:val="22"/>
        </w:rPr>
        <w:t xml:space="preserve">Immutable audit trail via Deposited, Claimed, Refunded events</w:t>
      </w:r>
    </w:p>
    <w:p>
      <w:pPr>
        <w:pStyle w:val="ListParagraph"/>
        <w:numPr>
          <w:ilvl w:val="0"/>
          <w:numId w:val="2"/>
        </w:numPr>
        <w:spacing w:after="80"/>
      </w:pPr>
      <w:r>
        <w:rPr>
          <w:rFonts w:ascii="Arial" w:cs="Arial" w:eastAsia="Arial" w:hAnsi="Arial"/>
          <w:color w:val="566573"/>
          <w:sz w:val="22"/>
          <w:szCs w:val="22"/>
        </w:rPr>
        <w:t xml:space="preserve">Source-verified on Basescan and Sourcify</w:t>
      </w:r>
    </w:p>
    <w:p>
      <w:pPr>
        <w:pStyle w:val="Heading3"/>
        <w:spacing w:after="100" w:before="200"/>
      </w:pPr>
      <w:r>
        <w:rPr>
          <w:rFonts w:ascii="Arial" w:cs="Arial" w:eastAsia="Arial" w:hAnsi="Arial"/>
          <w:b/>
          <w:bCs/>
          <w:color w:val="2E86C1"/>
          <w:sz w:val="24"/>
          <w:szCs w:val="24"/>
        </w:rPr>
        <w:t xml:space="preserve">MockUSDC.sol (Testnet) / USDC (Mainnet)</w:t>
      </w:r>
    </w:p>
    <w:p>
      <w:pPr>
        <w:pStyle w:val="ListParagraph"/>
        <w:numPr>
          <w:ilvl w:val="0"/>
          <w:numId w:val="2"/>
        </w:numPr>
        <w:spacing w:after="80"/>
      </w:pPr>
      <w:r>
        <w:rPr>
          <w:rFonts w:ascii="Arial" w:cs="Arial" w:eastAsia="Arial" w:hAnsi="Arial"/>
          <w:color w:val="566573"/>
          <w:sz w:val="22"/>
          <w:szCs w:val="22"/>
        </w:rPr>
        <w:t xml:space="preserve">ERC-20 stablecoin for all marketplace payments</w:t>
      </w:r>
    </w:p>
    <w:p>
      <w:pPr>
        <w:pStyle w:val="ListParagraph"/>
        <w:numPr>
          <w:ilvl w:val="0"/>
          <w:numId w:val="2"/>
        </w:numPr>
        <w:spacing w:after="80"/>
      </w:pPr>
      <w:r>
        <w:rPr>
          <w:rFonts w:ascii="Arial" w:cs="Arial" w:eastAsia="Arial" w:hAnsi="Arial"/>
          <w:color w:val="566573"/>
          <w:sz w:val="22"/>
          <w:szCs w:val="22"/>
        </w:rPr>
        <w:t xml:space="preserve">6 decimal precision matching real USDC</w:t>
      </w:r>
    </w:p>
    <w:p>
      <w:pPr>
        <w:pStyle w:val="ListParagraph"/>
        <w:numPr>
          <w:ilvl w:val="0"/>
          <w:numId w:val="2"/>
        </w:numPr>
        <w:spacing w:after="80"/>
      </w:pPr>
      <w:r>
        <w:rPr>
          <w:rFonts w:ascii="Arial" w:cs="Arial" w:eastAsia="Arial" w:hAnsi="Arial"/>
          <w:color w:val="566573"/>
          <w:sz w:val="22"/>
          <w:szCs w:val="22"/>
        </w:rPr>
        <w:t xml:space="preserve">Testnet faucet for development; real USDC on mainnet launch</w:t>
      </w:r>
    </w:p>
    <w:p>
      <w:pPr>
        <w:pStyle w:val="Heading2"/>
        <w:spacing w:after="150" w:before="300"/>
      </w:pPr>
      <w:r>
        <w:rPr>
          <w:rFonts w:ascii="Arial" w:cs="Arial" w:eastAsia="Arial" w:hAnsi="Arial"/>
          <w:b/>
          <w:bCs/>
          <w:color w:val="2C3E50"/>
          <w:sz w:val="28"/>
          <w:szCs w:val="28"/>
        </w:rPr>
        <w:t xml:space="preserve">3.3 Trust Guarantees</w:t>
      </w:r>
    </w:p>
    <w:p>
      <w:pPr>
        <w:pStyle w:val="ListParagraph"/>
        <w:numPr>
          <w:ilvl w:val="0"/>
          <w:numId w:val="2"/>
        </w:numPr>
        <w:spacing w:after="80"/>
      </w:pPr>
      <w:r>
        <w:rPr>
          <w:rFonts w:ascii="Arial" w:cs="Arial" w:eastAsia="Arial" w:hAnsi="Arial"/>
          <w:color w:val="566573"/>
          <w:sz w:val="22"/>
          <w:szCs w:val="22"/>
        </w:rPr>
        <w:t xml:space="preserve">Escrow-first: brand funds are locked before any offers are generated — souls never claim against empty promises</w:t>
      </w:r>
    </w:p>
    <w:p>
      <w:pPr>
        <w:pStyle w:val="ListParagraph"/>
        <w:numPr>
          <w:ilvl w:val="0"/>
          <w:numId w:val="2"/>
        </w:numPr>
        <w:spacing w:after="80"/>
      </w:pPr>
      <w:r>
        <w:rPr>
          <w:rFonts w:ascii="Arial" w:cs="Arial" w:eastAsia="Arial" w:hAnsi="Arial"/>
          <w:color w:val="566573"/>
          <w:sz w:val="22"/>
          <w:szCs w:val="22"/>
        </w:rPr>
        <w:t xml:space="preserve">Verifiable: every settlement is an on-chain transaction, publicly auditable</w:t>
      </w:r>
    </w:p>
    <w:p>
      <w:pPr>
        <w:pStyle w:val="ListParagraph"/>
        <w:numPr>
          <w:ilvl w:val="0"/>
          <w:numId w:val="2"/>
        </w:numPr>
        <w:spacing w:after="80"/>
      </w:pPr>
      <w:r>
        <w:rPr>
          <w:rFonts w:ascii="Arial" w:cs="Arial" w:eastAsia="Arial" w:hAnsi="Arial"/>
          <w:color w:val="566573"/>
          <w:sz w:val="22"/>
          <w:szCs w:val="22"/>
        </w:rPr>
        <w:t xml:space="preserve">Non-custodial: the platform never holds user funds; smart contracts execute programmatically</w:t>
      </w:r>
    </w:p>
    <w:p>
      <w:pPr>
        <w:pStyle w:val="ListParagraph"/>
        <w:numPr>
          <w:ilvl w:val="0"/>
          <w:numId w:val="2"/>
        </w:numPr>
        <w:spacing w:after="80"/>
      </w:pPr>
      <w:r>
        <w:rPr>
          <w:rFonts w:ascii="Arial" w:cs="Arial" w:eastAsia="Arial" w:hAnsi="Arial"/>
          <w:color w:val="566573"/>
          <w:sz w:val="22"/>
          <w:szCs w:val="22"/>
        </w:rPr>
        <w:t xml:space="preserve">Revocable: souls can withdraw consent at any time; future offers simply stop</w:t>
      </w:r>
    </w:p>
    <w:p>
      <w:pPr>
        <w:pStyle w:val="ListParagraph"/>
        <w:numPr>
          <w:ilvl w:val="0"/>
          <w:numId w:val="2"/>
        </w:numPr>
        <w:spacing w:after="80"/>
      </w:pPr>
      <w:r>
        <w:rPr>
          <w:rFonts w:ascii="Arial" w:cs="Arial" w:eastAsia="Arial" w:hAnsi="Arial"/>
          <w:color w:val="566573"/>
          <w:sz w:val="22"/>
          <w:szCs w:val="22"/>
        </w:rPr>
        <w:t xml:space="preserve">Transparent: the entire contract source code is verified and readable on Basescan</w:t>
      </w:r>
    </w:p>
    <w:p>
      <w:pPr>
        <w:pStyle w:val="Heading2"/>
        <w:spacing w:after="150" w:before="300"/>
      </w:pPr>
      <w:r>
        <w:rPr>
          <w:rFonts w:ascii="Arial" w:cs="Arial" w:eastAsia="Arial" w:hAnsi="Arial"/>
          <w:b/>
          <w:bCs/>
          <w:color w:val="2C3E50"/>
          <w:sz w:val="28"/>
          <w:szCs w:val="28"/>
        </w:rPr>
        <w:t xml:space="preserve">3.4 Marketplace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bCs/>
                <w:sz w:val="20"/>
                <w:szCs w:val="20"/>
              </w:rPr>
              <w:t xml:space="preserve">Souls Earn</w:t>
            </w:r>
          </w:p>
          <w:p>
            <w:pPr>
              <w:jc w:val="center"/>
            </w:pPr>
            <w:r>
              <w:rPr>
                <w:rFonts w:ascii="Arial" w:cs="Arial" w:eastAsia="Arial" w:hAnsi="Arial"/>
                <w:color w:val="566573"/>
                <w:sz w:val="18"/>
                <w:szCs w:val="18"/>
              </w:rPr>
              <w:t xml:space="preserve">90% of bid amount</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bCs/>
                <w:sz w:val="20"/>
                <w:szCs w:val="20"/>
              </w:rPr>
              <w:t xml:space="preserve">Platform Fee</w:t>
            </w:r>
          </w:p>
          <w:p>
            <w:pPr>
              <w:jc w:val="center"/>
            </w:pPr>
            <w:r>
              <w:rPr>
                <w:rFonts w:ascii="Arial" w:cs="Arial" w:eastAsia="Arial" w:hAnsi="Arial"/>
                <w:color w:val="566573"/>
                <w:sz w:val="18"/>
                <w:szCs w:val="18"/>
              </w:rPr>
              <w:t xml:space="preserve">10% of settlement</w:t>
            </w:r>
          </w:p>
        </w:tc>
        <w:tc>
          <w:tcPr>
            <w:tcW w:type="dxa" w:w="312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pPr>
              <w:jc w:val="center"/>
            </w:pPr>
            <w:r>
              <w:rPr>
                <w:rFonts w:ascii="Arial" w:cs="Arial" w:eastAsia="Arial" w:hAnsi="Arial"/>
                <w:b/>
                <w:bCs/>
                <w:sz w:val="20"/>
                <w:szCs w:val="20"/>
              </w:rPr>
              <w:t xml:space="preserve">Brand Cost</w:t>
            </w:r>
          </w:p>
          <w:p>
            <w:pPr>
              <w:jc w:val="center"/>
            </w:pPr>
            <w:r>
              <w:rPr>
                <w:rFonts w:ascii="Arial" w:cs="Arial" w:eastAsia="Arial" w:hAnsi="Arial"/>
                <w:color w:val="566573"/>
                <w:sz w:val="18"/>
                <w:szCs w:val="18"/>
              </w:rPr>
              <w:t xml:space="preserve">$0.50 - $5.00 per claim</w:t>
            </w:r>
          </w:p>
        </w:tc>
      </w:tr>
    </w:tbl>
    <w:p>
      <w:pPr>
        <w:spacing w:after="200"/>
      </w:pPr>
    </w:p>
    <w:p>
      <w:pPr>
        <w:spacing w:after="150"/>
      </w:pPr>
      <w:r>
        <w:rPr>
          <w:rFonts w:ascii="Arial" w:cs="Arial" w:eastAsia="Arial" w:hAnsi="Arial"/>
          <w:color w:val="566573"/>
          <w:sz w:val="22"/>
          <w:szCs w:val="22"/>
        </w:rPr>
        <w:t xml:space="preserve">At scale, a marketplace processing 100,000 settlements/month at an average $2.50 bid generates $25,000/month in platform revenue while distributing $225,000 to consumers — a sustainable model aligned with user value creation.</w:t>
      </w:r>
    </w:p>
    <w:p>
      <w:r>
        <w:br w:type="page"/>
      </w:r>
    </w:p>
    <w:p>
      <w:pPr>
        <w:pStyle w:val="Heading1"/>
        <w:spacing w:after="200" w:before="400"/>
      </w:pPr>
      <w:r>
        <w:rPr>
          <w:rFonts w:ascii="Arial" w:cs="Arial" w:eastAsia="Arial" w:hAnsi="Arial"/>
          <w:b/>
          <w:bCs/>
          <w:color w:val="1B4F72"/>
          <w:sz w:val="36"/>
          <w:szCs w:val="36"/>
        </w:rPr>
        <w:t xml:space="preserve">4. Brand Onboarding &amp; Scorecarding</w:t>
      </w:r>
    </w:p>
    <w:p>
      <w:pPr>
        <w:spacing w:after="150"/>
      </w:pPr>
      <w:r>
        <w:rPr>
          <w:rFonts w:ascii="Arial" w:cs="Arial" w:eastAsia="Arial" w:hAnsi="Arial"/>
          <w:color w:val="566573"/>
          <w:sz w:val="22"/>
          <w:szCs w:val="22"/>
        </w:rPr>
        <w:t xml:space="preserve">The Brand Portal provides a self-service interface for brands to join the marketplace, fund campaigns, and build reputation through consistent, fair engagement with consumers.</w:t>
      </w:r>
    </w:p>
    <w:p>
      <w:pPr>
        <w:pStyle w:val="Heading2"/>
        <w:spacing w:after="150" w:before="300"/>
      </w:pPr>
      <w:r>
        <w:rPr>
          <w:rFonts w:ascii="Arial" w:cs="Arial" w:eastAsia="Arial" w:hAnsi="Arial"/>
          <w:b/>
          <w:bCs/>
          <w:color w:val="2C3E50"/>
          <w:sz w:val="28"/>
          <w:szCs w:val="28"/>
        </w:rPr>
        <w:t xml:space="preserve">4.1 Onboarding Flow</w:t>
      </w:r>
    </w:p>
    <w:p>
      <w:pPr>
        <w:pStyle w:val="ListParagraph"/>
        <w:numPr>
          <w:ilvl w:val="0"/>
          <w:numId w:val="3"/>
        </w:numPr>
        <w:spacing w:after="100"/>
      </w:pPr>
      <w:r>
        <w:rPr>
          <w:rFonts w:ascii="Arial" w:cs="Arial" w:eastAsia="Arial" w:hAnsi="Arial"/>
          <w:color w:val="566573"/>
          <w:sz w:val="22"/>
          <w:szCs w:val="22"/>
        </w:rPr>
        <w:t xml:space="preserve">Connect wallet (Base network via Coinbase Smart Wallet or any EVM wallet)</w:t>
      </w:r>
    </w:p>
    <w:p>
      <w:pPr>
        <w:pStyle w:val="ListParagraph"/>
        <w:numPr>
          <w:ilvl w:val="0"/>
          <w:numId w:val="3"/>
        </w:numPr>
        <w:spacing w:after="100"/>
      </w:pPr>
      <w:r>
        <w:rPr>
          <w:rFonts w:ascii="Arial" w:cs="Arial" w:eastAsia="Arial" w:hAnsi="Arial"/>
          <w:color w:val="566573"/>
          <w:sz w:val="22"/>
          <w:szCs w:val="22"/>
        </w:rPr>
        <w:t xml:space="preserve">Create brand profile: name, categories, target markets, campaign parameters</w:t>
      </w:r>
    </w:p>
    <w:p>
      <w:pPr>
        <w:pStyle w:val="ListParagraph"/>
        <w:numPr>
          <w:ilvl w:val="0"/>
          <w:numId w:val="3"/>
        </w:numPr>
        <w:spacing w:after="100"/>
      </w:pPr>
      <w:r>
        <w:rPr>
          <w:rFonts w:ascii="Arial" w:cs="Arial" w:eastAsia="Arial" w:hAnsi="Arial"/>
          <w:color w:val="566573"/>
          <w:sz w:val="22"/>
          <w:szCs w:val="22"/>
        </w:rPr>
        <w:t xml:space="preserve">Create listing: define data categories sought, bid per claim, minimum score threshold, creative (headline + body)</w:t>
      </w:r>
    </w:p>
    <w:p>
      <w:pPr>
        <w:pStyle w:val="ListParagraph"/>
        <w:numPr>
          <w:ilvl w:val="0"/>
          <w:numId w:val="3"/>
        </w:numPr>
        <w:spacing w:after="100"/>
      </w:pPr>
      <w:r>
        <w:rPr>
          <w:rFonts w:ascii="Arial" w:cs="Arial" w:eastAsia="Arial" w:hAnsi="Arial"/>
          <w:color w:val="566573"/>
          <w:sz w:val="22"/>
          <w:szCs w:val="22"/>
        </w:rPr>
        <w:t xml:space="preserve">Fund escrow: deposit USDC into BudgetEscrow contract (approve + deposit transaction)</w:t>
      </w:r>
    </w:p>
    <w:p>
      <w:pPr>
        <w:pStyle w:val="ListParagraph"/>
        <w:numPr>
          <w:ilvl w:val="0"/>
          <w:numId w:val="3"/>
        </w:numPr>
        <w:spacing w:after="100"/>
      </w:pPr>
      <w:r>
        <w:rPr>
          <w:rFonts w:ascii="Arial" w:cs="Arial" w:eastAsia="Arial" w:hAnsi="Arial"/>
          <w:color w:val="566573"/>
          <w:sz w:val="22"/>
          <w:szCs w:val="22"/>
        </w:rPr>
        <w:t xml:space="preserve">Go live: listing enters matching pool immediately upon escrow confirmation</w:t>
      </w:r>
    </w:p>
    <w:p>
      <w:pPr>
        <w:pStyle w:val="Heading2"/>
        <w:spacing w:after="150" w:before="300"/>
      </w:pPr>
      <w:r>
        <w:rPr>
          <w:rFonts w:ascii="Arial" w:cs="Arial" w:eastAsia="Arial" w:hAnsi="Arial"/>
          <w:b/>
          <w:bCs/>
          <w:color w:val="2C3E50"/>
          <w:sz w:val="28"/>
          <w:szCs w:val="28"/>
        </w:rPr>
        <w:t xml:space="preserve">4.2 Campaign Management</w:t>
      </w:r>
    </w:p>
    <w:p>
      <w:pPr>
        <w:pStyle w:val="ListParagraph"/>
        <w:numPr>
          <w:ilvl w:val="0"/>
          <w:numId w:val="2"/>
        </w:numPr>
        <w:spacing w:after="80"/>
      </w:pPr>
      <w:r>
        <w:rPr>
          <w:rFonts w:ascii="Arial" w:cs="Arial" w:eastAsia="Arial" w:hAnsi="Arial"/>
          <w:color w:val="566573"/>
          <w:sz w:val="22"/>
          <w:szCs w:val="22"/>
        </w:rPr>
        <w:t xml:space="preserve">Real-time dashboard showing escrow balance, claims processed, spend rate</w:t>
      </w:r>
    </w:p>
    <w:p>
      <w:pPr>
        <w:pStyle w:val="ListParagraph"/>
        <w:numPr>
          <w:ilvl w:val="0"/>
          <w:numId w:val="2"/>
        </w:numPr>
        <w:spacing w:after="80"/>
      </w:pPr>
      <w:r>
        <w:rPr>
          <w:rFonts w:ascii="Arial" w:cs="Arial" w:eastAsia="Arial" w:hAnsi="Arial"/>
          <w:color w:val="566573"/>
          <w:sz w:val="22"/>
          <w:szCs w:val="22"/>
        </w:rPr>
        <w:t xml:space="preserve">Settlement history with on-chain verification links</w:t>
      </w:r>
    </w:p>
    <w:p>
      <w:pPr>
        <w:pStyle w:val="ListParagraph"/>
        <w:numPr>
          <w:ilvl w:val="0"/>
          <w:numId w:val="2"/>
        </w:numPr>
        <w:spacing w:after="80"/>
      </w:pPr>
      <w:r>
        <w:rPr>
          <w:rFonts w:ascii="Arial" w:cs="Arial" w:eastAsia="Arial" w:hAnsi="Arial"/>
          <w:color w:val="566573"/>
          <w:sz w:val="22"/>
          <w:szCs w:val="22"/>
        </w:rPr>
        <w:t xml:space="preserve">Pause/resume listings without losing escrow position</w:t>
      </w:r>
    </w:p>
    <w:p>
      <w:pPr>
        <w:pStyle w:val="ListParagraph"/>
        <w:numPr>
          <w:ilvl w:val="0"/>
          <w:numId w:val="2"/>
        </w:numPr>
        <w:spacing w:after="80"/>
      </w:pPr>
      <w:r>
        <w:rPr>
          <w:rFonts w:ascii="Arial" w:cs="Arial" w:eastAsia="Arial" w:hAnsi="Arial"/>
          <w:color w:val="566573"/>
          <w:sz w:val="22"/>
          <w:szCs w:val="22"/>
        </w:rPr>
        <w:t xml:space="preserve">Refund unclaimed escrow balances at any time</w:t>
      </w:r>
    </w:p>
    <w:p>
      <w:pPr>
        <w:pStyle w:val="ListParagraph"/>
        <w:numPr>
          <w:ilvl w:val="0"/>
          <w:numId w:val="2"/>
        </w:numPr>
        <w:spacing w:after="80"/>
      </w:pPr>
      <w:r>
        <w:rPr>
          <w:rFonts w:ascii="Arial" w:cs="Arial" w:eastAsia="Arial" w:hAnsi="Arial"/>
          <w:color w:val="566573"/>
          <w:sz w:val="22"/>
          <w:szCs w:val="22"/>
        </w:rPr>
        <w:t xml:space="preserve">Replenish escrow to extend campaign duration</w:t>
      </w:r>
    </w:p>
    <w:p>
      <w:pPr>
        <w:pStyle w:val="Heading2"/>
        <w:spacing w:after="150" w:before="300"/>
      </w:pPr>
      <w:r>
        <w:rPr>
          <w:rFonts w:ascii="Arial" w:cs="Arial" w:eastAsia="Arial" w:hAnsi="Arial"/>
          <w:b/>
          <w:bCs/>
          <w:color w:val="2C3E50"/>
          <w:sz w:val="28"/>
          <w:szCs w:val="28"/>
        </w:rPr>
        <w:t xml:space="preserve">4.3 Brand Scorecard</w:t>
      </w:r>
    </w:p>
    <w:p>
      <w:pPr>
        <w:spacing w:after="150"/>
      </w:pPr>
      <w:r>
        <w:rPr>
          <w:rFonts w:ascii="Arial" w:cs="Arial" w:eastAsia="Arial" w:hAnsi="Arial"/>
          <w:color w:val="566573"/>
          <w:sz w:val="22"/>
          <w:szCs w:val="22"/>
        </w:rPr>
        <w:t xml:space="preserve">Every brand earns a dynamic reputation score visible to souls before they accept offers. This creates a virtuous cycle: brands with higher scores get priority matching, driving them to maintain fair, well-funded campaigns.</w:t>
      </w:r>
    </w:p>
    <w:p>
      <w:pPr>
        <w:pStyle w:val="Heading3"/>
        <w:spacing w:after="100" w:before="200"/>
      </w:pPr>
      <w:r>
        <w:rPr>
          <w:rFonts w:ascii="Arial" w:cs="Arial" w:eastAsia="Arial" w:hAnsi="Arial"/>
          <w:b/>
          <w:bCs/>
          <w:color w:val="2E86C1"/>
          <w:sz w:val="24"/>
          <w:szCs w:val="24"/>
        </w:rPr>
        <w:t xml:space="preserve">Score Components</w:t>
      </w:r>
    </w:p>
    <w:p>
      <w:pPr>
        <w:pStyle w:val="ListParagraph"/>
        <w:numPr>
          <w:ilvl w:val="0"/>
          <w:numId w:val="2"/>
        </w:numPr>
        <w:spacing w:after="80"/>
      </w:pPr>
      <w:r>
        <w:rPr>
          <w:rFonts w:ascii="Arial" w:cs="Arial" w:eastAsia="Arial" w:hAnsi="Arial"/>
          <w:color w:val="566573"/>
          <w:sz w:val="22"/>
          <w:szCs w:val="22"/>
        </w:rPr>
        <w:t xml:space="preserve">Base Score (0-100): Weighted combination of claim rate (40%), bid fairness (30%), and escrow health (30%)</w:t>
      </w:r>
    </w:p>
    <w:p>
      <w:pPr>
        <w:pStyle w:val="ListParagraph"/>
        <w:numPr>
          <w:ilvl w:val="0"/>
          <w:numId w:val="2"/>
        </w:numPr>
        <w:spacing w:after="80"/>
      </w:pPr>
      <w:r>
        <w:rPr>
          <w:rFonts w:ascii="Arial" w:cs="Arial" w:eastAsia="Arial" w:hAnsi="Arial"/>
          <w:color w:val="566573"/>
          <w:sz w:val="22"/>
          <w:szCs w:val="22"/>
        </w:rPr>
        <w:t xml:space="preserve">Trend: Real-time momentum indicator comparing 7-day performance to 30-day baseline</w:t>
      </w:r>
    </w:p>
    <w:p>
      <w:pPr>
        <w:pStyle w:val="ListParagraph"/>
        <w:numPr>
          <w:ilvl w:val="0"/>
          <w:numId w:val="2"/>
        </w:numPr>
        <w:spacing w:after="80"/>
      </w:pPr>
      <w:r>
        <w:rPr>
          <w:rFonts w:ascii="Arial" w:cs="Arial" w:eastAsia="Arial" w:hAnsi="Arial"/>
          <w:color w:val="566573"/>
          <w:sz w:val="22"/>
          <w:szCs w:val="22"/>
        </w:rPr>
        <w:t xml:space="preserve">Contextual Multipliers: Seasonality, geography match, and cohort affinity adjustments</w:t>
      </w:r>
    </w:p>
    <w:p>
      <w:pPr>
        <w:pStyle w:val="Heading3"/>
        <w:spacing w:after="100" w:before="200"/>
      </w:pPr>
      <w:r>
        <w:rPr>
          <w:rFonts w:ascii="Arial" w:cs="Arial" w:eastAsia="Arial" w:hAnsi="Arial"/>
          <w:b/>
          <w:bCs/>
          <w:color w:val="2E86C1"/>
          <w:sz w:val="24"/>
          <w:szCs w:val="24"/>
        </w:rPr>
        <w:t xml:space="preserve">Badge System</w:t>
      </w:r>
    </w:p>
    <w:p>
      <w:pPr>
        <w:spacing w:after="150"/>
      </w:pPr>
      <w:r>
        <w:rPr>
          <w:rFonts w:ascii="Arial" w:cs="Arial" w:eastAsia="Arial" w:hAnsi="Arial"/>
          <w:color w:val="566573"/>
          <w:sz w:val="22"/>
          <w:szCs w:val="22"/>
        </w:rPr>
        <w:t xml:space="preserve">Brands earn visible badges surfaced on offer cards in the Soul App:</w:t>
      </w:r>
    </w:p>
    <w:p>
      <w:pPr>
        <w:pStyle w:val="ListParagraph"/>
        <w:numPr>
          <w:ilvl w:val="0"/>
          <w:numId w:val="2"/>
        </w:numPr>
        <w:spacing w:after="80"/>
      </w:pPr>
      <w:r>
        <w:rPr>
          <w:rFonts w:ascii="Arial" w:cs="Arial" w:eastAsia="Arial" w:hAnsi="Arial"/>
          <w:color w:val="566573"/>
          <w:sz w:val="22"/>
          <w:szCs w:val="22"/>
        </w:rPr>
        <w:t xml:space="preserve">Trending — Rising claim rate signals growing consumer trust</w:t>
      </w:r>
    </w:p>
    <w:p>
      <w:pPr>
        <w:pStyle w:val="ListParagraph"/>
        <w:numPr>
          <w:ilvl w:val="0"/>
          <w:numId w:val="2"/>
        </w:numPr>
        <w:spacing w:after="80"/>
      </w:pPr>
      <w:r>
        <w:rPr>
          <w:rFonts w:ascii="Arial" w:cs="Arial" w:eastAsia="Arial" w:hAnsi="Arial"/>
          <w:color w:val="566573"/>
          <w:sz w:val="22"/>
          <w:szCs w:val="22"/>
        </w:rPr>
        <w:t xml:space="preserve">Seasonal Pick — Performing well in their peak seasonal category</w:t>
      </w:r>
    </w:p>
    <w:p>
      <w:pPr>
        <w:pStyle w:val="ListParagraph"/>
        <w:numPr>
          <w:ilvl w:val="0"/>
          <w:numId w:val="2"/>
        </w:numPr>
        <w:spacing w:after="80"/>
      </w:pPr>
      <w:r>
        <w:rPr>
          <w:rFonts w:ascii="Arial" w:cs="Arial" w:eastAsia="Arial" w:hAnsi="Arial"/>
          <w:color w:val="566573"/>
          <w:sz w:val="22"/>
          <w:szCs w:val="22"/>
        </w:rPr>
        <w:t xml:space="preserve">Popular Nearby — Strong performance in the soul’s geographic region</w:t>
      </w:r>
    </w:p>
    <w:p>
      <w:pPr>
        <w:pStyle w:val="ListParagraph"/>
        <w:numPr>
          <w:ilvl w:val="0"/>
          <w:numId w:val="2"/>
        </w:numPr>
        <w:spacing w:after="80"/>
      </w:pPr>
      <w:r>
        <w:rPr>
          <w:rFonts w:ascii="Arial" w:cs="Arial" w:eastAsia="Arial" w:hAnsi="Arial"/>
          <w:color w:val="566573"/>
          <w:sz w:val="22"/>
          <w:szCs w:val="22"/>
        </w:rPr>
        <w:t xml:space="preserve">Repeat Favorite — Specific souls have claimed from this brand multiple times</w:t>
      </w:r>
    </w:p>
    <w:p>
      <w:pPr>
        <w:pStyle w:val="Heading3"/>
        <w:spacing w:after="100" w:before="200"/>
      </w:pPr>
      <w:r>
        <w:rPr>
          <w:rFonts w:ascii="Arial" w:cs="Arial" w:eastAsia="Arial" w:hAnsi="Arial"/>
          <w:b/>
          <w:bCs/>
          <w:color w:val="2E86C1"/>
          <w:sz w:val="24"/>
          <w:szCs w:val="24"/>
        </w:rPr>
        <w:t xml:space="preserve">Cold Start &amp; Graduation</w:t>
      </w:r>
    </w:p>
    <w:p>
      <w:pPr>
        <w:spacing w:after="150"/>
      </w:pPr>
      <w:r>
        <w:rPr>
          <w:rFonts w:ascii="Arial" w:cs="Arial" w:eastAsia="Arial" w:hAnsi="Arial"/>
          <w:color w:val="566573"/>
          <w:sz w:val="22"/>
          <w:szCs w:val="22"/>
        </w:rPr>
        <w:t xml:space="preserve">New brands enter with a base score of 75/100 and a “New” indicator. After 20 settlements, the brand graduates to the full scoring algorithm. This ensures new entrants get fair initial visibility while the system accumulates enough data for meaningful reputation assessment.</w:t>
      </w:r>
    </w:p>
    <w:p>
      <w:pPr>
        <w:pStyle w:val="Heading2"/>
        <w:spacing w:after="150" w:before="300"/>
      </w:pPr>
      <w:r>
        <w:rPr>
          <w:rFonts w:ascii="Arial" w:cs="Arial" w:eastAsia="Arial" w:hAnsi="Arial"/>
          <w:b/>
          <w:bCs/>
          <w:color w:val="2C3E50"/>
          <w:sz w:val="28"/>
          <w:szCs w:val="28"/>
        </w:rPr>
        <w:t xml:space="preserve">4.4 Why Brands Choose PersonalOS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sz w:val="20"/>
                <w:szCs w:val="20"/>
              </w:rPr>
              <w:t xml:space="preserve">Traditional Advertising</w:t>
            </w:r>
          </w:p>
        </w:tc>
        <w:tc>
          <w:tcPr>
            <w:tcW w:type="dxa" w:w="468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sz w:val="20"/>
                <w:szCs w:val="20"/>
              </w:rPr>
              <w:t xml:space="preserve">PersonalOS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$30-80 CPA via Meta/Google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$2-5 per consent-verified claim</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Inferred audiences, degrading signals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Explicitly consented, verified data</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&lt;10% measurable attribution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100% verifiable on-chain settlement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Privacy regulations eroding targeting</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Privacy-native: consent IS the product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Brand reputation opaque to consumers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566573"/>
                <w:sz w:val="20"/>
                <w:szCs w:val="20"/>
              </w:rPr>
              <w:t xml:space="preserve">Transparent scorecard builds trust over time</w:t>
            </w:r>
          </w:p>
        </w:tc>
      </w:tr>
    </w:tbl>
    <w:p>
      <w:r>
        <w:br w:type="page"/>
      </w:r>
    </w:p>
    <w:p>
      <w:pPr>
        <w:pStyle w:val="Heading1"/>
        <w:spacing w:after="200" w:before="400"/>
      </w:pPr>
      <w:r>
        <w:rPr>
          <w:rFonts w:ascii="Arial" w:cs="Arial" w:eastAsia="Arial" w:hAnsi="Arial"/>
          <w:b/>
          <w:bCs/>
          <w:color w:val="1B4F72"/>
          <w:sz w:val="36"/>
          <w:szCs w:val="36"/>
        </w:rPr>
        <w:t xml:space="preserve">Platform Status &amp; Roadmap</w:t>
      </w:r>
    </w:p>
    <w:p>
      <w:pPr>
        <w:pStyle w:val="Heading2"/>
        <w:spacing w:after="150" w:before="300"/>
      </w:pPr>
      <w:r>
        <w:rPr>
          <w:rFonts w:ascii="Arial" w:cs="Arial" w:eastAsia="Arial" w:hAnsi="Arial"/>
          <w:b/>
          <w:bCs/>
          <w:color w:val="2C3E50"/>
          <w:sz w:val="28"/>
          <w:szCs w:val="28"/>
        </w:rPr>
        <w:t xml:space="preserve">Current State (July 2026)</w:t>
      </w:r>
    </w:p>
    <w:p>
      <w:pPr>
        <w:pStyle w:val="ListParagraph"/>
        <w:numPr>
          <w:ilvl w:val="0"/>
          <w:numId w:val="2"/>
        </w:numPr>
        <w:spacing w:after="80"/>
      </w:pPr>
      <w:r>
        <w:rPr>
          <w:rFonts w:ascii="Arial" w:cs="Arial" w:eastAsia="Arial" w:hAnsi="Arial"/>
          <w:color w:val="566573"/>
          <w:sz w:val="22"/>
          <w:szCs w:val="22"/>
        </w:rPr>
        <w:t xml:space="preserve">Smart contracts deployed and source-verified on Base Sepolia (testnet)</w:t>
      </w:r>
    </w:p>
    <w:p>
      <w:pPr>
        <w:pStyle w:val="ListParagraph"/>
        <w:numPr>
          <w:ilvl w:val="0"/>
          <w:numId w:val="2"/>
        </w:numPr>
        <w:spacing w:after="80"/>
      </w:pPr>
      <w:r>
        <w:rPr>
          <w:rFonts w:ascii="Arial" w:cs="Arial" w:eastAsia="Arial" w:hAnsi="Arial"/>
          <w:color w:val="566573"/>
          <w:sz w:val="22"/>
          <w:szCs w:val="22"/>
        </w:rPr>
        <w:t xml:space="preserve">Full exchange lifecycle operational: deposit → match → offer → claim → settlement</w:t>
      </w:r>
    </w:p>
    <w:p>
      <w:pPr>
        <w:pStyle w:val="ListParagraph"/>
        <w:numPr>
          <w:ilvl w:val="0"/>
          <w:numId w:val="2"/>
        </w:numPr>
        <w:spacing w:after="80"/>
      </w:pPr>
      <w:r>
        <w:rPr>
          <w:rFonts w:ascii="Arial" w:cs="Arial" w:eastAsia="Arial" w:hAnsi="Arial"/>
          <w:color w:val="566573"/>
          <w:sz w:val="22"/>
          <w:szCs w:val="22"/>
        </w:rPr>
        <w:t xml:space="preserve">Brand scoring system live with configurable weights, seasonality, and badge system</w:t>
      </w:r>
    </w:p>
    <w:p>
      <w:pPr>
        <w:pStyle w:val="ListParagraph"/>
        <w:numPr>
          <w:ilvl w:val="0"/>
          <w:numId w:val="2"/>
        </w:numPr>
        <w:spacing w:after="80"/>
      </w:pPr>
      <w:r>
        <w:rPr>
          <w:rFonts w:ascii="Arial" w:cs="Arial" w:eastAsia="Arial" w:hAnsi="Arial"/>
          <w:color w:val="566573"/>
          <w:sz w:val="22"/>
          <w:szCs w:val="22"/>
        </w:rPr>
        <w:t xml:space="preserve">Three-surface architecture running: Soul App, Operator Console, Brand Portal</w:t>
      </w:r>
    </w:p>
    <w:p>
      <w:pPr>
        <w:pStyle w:val="ListParagraph"/>
        <w:numPr>
          <w:ilvl w:val="0"/>
          <w:numId w:val="2"/>
        </w:numPr>
        <w:spacing w:after="80"/>
      </w:pPr>
      <w:r>
        <w:rPr>
          <w:rFonts w:ascii="Arial" w:cs="Arial" w:eastAsia="Arial" w:hAnsi="Arial"/>
          <w:color w:val="566573"/>
          <w:sz w:val="22"/>
          <w:szCs w:val="22"/>
        </w:rPr>
        <w:t xml:space="preserve">24 automated tests passing across matching and scoring engines</w:t>
      </w:r>
    </w:p>
    <w:p>
      <w:pPr>
        <w:pStyle w:val="Heading2"/>
        <w:spacing w:after="150" w:before="300"/>
      </w:pPr>
      <w:r>
        <w:rPr>
          <w:rFonts w:ascii="Arial" w:cs="Arial" w:eastAsia="Arial" w:hAnsi="Arial"/>
          <w:b/>
          <w:bCs/>
          <w:color w:val="2C3E50"/>
          <w:sz w:val="28"/>
          <w:szCs w:val="28"/>
        </w:rPr>
        <w:t xml:space="preserve">Near-Term Roadmap (Q3-Q4 2026)</w:t>
      </w:r>
    </w:p>
    <w:p>
      <w:pPr>
        <w:pStyle w:val="ListParagraph"/>
        <w:numPr>
          <w:ilvl w:val="0"/>
          <w:numId w:val="2"/>
        </w:numPr>
        <w:spacing w:after="80"/>
      </w:pPr>
      <w:r>
        <w:rPr>
          <w:rFonts w:ascii="Arial" w:cs="Arial" w:eastAsia="Arial" w:hAnsi="Arial"/>
          <w:color w:val="566573"/>
          <w:sz w:val="22"/>
          <w:szCs w:val="22"/>
        </w:rPr>
        <w:t xml:space="preserve">Data source integrations: Plaid, Apple Health, Location services</w:t>
      </w:r>
    </w:p>
    <w:p>
      <w:pPr>
        <w:pStyle w:val="ListParagraph"/>
        <w:numPr>
          <w:ilvl w:val="0"/>
          <w:numId w:val="2"/>
        </w:numPr>
        <w:spacing w:after="80"/>
      </w:pPr>
      <w:r>
        <w:rPr>
          <w:rFonts w:ascii="Arial" w:cs="Arial" w:eastAsia="Arial" w:hAnsi="Arial"/>
          <w:color w:val="566573"/>
          <w:sz w:val="22"/>
          <w:szCs w:val="22"/>
        </w:rPr>
        <w:t xml:space="preserve">Know Yourself insight cards and personal AI agent</w:t>
      </w:r>
    </w:p>
    <w:p>
      <w:pPr>
        <w:pStyle w:val="ListParagraph"/>
        <w:numPr>
          <w:ilvl w:val="0"/>
          <w:numId w:val="2"/>
        </w:numPr>
        <w:spacing w:after="80"/>
      </w:pPr>
      <w:r>
        <w:rPr>
          <w:rFonts w:ascii="Arial" w:cs="Arial" w:eastAsia="Arial" w:hAnsi="Arial"/>
          <w:color w:val="566573"/>
          <w:sz w:val="22"/>
          <w:szCs w:val="22"/>
        </w:rPr>
        <w:t xml:space="preserve">Crypto-native Phase 1 launch via Galxe/Layer3 testnet campaigns</w:t>
      </w:r>
    </w:p>
    <w:p>
      <w:pPr>
        <w:pStyle w:val="ListParagraph"/>
        <w:numPr>
          <w:ilvl w:val="0"/>
          <w:numId w:val="2"/>
        </w:numPr>
        <w:spacing w:after="80"/>
      </w:pPr>
      <w:r>
        <w:rPr>
          <w:rFonts w:ascii="Arial" w:cs="Arial" w:eastAsia="Arial" w:hAnsi="Arial"/>
          <w:color w:val="566573"/>
          <w:sz w:val="22"/>
          <w:szCs w:val="22"/>
        </w:rPr>
        <w:t xml:space="preserve">First 3-5 DTC brand partnerships secured</w:t>
      </w:r>
    </w:p>
    <w:p>
      <w:pPr>
        <w:pStyle w:val="ListParagraph"/>
        <w:numPr>
          <w:ilvl w:val="0"/>
          <w:numId w:val="2"/>
        </w:numPr>
        <w:spacing w:after="80"/>
      </w:pPr>
      <w:r>
        <w:rPr>
          <w:rFonts w:ascii="Arial" w:cs="Arial" w:eastAsia="Arial" w:hAnsi="Arial"/>
          <w:color w:val="566573"/>
          <w:sz w:val="22"/>
          <w:szCs w:val="22"/>
        </w:rPr>
        <w:t xml:space="preserve">Wallet abstraction for mainstream onboarding</w:t>
      </w:r>
    </w:p>
    <w:p>
      <w:pPr>
        <w:pStyle w:val="Heading2"/>
        <w:spacing w:after="150" w:before="300"/>
      </w:pPr>
      <w:r>
        <w:rPr>
          <w:rFonts w:ascii="Arial" w:cs="Arial" w:eastAsia="Arial" w:hAnsi="Arial"/>
          <w:b/>
          <w:bCs/>
          <w:color w:val="2C3E50"/>
          <w:sz w:val="28"/>
          <w:szCs w:val="28"/>
        </w:rPr>
        <w:t xml:space="preserve">Mainnet Launch Trigger</w:t>
      </w:r>
    </w:p>
    <w:p>
      <w:pPr>
        <w:spacing w:after="150"/>
      </w:pPr>
      <w:r>
        <w:rPr>
          <w:rFonts w:ascii="Arial" w:cs="Arial" w:eastAsia="Arial" w:hAnsi="Arial"/>
          <w:color w:val="566573"/>
          <w:sz w:val="22"/>
          <w:szCs w:val="22"/>
        </w:rPr>
        <w:t xml:space="preserve">Base mainnet deployment activates when three conditions are met:</w:t>
      </w:r>
    </w:p>
    <w:p>
      <w:pPr>
        <w:pStyle w:val="ListParagraph"/>
        <w:numPr>
          <w:ilvl w:val="0"/>
          <w:numId w:val="2"/>
        </w:numPr>
        <w:spacing w:after="80"/>
      </w:pPr>
      <w:r>
        <w:rPr>
          <w:rFonts w:ascii="Arial" w:cs="Arial" w:eastAsia="Arial" w:hAnsi="Arial"/>
          <w:color w:val="566573"/>
          <w:sz w:val="22"/>
          <w:szCs w:val="22"/>
        </w:rPr>
        <w:t xml:space="preserve">Know Yourself experience at magic minimum (3 sources, 5 insight cards, weekly AI digest)</w:t>
      </w:r>
    </w:p>
    <w:p>
      <w:pPr>
        <w:pStyle w:val="ListParagraph"/>
        <w:numPr>
          <w:ilvl w:val="0"/>
          <w:numId w:val="2"/>
        </w:numPr>
        <w:spacing w:after="80"/>
      </w:pPr>
      <w:r>
        <w:rPr>
          <w:rFonts w:ascii="Arial" w:cs="Arial" w:eastAsia="Arial" w:hAnsi="Arial"/>
          <w:color w:val="566573"/>
          <w:sz w:val="22"/>
          <w:szCs w:val="22"/>
        </w:rPr>
        <w:t xml:space="preserve">Minimum 3 brands with $5,000+ USDC escrow deposits committed</w:t>
      </w:r>
    </w:p>
    <w:p>
      <w:pPr>
        <w:pStyle w:val="ListParagraph"/>
        <w:numPr>
          <w:ilvl w:val="0"/>
          <w:numId w:val="2"/>
        </w:numPr>
        <w:spacing w:after="80"/>
      </w:pPr>
      <w:r>
        <w:rPr>
          <w:rFonts w:ascii="Arial" w:cs="Arial" w:eastAsia="Arial" w:hAnsi="Arial"/>
          <w:color w:val="566573"/>
          <w:sz w:val="22"/>
          <w:szCs w:val="22"/>
        </w:rPr>
        <w:t xml:space="preserve">Smart contract security review completed</w:t>
      </w:r>
    </w:p>
    <w:p>
      <w:pPr>
        <w:pStyle w:val="Heading2"/>
        <w:spacing w:after="150" w:before="300"/>
      </w:pPr>
      <w:r>
        <w:rPr>
          <w:rFonts w:ascii="Arial" w:cs="Arial" w:eastAsia="Arial" w:hAnsi="Arial"/>
          <w:b/>
          <w:bCs/>
          <w:color w:val="2C3E50"/>
          <w:sz w:val="28"/>
          <w:szCs w:val="28"/>
        </w:rPr>
        <w:t xml:space="preserve">Spring 2027 Target</w:t>
      </w:r>
    </w:p>
    <w:p>
      <w:pPr>
        <w:pStyle w:val="ListParagraph"/>
        <w:numPr>
          <w:ilvl w:val="0"/>
          <w:numId w:val="2"/>
        </w:numPr>
        <w:spacing w:after="80"/>
      </w:pPr>
      <w:r>
        <w:rPr>
          <w:rFonts w:ascii="Arial" w:cs="Arial" w:eastAsia="Arial" w:hAnsi="Arial"/>
          <w:color w:val="566573"/>
          <w:sz w:val="22"/>
          <w:szCs w:val="22"/>
        </w:rPr>
        <w:t xml:space="preserve">1,000+ power users with 50%+ weekly retention</w:t>
      </w:r>
    </w:p>
    <w:p>
      <w:pPr>
        <w:pStyle w:val="ListParagraph"/>
        <w:numPr>
          <w:ilvl w:val="0"/>
          <w:numId w:val="2"/>
        </w:numPr>
        <w:spacing w:after="80"/>
      </w:pPr>
      <w:r>
        <w:rPr>
          <w:rFonts w:ascii="Arial" w:cs="Arial" w:eastAsia="Arial" w:hAnsi="Arial"/>
          <w:color w:val="566573"/>
          <w:sz w:val="22"/>
          <w:szCs w:val="22"/>
        </w:rPr>
        <w:t xml:space="preserve">5+ paying DTC brands with measurable ROI</w:t>
      </w:r>
    </w:p>
    <w:p>
      <w:pPr>
        <w:pStyle w:val="ListParagraph"/>
        <w:numPr>
          <w:ilvl w:val="0"/>
          <w:numId w:val="2"/>
        </w:numPr>
        <w:spacing w:after="80"/>
      </w:pPr>
      <w:r>
        <w:rPr>
          <w:rFonts w:ascii="Arial" w:cs="Arial" w:eastAsia="Arial" w:hAnsi="Arial"/>
          <w:color w:val="566573"/>
          <w:sz w:val="22"/>
          <w:szCs w:val="22"/>
        </w:rPr>
        <w:t xml:space="preserve">$10-20K in settlements processed on-chain</w:t>
      </w:r>
    </w:p>
    <w:p>
      <w:pPr>
        <w:pStyle w:val="ListParagraph"/>
        <w:numPr>
          <w:ilvl w:val="0"/>
          <w:numId w:val="2"/>
        </w:numPr>
        <w:spacing w:after="80"/>
      </w:pPr>
      <w:r>
        <w:rPr>
          <w:rFonts w:ascii="Arial" w:cs="Arial" w:eastAsia="Arial" w:hAnsi="Arial"/>
          <w:color w:val="566573"/>
          <w:sz w:val="22"/>
          <w:szCs w:val="22"/>
        </w:rPr>
        <w:t xml:space="preserve">Know Yourself screenshots achieving organic virality</w:t>
      </w:r>
    </w:p>
    <w:p>
      <w:pPr>
        <w:pStyle w:val="ListParagraph"/>
        <w:numPr>
          <w:ilvl w:val="0"/>
          <w:numId w:val="2"/>
        </w:numPr>
        <w:spacing w:after="80"/>
      </w:pPr>
      <w:r>
        <w:rPr>
          <w:rFonts w:ascii="Arial" w:cs="Arial" w:eastAsia="Arial" w:hAnsi="Arial"/>
          <w:color w:val="566573"/>
          <w:sz w:val="22"/>
          <w:szCs w:val="22"/>
        </w:rPr>
        <w:t xml:space="preserve">Seed-round-ready metrics for $500K-1.5M raise</w:t>
      </w:r>
    </w:p>
    <w:p>
      <w:pPr>
        <w:spacing w:before="600"/>
      </w:pPr>
    </w:p>
    <w:p>
      <w:pPr>
        <w:pBdr>
          <w:top w:val="single" w:color="2E86C1" w:sz="6" w:space="1"/>
        </w:pBdr>
        <w:spacing w:before="200"/>
        <w:jc w:val="center"/>
      </w:pPr>
      <w:r>
        <w:rPr>
          <w:rFonts w:ascii="Arial" w:cs="Arial" w:eastAsia="Arial" w:hAnsi="Arial"/>
          <w:b/>
          <w:bCs/>
          <w:color w:val="1B4F72"/>
          <w:sz w:val="24"/>
          <w:szCs w:val="24"/>
        </w:rPr>
        <w:t xml:space="preserve">PersonalOS — Your Data. Your Insight. Your Income.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pPr>
    <w:r>
      <w:rPr>
        <w:rFonts w:ascii="Arial" w:cs="Arial" w:eastAsia="Arial" w:hAnsi="Arial"/>
        <w:i/>
        <w:iCs/>
        <w:color w:val="566573"/>
        <w:sz w:val="18"/>
        <w:szCs w:val="18"/>
      </w:rPr>
      <w:t xml:space="preserve">PersonalOS  |  Value Proposition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2026-07-04T18:27:36.604Z</dcterms:created>
  <dcterms:modified xsi:type="dcterms:W3CDTF">2026-07-04T18:27:36.604Z</dcterms:modified>
</cp:coreProperties>
</file>

<file path=docProps/custom.xml><?xml version="1.0" encoding="utf-8"?>
<Properties xmlns="http://schemas.openxmlformats.org/officeDocument/2006/custom-properties" xmlns:vt="http://schemas.openxmlformats.org/officeDocument/2006/docPropsVTypes"/>
</file>