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before="0" w:line="276"/>
      </w:pPr>
      <w:r>
        <w:rPr>
          <w:rFonts w:ascii="Calibri" w:cs="Calibri" w:eastAsia="Calibri" w:hAnsi="Calibri"/>
          <w:color w:val="000000"/>
          <w:sz w:val="24"/>
          <w:szCs w:val="24"/>
        </w:rPr>
        <w:t xml:space="preserve"/>
      </w:r>
    </w:p>
    <w:p>
      <w:pPr>
        <w:spacing w:after="240" w:before="0" w:line="276"/>
        <w:jc w:val="center"/>
      </w:pPr>
      <w:r>
        <w:rPr>
          <w:rFonts w:ascii="Calibri" w:cs="Calibri" w:eastAsia="Calibri" w:hAnsi="Calibri"/>
          <w:b/>
          <w:bCs/>
          <w:color w:val="1B4F72"/>
          <w:sz w:val="56"/>
          <w:szCs w:val="56"/>
        </w:rPr>
        <w:t xml:space="preserve">PersonalOS</w:t>
      </w:r>
    </w:p>
    <w:p>
      <w:pPr>
        <w:spacing w:after="80" w:before="0" w:line="276"/>
      </w:pPr>
      <w:r>
        <w:rPr>
          <w:rFonts w:ascii="Calibri" w:cs="Calibri" w:eastAsia="Calibri" w:hAnsi="Calibri"/>
          <w:color w:val="000000"/>
          <w:sz w:val="24"/>
          <w:szCs w:val="24"/>
        </w:rPr>
        <w:t xml:space="preserve"/>
      </w:r>
    </w:p>
    <w:p>
      <w:pPr>
        <w:spacing w:after="120" w:before="0" w:line="276"/>
        <w:jc w:val="center"/>
      </w:pPr>
      <w:r>
        <w:rPr>
          <w:rFonts w:ascii="Calibri" w:cs="Calibri" w:eastAsia="Calibri" w:hAnsi="Calibri"/>
          <w:b/>
          <w:bCs/>
          <w:color w:val="2C3E50"/>
          <w:sz w:val="40"/>
          <w:szCs w:val="40"/>
        </w:rPr>
        <w:t xml:space="preserve">Where Your Ad Money Actually Goes</w:t>
      </w:r>
    </w:p>
    <w:p>
      <w:pPr>
        <w:spacing w:after="800" w:before="0" w:line="276"/>
        <w:jc w:val="center"/>
      </w:pPr>
      <w:r>
        <w:rPr>
          <w:rFonts w:ascii="Calibri" w:cs="Calibri" w:eastAsia="Calibri" w:hAnsi="Calibri"/>
          <w:color w:val="2C3E50"/>
          <w:sz w:val="30"/>
          <w:szCs w:val="30"/>
        </w:rPr>
        <w:t xml:space="preserve">And How to Make Every Dollar Count</w:t>
      </w:r>
    </w:p>
    <w:p>
      <w:pPr>
        <w:spacing w:after="80" w:before="0" w:line="276"/>
        <w:jc w:val="center"/>
      </w:pPr>
      <w:r>
        <w:rPr>
          <w:rFonts w:ascii="Calibri" w:cs="Calibri" w:eastAsia="Calibri" w:hAnsi="Calibri"/>
          <w:i/>
          <w:iCs/>
          <w:color w:val="2C3E50"/>
          <w:sz w:val="24"/>
          <w:szCs w:val="24"/>
        </w:rPr>
        <w:t xml:space="preserve">A Three-Proof-Point Analysis of Programmatic Ad Waste</w:t>
      </w:r>
    </w:p>
    <w:p>
      <w:pPr>
        <w:spacing w:after="1000" w:before="0" w:line="276"/>
        <w:jc w:val="center"/>
      </w:pPr>
      <w:r>
        <w:rPr>
          <w:rFonts w:ascii="Calibri" w:cs="Calibri" w:eastAsia="Calibri" w:hAnsi="Calibri"/>
          <w:i/>
          <w:iCs/>
          <w:color w:val="2C3E50"/>
          <w:sz w:val="24"/>
          <w:szCs w:val="24"/>
        </w:rPr>
        <w:t xml:space="preserve">and the Structural Solution That Eliminates It</w:t>
      </w:r>
    </w:p>
    <w:p>
      <w:pPr>
        <w:spacing w:after="80" w:before="0" w:line="276"/>
        <w:jc w:val="center"/>
      </w:pPr>
      <w:r>
        <w:rPr>
          <w:rFonts w:ascii="Calibri" w:cs="Calibri" w:eastAsia="Calibri" w:hAnsi="Calibri"/>
          <w:color w:val="2C3E50"/>
          <w:sz w:val="24"/>
          <w:szCs w:val="24"/>
        </w:rPr>
        <w:t xml:space="preserve">July 2026</w:t>
      </w:r>
    </w:p>
    <w:p>
      <w:pPr>
        <w:spacing w:after="400" w:before="0" w:line="276"/>
        <w:jc w:val="center"/>
      </w:pPr>
      <w:r>
        <w:rPr>
          <w:rFonts w:ascii="Calibri" w:cs="Calibri" w:eastAsia="Calibri" w:hAnsi="Calibri"/>
          <w:b/>
          <w:bCs/>
          <w:color w:val="2C3E50"/>
          <w:sz w:val="24"/>
          <w:szCs w:val="24"/>
        </w:rPr>
        <w:t xml:space="preserve">PersonalOS Inc.</w:t>
      </w:r>
    </w:p>
    <w:p>
      <w:pPr>
        <w:spacing w:after="240" w:before="0" w:line="276"/>
        <w:jc w:val="center"/>
      </w:pPr>
      <w:r>
        <w:rPr>
          <w:rFonts w:ascii="Calibri" w:cs="Calibri" w:eastAsia="Calibri" w:hAnsi="Calibri"/>
          <w:i/>
          <w:iCs/>
          <w:color w:val="C0392B"/>
          <w:sz w:val="22"/>
          <w:szCs w:val="22"/>
        </w:rPr>
        <w:t xml:space="preserve">Confidential — For Decision Makers</w:t>
      </w:r>
    </w:p>
    <w:p>
      <w:pPr>
        <w:pStyle w:val="Heading1"/>
        <w:pageBreakBefore/>
        <w:pBdr>
          <w:bottom w:val="single" w:color="1B4F72" w:sz="6" w:space="8"/>
        </w:pBdr>
        <w:spacing w:after="360" w:before="0" w:line="276"/>
      </w:pPr>
      <w:r>
        <w:rPr>
          <w:rFonts w:ascii="Calibri" w:cs="Calibri" w:eastAsia="Calibri" w:hAnsi="Calibri"/>
          <w:b/>
          <w:bCs/>
          <w:color w:val="1B4F72"/>
          <w:sz w:val="36"/>
          <w:szCs w:val="36"/>
        </w:rPr>
        <w:t xml:space="preserve">EXECUTIVE SUMMARY</w:t>
      </w:r>
    </w:p>
    <w:p>
      <w:pPr>
        <w:spacing w:after="240" w:before="0" w:line="276"/>
      </w:pPr>
      <w:r>
        <w:rPr>
          <w:rFonts w:ascii="Calibri" w:cs="Calibri" w:eastAsia="Calibri" w:hAnsi="Calibri"/>
          <w:color w:val="000000"/>
          <w:sz w:val="24"/>
          <w:szCs w:val="24"/>
        </w:rPr>
        <w:t xml:space="preserve">The programmatic advertising industry wastes $26.8 billion annually. This isn't a guess — it's measured by the Association of National Advertisers (ANA), verified by independent auditors (ISBA, Lumen), and litigated by the U.S. Department of Justice.</w:t>
      </w:r>
    </w:p>
    <w:p>
      <w:pPr>
        <w:spacing w:after="240" w:before="0" w:line="276"/>
      </w:pPr>
      <w:r>
        <w:rPr>
          <w:rFonts w:ascii="Calibri" w:cs="Calibri" w:eastAsia="Calibri" w:hAnsi="Calibri"/>
          <w:color w:val="000000"/>
          <w:sz w:val="24"/>
          <w:szCs w:val="24"/>
        </w:rPr>
        <w:t xml:space="preserve">This paper makes three claims, each with a different proof:</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Proof Point</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Claim</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How It's Proven</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#1 — Direct Channel</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41x more efficient than programmatic</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Smart contract math — every cent traceable on Base blockchain</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#2 — Channel Optimization</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3-5x improvement in Meta/Google efficiency</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Aggregate demand intelligence from verified intent data</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#3 — Portfolio Effect</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8-15x blended improvement</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Combining direct channel + optimized existing spend</w:t>
            </w:r>
          </w:p>
        </w:tc>
      </w:tr>
    </w:tbl>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3"/>
              <w:left w:val="single" w:color="1B4F72" w:sz="6"/>
              <w:bottom w:val="single" w:color="BBBBBB" w:sz="3"/>
              <w:right w:val="single" w:color="BBBBBB" w:sz="3"/>
            </w:tcBorders>
            <w:shd w:fill="D6EAF8" w:val="clear"/>
            <w:tcMar>
              <w:top w:type="dxa" w:w="120"/>
              <w:left w:type="dxa" w:w="200"/>
              <w:bottom w:type="dxa" w:w="120"/>
              <w:right w:type="dxa" w:w="200"/>
            </w:tcMar>
          </w:tcPr>
          <w:p>
            <w:pPr>
              <w:spacing w:after="0"/>
            </w:pPr>
            <w:r>
              <w:rPr>
                <w:rFonts w:ascii="Calibri" w:cs="Calibri" w:eastAsia="Calibri" w:hAnsi="Calibri"/>
                <w:b/>
                <w:bCs/>
                <w:color w:val="1B4F72"/>
                <w:sz w:val="22"/>
                <w:szCs w:val="22"/>
              </w:rPr>
              <w:t xml:space="preserve">Important: PersonalOS does not replace YouTube, Meta, or Google. It complements them. The direct channel handles your highest-value audiences (41x efficiency). The intelligence product makes your existing campaigns smarter (3-5x). Together, they create a portfolio effect (8-15x) that grows as you shift allocation based on measured results.</w:t>
            </w:r>
          </w:p>
        </w:tc>
      </w:tr>
    </w:tbl>
    <w:p>
      <w:pPr>
        <w:spacing w:after="120" w:before="0" w:line="276"/>
      </w:pPr>
      <w:r>
        <w:rPr>
          <w:rFonts w:ascii="Calibri" w:cs="Calibri" w:eastAsia="Calibri" w:hAnsi="Calibri"/>
          <w:color w:val="000000"/>
          <w:sz w:val="24"/>
          <w:szCs w:val="24"/>
        </w:rPr>
        <w:t xml:space="preserve"/>
      </w:r>
    </w:p>
    <w:p>
      <w:pPr>
        <w:spacing w:after="240" w:before="0" w:line="276"/>
      </w:pPr>
      <w:r>
        <w:rPr>
          <w:rFonts w:ascii="Calibri" w:cs="Calibri" w:eastAsia="Calibri" w:hAnsi="Calibri"/>
          <w:color w:val="000000"/>
          <w:sz w:val="24"/>
          <w:szCs w:val="24"/>
        </w:rPr>
        <w:t xml:space="preserve">PersonalOS is not another ad network. It is a demand discovery platform — it tells you exactly who wants your product, backed by verified cross-source data, settled on blockchain, with economics locked in immutable code.</w:t>
      </w:r>
    </w:p>
    <w:p>
      <w:pPr>
        <w:pStyle w:val="Heading1"/>
        <w:pageBreakBefore/>
        <w:pBdr>
          <w:bottom w:val="single" w:color="1B4F72" w:sz="6" w:space="8"/>
        </w:pBdr>
        <w:spacing w:after="360" w:before="0" w:line="276"/>
      </w:pPr>
      <w:r>
        <w:rPr>
          <w:rFonts w:ascii="Calibri" w:cs="Calibri" w:eastAsia="Calibri" w:hAnsi="Calibri"/>
          <w:b/>
          <w:bCs/>
          <w:color w:val="1B4F72"/>
          <w:sz w:val="36"/>
          <w:szCs w:val="36"/>
        </w:rPr>
        <w:t xml:space="preserve">PART 1: WHERE YOUR AD MONEY ACTUALLY GOES</w:t>
      </w:r>
    </w:p>
    <w:p>
      <w:pPr>
        <w:spacing w:after="240" w:before="0" w:line="276"/>
      </w:pPr>
      <w:r>
        <w:rPr>
          <w:rFonts w:ascii="Calibri" w:cs="Calibri" w:eastAsia="Calibri" w:hAnsi="Calibri"/>
          <w:color w:val="000000"/>
          <w:sz w:val="24"/>
          <w:szCs w:val="24"/>
        </w:rPr>
        <w:t xml:space="preserve">For every dollar a brand spends on programmatic advertising, research shows that only 36 cents reaches a real human who actually sees the ad. The other 64 cents disappear into a chain of intermediaries, fraud, and waste that the industry has accepted as normal.</w:t>
      </w:r>
    </w:p>
    <w:p>
      <w:pPr>
        <w:spacing w:after="240" w:before="0" w:line="276"/>
      </w:pPr>
      <w:r>
        <w:rPr>
          <w:rFonts w:ascii="Calibri" w:cs="Calibri" w:eastAsia="Calibri" w:hAnsi="Calibri"/>
          <w:color w:val="000000"/>
          <w:sz w:val="24"/>
          <w:szCs w:val="24"/>
        </w:rPr>
        <w:t xml:space="preserve">Here is where that money goes, category by category:</w:t>
      </w:r>
    </w:p>
    <w:p>
      <w:pPr>
        <w:pStyle w:val="Heading2"/>
        <w:spacing w:after="240" w:before="360" w:line="276"/>
      </w:pPr>
      <w:r>
        <w:rPr>
          <w:rFonts w:ascii="Calibri" w:cs="Calibri" w:eastAsia="Calibri" w:hAnsi="Calibri"/>
          <w:b/>
          <w:bCs/>
          <w:color w:val="2C3E50"/>
          <w:sz w:val="30"/>
          <w:szCs w:val="30"/>
        </w:rPr>
        <w:t xml:space="preserve">1. The Supply Chain Tax — 15¢ of Every Dollar</w:t>
      </w:r>
    </w:p>
    <w:p>
      <w:pPr>
        <w:spacing w:after="240" w:before="0" w:line="276"/>
      </w:pPr>
      <w:r>
        <w:rPr>
          <w:rFonts w:ascii="Calibri" w:cs="Calibri" w:eastAsia="Calibri" w:hAnsi="Calibri"/>
          <w:b/>
          <w:bCs/>
          <w:color w:val="000000"/>
          <w:sz w:val="24"/>
          <w:szCs w:val="24"/>
        </w:rPr>
        <w:t xml:space="preserve">Source: </w:t>
      </w:r>
      <w:r>
        <w:rPr>
          <w:rFonts w:ascii="Calibri" w:cs="Calibri" w:eastAsia="Calibri" w:hAnsi="Calibri"/>
          <w:color w:val="000000"/>
          <w:sz w:val="24"/>
          <w:szCs w:val="24"/>
        </w:rPr>
        <w:t xml:space="preserve">ISBA Programmatic Supply Chain Transparency Study (2020, updated 2023); ANA Programmatic Media Supply Chain Transparency Study (Q2 2025)</w:t>
      </w:r>
    </w:p>
    <w:p>
      <w:pPr>
        <w:spacing w:after="240" w:before="0" w:line="276"/>
      </w:pPr>
      <w:r>
        <w:rPr>
          <w:rFonts w:ascii="Calibri" w:cs="Calibri" w:eastAsia="Calibri" w:hAnsi="Calibri"/>
          <w:color w:val="000000"/>
          <w:sz w:val="24"/>
          <w:szCs w:val="24"/>
        </w:rPr>
        <w:t xml:space="preserve">Between your media buy and the actual ad impression, your money passes through an average of 7.4 intermediaries: demand-side platforms (DSPs), supply-side platforms (SSPs), data management platforms (DMPs), verification vendors, ad exchanges, and resellers. Each takes a cut.</w:t>
      </w:r>
    </w:p>
    <w:p>
      <w:pPr>
        <w:pStyle w:val="ListParagraph"/>
        <w:numPr>
          <w:ilvl w:val="0"/>
          <w:numId w:val="1"/>
        </w:numPr>
        <w:spacing w:after="120" w:line="276"/>
      </w:pPr>
      <w:r>
        <w:rPr>
          <w:rFonts w:ascii="Calibri" w:cs="Calibri" w:eastAsia="Calibri" w:hAnsi="Calibri"/>
          <w:b/>
          <w:bCs/>
          <w:color w:val="000000"/>
          <w:sz w:val="24"/>
          <w:szCs w:val="24"/>
        </w:rPr>
        <w:t xml:space="preserve">ISBA finding: </w:t>
      </w:r>
      <w:r>
        <w:rPr>
          <w:rFonts w:ascii="Calibri" w:cs="Calibri" w:eastAsia="Calibri" w:hAnsi="Calibri"/>
          <w:color w:val="000000"/>
          <w:sz w:val="24"/>
          <w:szCs w:val="24"/>
        </w:rPr>
        <w:t xml:space="preserve">only 51% of spend reaches the publisher — and 15% is entirely unattributable (the 'unknown delta')</w:t>
      </w:r>
    </w:p>
    <w:p>
      <w:pPr>
        <w:pStyle w:val="ListParagraph"/>
        <w:numPr>
          <w:ilvl w:val="0"/>
          <w:numId w:val="1"/>
        </w:numPr>
        <w:spacing w:after="120" w:line="276"/>
      </w:pPr>
      <w:r>
        <w:rPr>
          <w:rFonts w:ascii="Calibri" w:cs="Calibri" w:eastAsia="Calibri" w:hAnsi="Calibri"/>
          <w:b/>
          <w:bCs/>
          <w:color w:val="000000"/>
          <w:sz w:val="24"/>
          <w:szCs w:val="24"/>
        </w:rPr>
        <w:t xml:space="preserve">ANA finding: </w:t>
      </w:r>
      <w:r>
        <w:rPr>
          <w:rFonts w:ascii="Calibri" w:cs="Calibri" w:eastAsia="Calibri" w:hAnsi="Calibri"/>
          <w:color w:val="000000"/>
          <w:sz w:val="24"/>
          <w:szCs w:val="24"/>
        </w:rPr>
        <w:t xml:space="preserve">ad tech fees consume 29-44% of programmatic spend before the ad is even served</w:t>
      </w:r>
    </w:p>
    <w:p>
      <w:pPr>
        <w:pStyle w:val="ListParagraph"/>
        <w:numPr>
          <w:ilvl w:val="0"/>
          <w:numId w:val="1"/>
        </w:numPr>
        <w:spacing w:after="120" w:line="276"/>
      </w:pPr>
      <w:r>
        <w:rPr>
          <w:rFonts w:ascii="Calibri" w:cs="Calibri" w:eastAsia="Calibri" w:hAnsi="Calibri"/>
          <w:color w:val="000000"/>
          <w:sz w:val="24"/>
          <w:szCs w:val="24"/>
        </w:rPr>
        <w:t xml:space="preserve">The average brand cannot trace where 15 cents of every dollar actually went</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3"/>
              <w:left w:val="single" w:color="27AE60" w:sz="6"/>
              <w:bottom w:val="single" w:color="BBBBBB" w:sz="3"/>
              <w:right w:val="single" w:color="BBBBBB" w:sz="3"/>
            </w:tcBorders>
            <w:shd w:fill="D5F5E3" w:val="clear"/>
            <w:tcMar>
              <w:top w:type="dxa" w:w="120"/>
              <w:left w:type="dxa" w:w="200"/>
              <w:bottom w:type="dxa" w:w="120"/>
              <w:right w:type="dxa" w:w="200"/>
            </w:tcMar>
          </w:tcPr>
          <w:p>
            <w:pPr>
              <w:spacing w:after="0"/>
            </w:pPr>
            <w:r>
              <w:rPr>
                <w:rFonts w:ascii="Calibri" w:cs="Calibri" w:eastAsia="Calibri" w:hAnsi="Calibri"/>
                <w:b/>
                <w:bCs/>
                <w:color w:val="27AE60"/>
                <w:sz w:val="22"/>
                <w:szCs w:val="22"/>
              </w:rPr>
              <w:t xml:space="preserve">PersonalOS eliminates the supply chain entirely. There are zero intermediaries between brand and consumer. The brand deposits USDC into a smart contract (BudgetEscrow.sol). When a consumer claims an offer, the contract splits the payment: 90% to the consumer, 10% platform fee. Two transfers, one transaction, fully auditable on Base blockchain. The fee is encoded as constant FEE_BPS = 1000 in immutable bytecode — it cannot be changed without deploying a new contract.</w:t>
            </w:r>
          </w:p>
        </w:tc>
      </w:tr>
    </w:tbl>
    <w:p>
      <w:pPr>
        <w:pStyle w:val="Heading2"/>
        <w:spacing w:after="240" w:before="360" w:line="276"/>
      </w:pPr>
      <w:r>
        <w:rPr>
          <w:rFonts w:ascii="Calibri" w:cs="Calibri" w:eastAsia="Calibri" w:hAnsi="Calibri"/>
          <w:b/>
          <w:bCs/>
          <w:color w:val="2C3E50"/>
          <w:sz w:val="30"/>
          <w:szCs w:val="30"/>
        </w:rPr>
        <w:t xml:space="preserve">2. Ad Fraud — $22 Billion Annually</w:t>
      </w:r>
    </w:p>
    <w:p>
      <w:pPr>
        <w:spacing w:after="240" w:before="0" w:line="276"/>
      </w:pPr>
      <w:r>
        <w:rPr>
          <w:rFonts w:ascii="Calibri" w:cs="Calibri" w:eastAsia="Calibri" w:hAnsi="Calibri"/>
          <w:b/>
          <w:bCs/>
          <w:color w:val="000000"/>
          <w:sz w:val="24"/>
          <w:szCs w:val="24"/>
        </w:rPr>
        <w:t xml:space="preserve">Source: </w:t>
      </w:r>
      <w:r>
        <w:rPr>
          <w:rFonts w:ascii="Calibri" w:cs="Calibri" w:eastAsia="Calibri" w:hAnsi="Calibri"/>
          <w:color w:val="000000"/>
          <w:sz w:val="24"/>
          <w:szCs w:val="24"/>
        </w:rPr>
        <w:t xml:space="preserve">Lunio 2024/2025 Wasted Ad Spend Report; Juniper Research; ANA/White Ops Bot Baseline studies</w:t>
      </w:r>
    </w:p>
    <w:p>
      <w:pPr>
        <w:spacing w:after="240" w:before="0" w:line="276"/>
      </w:pPr>
      <w:r>
        <w:rPr>
          <w:rFonts w:ascii="Calibri" w:cs="Calibri" w:eastAsia="Calibri" w:hAnsi="Calibri"/>
          <w:color w:val="000000"/>
          <w:sz w:val="24"/>
          <w:szCs w:val="24"/>
        </w:rPr>
        <w:t xml:space="preserve">Bots, click farms, pixel stuffing, domain spoofing, and ad injection collectively steal $22 billion per year from advertisers. Lunio's analysis of $3.2 billion in ad spend found that 7.4% of clicks across Google, Meta, and TikTok are invalid — and that's the detectable portion.</w:t>
      </w:r>
    </w:p>
    <w:p>
      <w:pPr>
        <w:pStyle w:val="ListParagraph"/>
        <w:numPr>
          <w:ilvl w:val="0"/>
          <w:numId w:val="1"/>
        </w:numPr>
        <w:spacing w:after="120" w:line="276"/>
      </w:pPr>
      <w:r>
        <w:rPr>
          <w:rFonts w:ascii="Calibri" w:cs="Calibri" w:eastAsia="Calibri" w:hAnsi="Calibri"/>
          <w:b/>
          <w:bCs/>
          <w:color w:val="000000"/>
          <w:sz w:val="24"/>
          <w:szCs w:val="24"/>
        </w:rPr>
        <w:t xml:space="preserve">Programmatic display: </w:t>
      </w:r>
      <w:r>
        <w:rPr>
          <w:rFonts w:ascii="Calibri" w:cs="Calibri" w:eastAsia="Calibri" w:hAnsi="Calibri"/>
          <w:color w:val="000000"/>
          <w:sz w:val="24"/>
          <w:szCs w:val="24"/>
        </w:rPr>
        <w:t xml:space="preserve">12-15% invalid traffic</w:t>
      </w:r>
    </w:p>
    <w:p>
      <w:pPr>
        <w:pStyle w:val="ListParagraph"/>
        <w:numPr>
          <w:ilvl w:val="0"/>
          <w:numId w:val="1"/>
        </w:numPr>
        <w:spacing w:after="120" w:line="276"/>
      </w:pPr>
      <w:r>
        <w:rPr>
          <w:rFonts w:ascii="Calibri" w:cs="Calibri" w:eastAsia="Calibri" w:hAnsi="Calibri"/>
          <w:b/>
          <w:bCs/>
          <w:color w:val="000000"/>
          <w:sz w:val="24"/>
          <w:szCs w:val="24"/>
        </w:rPr>
        <w:t xml:space="preserve">Connected TV: </w:t>
      </w:r>
      <w:r>
        <w:rPr>
          <w:rFonts w:ascii="Calibri" w:cs="Calibri" w:eastAsia="Calibri" w:hAnsi="Calibri"/>
          <w:color w:val="000000"/>
          <w:sz w:val="24"/>
          <w:szCs w:val="24"/>
        </w:rPr>
        <w:t xml:space="preserve">fastest-growing fraud vector — up 69% year-over-year</w:t>
      </w:r>
    </w:p>
    <w:p>
      <w:pPr>
        <w:pStyle w:val="ListParagraph"/>
        <w:numPr>
          <w:ilvl w:val="0"/>
          <w:numId w:val="1"/>
        </w:numPr>
        <w:spacing w:after="120" w:line="276"/>
      </w:pPr>
      <w:r>
        <w:rPr>
          <w:rFonts w:ascii="Calibri" w:cs="Calibri" w:eastAsia="Calibri" w:hAnsi="Calibri"/>
          <w:b/>
          <w:bCs/>
          <w:color w:val="000000"/>
          <w:sz w:val="24"/>
          <w:szCs w:val="24"/>
        </w:rPr>
        <w:t xml:space="preserve">Made-for-advertising sites (MFA): </w:t>
      </w:r>
      <w:r>
        <w:rPr>
          <w:rFonts w:ascii="Calibri" w:cs="Calibri" w:eastAsia="Calibri" w:hAnsi="Calibri"/>
          <w:color w:val="000000"/>
          <w:sz w:val="24"/>
          <w:szCs w:val="24"/>
        </w:rPr>
        <w:t xml:space="preserve">21% of programmatic spend goes to sites built purely to arbitrage ad dollars (ANA 2023)</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3"/>
              <w:left w:val="single" w:color="27AE60" w:sz="6"/>
              <w:bottom w:val="single" w:color="BBBBBB" w:sz="3"/>
              <w:right w:val="single" w:color="BBBBBB" w:sz="3"/>
            </w:tcBorders>
            <w:shd w:fill="D5F5E3" w:val="clear"/>
            <w:tcMar>
              <w:top w:type="dxa" w:w="120"/>
              <w:left w:type="dxa" w:w="200"/>
              <w:bottom w:type="dxa" w:w="120"/>
              <w:right w:type="dxa" w:w="200"/>
            </w:tcMar>
          </w:tcPr>
          <w:p>
            <w:pPr>
              <w:spacing w:after="0"/>
            </w:pPr>
            <w:r>
              <w:rPr>
                <w:rFonts w:ascii="Calibri" w:cs="Calibri" w:eastAsia="Calibri" w:hAnsi="Calibri"/>
                <w:b/>
                <w:bCs/>
                <w:color w:val="27AE60"/>
                <w:sz w:val="22"/>
                <w:szCs w:val="22"/>
              </w:rPr>
              <w:t xml:space="preserve">PersonalOS makes fraud structurally impossible. Every claim requires passkey authentication — a real human, on their own device, actively tapping 'Claim.' There are no impressions to fake, no clicks to bot, no pixels to stuff. The consumer must have a verified identity (passkey-based), an active consent grant, and meet the matching criteria. A bot cannot create a passkey-authenticated identity, cannot generate cross-source behavioral data, and cannot pass the matching engine's consent + score + yield floor checks.</w:t>
            </w:r>
          </w:p>
        </w:tc>
      </w:tr>
    </w:tbl>
    <w:p>
      <w:pPr>
        <w:pStyle w:val="Heading2"/>
        <w:spacing w:after="240" w:before="360" w:line="276"/>
      </w:pPr>
      <w:r>
        <w:rPr>
          <w:rFonts w:ascii="Calibri" w:cs="Calibri" w:eastAsia="Calibri" w:hAnsi="Calibri"/>
          <w:b/>
          <w:bCs/>
          <w:color w:val="2C3E50"/>
          <w:sz w:val="30"/>
          <w:szCs w:val="30"/>
        </w:rPr>
        <w:t xml:space="preserve">3. Non-Viewable Impressions — 30-40% of Display</w:t>
      </w:r>
    </w:p>
    <w:p>
      <w:pPr>
        <w:spacing w:after="240" w:before="0" w:line="276"/>
      </w:pPr>
      <w:r>
        <w:rPr>
          <w:rFonts w:ascii="Calibri" w:cs="Calibri" w:eastAsia="Calibri" w:hAnsi="Calibri"/>
          <w:b/>
          <w:bCs/>
          <w:color w:val="000000"/>
          <w:sz w:val="24"/>
          <w:szCs w:val="24"/>
        </w:rPr>
        <w:t xml:space="preserve">Source: </w:t>
      </w:r>
      <w:r>
        <w:rPr>
          <w:rFonts w:ascii="Calibri" w:cs="Calibri" w:eastAsia="Calibri" w:hAnsi="Calibri"/>
          <w:color w:val="000000"/>
          <w:sz w:val="24"/>
          <w:szCs w:val="24"/>
        </w:rPr>
        <w:t xml:space="preserve">Lumen Research Attention Economy studies (2022-2025); IAS Media Quality Report</w:t>
      </w:r>
    </w:p>
    <w:p>
      <w:pPr>
        <w:spacing w:after="240" w:before="0" w:line="276"/>
      </w:pPr>
      <w:r>
        <w:rPr>
          <w:rFonts w:ascii="Calibri" w:cs="Calibri" w:eastAsia="Calibri" w:hAnsi="Calibri"/>
          <w:color w:val="000000"/>
          <w:sz w:val="24"/>
          <w:szCs w:val="24"/>
        </w:rPr>
        <w:t xml:space="preserve">An impression is 'served' when the ad loads in a browser. It is 'viewable' when at least 50% of the ad is visible for at least 1 second (IAB standard). It is 'actually seen' when a human eye rests on it long enough to process the message.</w:t>
      </w:r>
    </w:p>
    <w:p>
      <w:pPr>
        <w:pStyle w:val="ListParagraph"/>
        <w:numPr>
          <w:ilvl w:val="0"/>
          <w:numId w:val="1"/>
        </w:numPr>
        <w:spacing w:after="120" w:line="276"/>
      </w:pPr>
      <w:r>
        <w:rPr>
          <w:rFonts w:ascii="Calibri" w:cs="Calibri" w:eastAsia="Calibri" w:hAnsi="Calibri"/>
          <w:b/>
          <w:bCs/>
          <w:color w:val="000000"/>
          <w:sz w:val="24"/>
          <w:szCs w:val="24"/>
        </w:rPr>
        <w:t xml:space="preserve">Lumen finding: </w:t>
      </w:r>
      <w:r>
        <w:rPr>
          <w:rFonts w:ascii="Calibri" w:cs="Calibri" w:eastAsia="Calibri" w:hAnsi="Calibri"/>
          <w:color w:val="000000"/>
          <w:sz w:val="24"/>
          <w:szCs w:val="24"/>
        </w:rPr>
        <w:t xml:space="preserve">only 9% of served digital ads are looked at for more than 1 second</w:t>
      </w:r>
    </w:p>
    <w:p>
      <w:pPr>
        <w:pStyle w:val="ListParagraph"/>
        <w:numPr>
          <w:ilvl w:val="0"/>
          <w:numId w:val="1"/>
        </w:numPr>
        <w:spacing w:after="120" w:line="276"/>
      </w:pPr>
      <w:r>
        <w:rPr>
          <w:rFonts w:ascii="Calibri" w:cs="Calibri" w:eastAsia="Calibri" w:hAnsi="Calibri"/>
          <w:b/>
          <w:bCs/>
          <w:color w:val="000000"/>
          <w:sz w:val="24"/>
          <w:szCs w:val="24"/>
        </w:rPr>
        <w:t xml:space="preserve">Display viewability: </w:t>
      </w:r>
      <w:r>
        <w:rPr>
          <w:rFonts w:ascii="Calibri" w:cs="Calibri" w:eastAsia="Calibri" w:hAnsi="Calibri"/>
          <w:color w:val="000000"/>
          <w:sz w:val="24"/>
          <w:szCs w:val="24"/>
        </w:rPr>
        <w:t xml:space="preserve">60-70% meet the minimum IAB standard — meaning 30-40% don't</w:t>
      </w:r>
    </w:p>
    <w:p>
      <w:pPr>
        <w:pStyle w:val="ListParagraph"/>
        <w:numPr>
          <w:ilvl w:val="0"/>
          <w:numId w:val="1"/>
        </w:numPr>
        <w:spacing w:after="120" w:line="276"/>
      </w:pPr>
      <w:r>
        <w:rPr>
          <w:rFonts w:ascii="Calibri" w:cs="Calibri" w:eastAsia="Calibri" w:hAnsi="Calibri"/>
          <w:color w:val="000000"/>
          <w:sz w:val="24"/>
          <w:szCs w:val="24"/>
        </w:rPr>
        <w:t xml:space="preserve">The IAB's '1 second, 50% visible' standard is itself a low bar — it measures technical delivery, not actual attention</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3"/>
              <w:left w:val="single" w:color="27AE60" w:sz="6"/>
              <w:bottom w:val="single" w:color="BBBBBB" w:sz="3"/>
              <w:right w:val="single" w:color="BBBBBB" w:sz="3"/>
            </w:tcBorders>
            <w:shd w:fill="D5F5E3" w:val="clear"/>
            <w:tcMar>
              <w:top w:type="dxa" w:w="120"/>
              <w:left w:type="dxa" w:w="200"/>
              <w:bottom w:type="dxa" w:w="120"/>
              <w:right w:type="dxa" w:w="200"/>
            </w:tcMar>
          </w:tcPr>
          <w:p>
            <w:pPr>
              <w:spacing w:after="0"/>
            </w:pPr>
            <w:r>
              <w:rPr>
                <w:rFonts w:ascii="Calibri" w:cs="Calibri" w:eastAsia="Calibri" w:hAnsi="Calibri"/>
                <w:b/>
                <w:bCs/>
                <w:color w:val="27AE60"/>
                <w:sz w:val="22"/>
                <w:szCs w:val="22"/>
              </w:rPr>
              <w:t xml:space="preserve">PersonalOS achieves 100% viewability by design. There are no background impressions, no below-the-fold placements, no auto-playing video ads. A soul (PersonalOS user) sees an offer card in their app, reads the headline, body, and brand information, then actively decides to claim or dismiss. The offer doesn't count as delivered until the soul reads and acts on it. This isn't viewability — it's engagement.</w:t>
            </w:r>
          </w:p>
        </w:tc>
      </w:tr>
    </w:tbl>
    <w:p>
      <w:pPr>
        <w:pStyle w:val="Heading2"/>
        <w:spacing w:after="240" w:before="360" w:line="276"/>
      </w:pPr>
      <w:r>
        <w:rPr>
          <w:rFonts w:ascii="Calibri" w:cs="Calibri" w:eastAsia="Calibri" w:hAnsi="Calibri"/>
          <w:b/>
          <w:bCs/>
          <w:color w:val="2C3E50"/>
          <w:sz w:val="30"/>
          <w:szCs w:val="30"/>
        </w:rPr>
        <w:t xml:space="preserve">4. Wrong Audience — The Targeting Illusion</w:t>
      </w:r>
    </w:p>
    <w:p>
      <w:pPr>
        <w:spacing w:after="240" w:before="0" w:line="276"/>
      </w:pPr>
      <w:r>
        <w:rPr>
          <w:rFonts w:ascii="Calibri" w:cs="Calibri" w:eastAsia="Calibri" w:hAnsi="Calibri"/>
          <w:b/>
          <w:bCs/>
          <w:color w:val="000000"/>
          <w:sz w:val="24"/>
          <w:szCs w:val="24"/>
        </w:rPr>
        <w:t xml:space="preserve">Source: </w:t>
      </w:r>
      <w:r>
        <w:rPr>
          <w:rFonts w:ascii="Calibri" w:cs="Calibri" w:eastAsia="Calibri" w:hAnsi="Calibri"/>
          <w:color w:val="000000"/>
          <w:sz w:val="24"/>
          <w:szCs w:val="24"/>
        </w:rPr>
        <w:t xml:space="preserve">ANA Q2 2025 findings; Scope3 carbon waste analysis; industry conversion rate benchmarks</w:t>
      </w:r>
    </w:p>
    <w:p>
      <w:pPr>
        <w:spacing w:after="240" w:before="0" w:line="276"/>
      </w:pPr>
      <w:r>
        <w:rPr>
          <w:rFonts w:ascii="Calibri" w:cs="Calibri" w:eastAsia="Calibri" w:hAnsi="Calibri"/>
          <w:color w:val="000000"/>
          <w:sz w:val="24"/>
          <w:szCs w:val="24"/>
        </w:rPr>
        <w:t xml:space="preserve">Programmatic targeting uses inferred behavioral signals — cookies, device IDs, lookalike audiences — to guess who might be interested. These guesses are often wrong:</w:t>
      </w:r>
    </w:p>
    <w:p>
      <w:pPr>
        <w:pStyle w:val="ListParagraph"/>
        <w:numPr>
          <w:ilvl w:val="0"/>
          <w:numId w:val="1"/>
        </w:numPr>
        <w:spacing w:after="120" w:line="276"/>
      </w:pPr>
      <w:r>
        <w:rPr>
          <w:rFonts w:ascii="Calibri" w:cs="Calibri" w:eastAsia="Calibri" w:hAnsi="Calibri"/>
          <w:b/>
          <w:bCs/>
          <w:color w:val="000000"/>
          <w:sz w:val="24"/>
          <w:szCs w:val="24"/>
        </w:rPr>
        <w:t xml:space="preserve">Average programmatic display conversion rate: </w:t>
      </w:r>
      <w:r>
        <w:rPr>
          <w:rFonts w:ascii="Calibri" w:cs="Calibri" w:eastAsia="Calibri" w:hAnsi="Calibri"/>
          <w:color w:val="000000"/>
          <w:sz w:val="24"/>
          <w:szCs w:val="24"/>
        </w:rPr>
        <w:t xml:space="preserve">0.1-0.5%</w:t>
      </w:r>
    </w:p>
    <w:p>
      <w:pPr>
        <w:pStyle w:val="ListParagraph"/>
        <w:numPr>
          <w:ilvl w:val="0"/>
          <w:numId w:val="1"/>
        </w:numPr>
        <w:spacing w:after="120" w:line="276"/>
      </w:pPr>
      <w:r>
        <w:rPr>
          <w:rFonts w:ascii="Calibri" w:cs="Calibri" w:eastAsia="Calibri" w:hAnsi="Calibri"/>
          <w:color w:val="000000"/>
          <w:sz w:val="24"/>
          <w:szCs w:val="24"/>
        </w:rPr>
        <w:t xml:space="preserve">This means 99.5-99.9% of targeted impressions reach people who don't convert</w:t>
      </w:r>
    </w:p>
    <w:p>
      <w:pPr>
        <w:pStyle w:val="ListParagraph"/>
        <w:numPr>
          <w:ilvl w:val="0"/>
          <w:numId w:val="1"/>
        </w:numPr>
        <w:spacing w:after="120" w:line="276"/>
      </w:pPr>
      <w:r>
        <w:rPr>
          <w:rFonts w:ascii="Calibri" w:cs="Calibri" w:eastAsia="Calibri" w:hAnsi="Calibri"/>
          <w:b/>
          <w:bCs/>
          <w:color w:val="000000"/>
          <w:sz w:val="24"/>
          <w:szCs w:val="24"/>
        </w:rPr>
        <w:t xml:space="preserve">Cookie deprecation: </w:t>
      </w:r>
      <w:r>
        <w:rPr>
          <w:rFonts w:ascii="Calibri" w:cs="Calibri" w:eastAsia="Calibri" w:hAnsi="Calibri"/>
          <w:color w:val="000000"/>
          <w:sz w:val="24"/>
          <w:szCs w:val="24"/>
        </w:rPr>
        <w:t xml:space="preserve">third-party cookies are being phased out across all major browsers, degrading the primary targeting signal</w:t>
      </w:r>
    </w:p>
    <w:p>
      <w:pPr>
        <w:pStyle w:val="ListParagraph"/>
        <w:numPr>
          <w:ilvl w:val="0"/>
          <w:numId w:val="1"/>
        </w:numPr>
        <w:spacing w:after="120" w:line="276"/>
      </w:pPr>
      <w:r>
        <w:rPr>
          <w:rFonts w:ascii="Calibri" w:cs="Calibri" w:eastAsia="Calibri" w:hAnsi="Calibri"/>
          <w:b/>
          <w:bCs/>
          <w:color w:val="000000"/>
          <w:sz w:val="24"/>
          <w:szCs w:val="24"/>
        </w:rPr>
        <w:t xml:space="preserve">Walled gardens: </w:t>
      </w:r>
      <w:r>
        <w:rPr>
          <w:rFonts w:ascii="Calibri" w:cs="Calibri" w:eastAsia="Calibri" w:hAnsi="Calibri"/>
          <w:color w:val="000000"/>
          <w:sz w:val="24"/>
          <w:szCs w:val="24"/>
        </w:rPr>
        <w:t xml:space="preserve">Meta, Google, and Amazon each have deep data within their ecosystem but cannot see across ecosystems — no single platform has the full picture</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3"/>
              <w:left w:val="single" w:color="27AE60" w:sz="6"/>
              <w:bottom w:val="single" w:color="BBBBBB" w:sz="3"/>
              <w:right w:val="single" w:color="BBBBBB" w:sz="3"/>
            </w:tcBorders>
            <w:shd w:fill="D5F5E3" w:val="clear"/>
            <w:tcMar>
              <w:top w:type="dxa" w:w="120"/>
              <w:left w:type="dxa" w:w="200"/>
              <w:bottom w:type="dxa" w:w="120"/>
              <w:right w:type="dxa" w:w="200"/>
            </w:tcMar>
          </w:tcPr>
          <w:p>
            <w:pPr>
              <w:spacing w:after="0"/>
            </w:pPr>
            <w:r>
              <w:rPr>
                <w:rFonts w:ascii="Calibri" w:cs="Calibri" w:eastAsia="Calibri" w:hAnsi="Calibri"/>
                <w:b/>
                <w:bCs/>
                <w:color w:val="27AE60"/>
                <w:sz w:val="22"/>
                <w:szCs w:val="22"/>
              </w:rPr>
              <w:t xml:space="preserve">PersonalOS doesn't guess who's interested — the consumer declares it. A soul sets engagement levels (Off / Open / Exploring / Ready) per category, and can declare specific purchase intent ('I'm buying running shoes in the next 30 days'). The matching engine only shows offers to souls who have: (1) actively consented to the category, (2) met the minimum score threshold, and (3) cleared the yield floor. The result: 40-60% conversion on direct channel claims — vs. 0.1-0.5% for programmatic.</w:t>
            </w:r>
          </w:p>
        </w:tc>
      </w:tr>
    </w:tbl>
    <w:p>
      <w:pPr>
        <w:pStyle w:val="Heading2"/>
        <w:spacing w:after="240" w:before="360" w:line="276"/>
      </w:pPr>
      <w:r>
        <w:rPr>
          <w:rFonts w:ascii="Calibri" w:cs="Calibri" w:eastAsia="Calibri" w:hAnsi="Calibri"/>
          <w:b/>
          <w:bCs/>
          <w:color w:val="2C3E50"/>
          <w:sz w:val="30"/>
          <w:szCs w:val="30"/>
        </w:rPr>
        <w:t xml:space="preserve">5. The Hidden Carbon Cost</w:t>
      </w:r>
    </w:p>
    <w:p>
      <w:pPr>
        <w:spacing w:after="240" w:before="0" w:line="276"/>
      </w:pPr>
      <w:r>
        <w:rPr>
          <w:rFonts w:ascii="Calibri" w:cs="Calibri" w:eastAsia="Calibri" w:hAnsi="Calibri"/>
          <w:b/>
          <w:bCs/>
          <w:color w:val="000000"/>
          <w:sz w:val="24"/>
          <w:szCs w:val="24"/>
        </w:rPr>
        <w:t xml:space="preserve">Source: </w:t>
      </w:r>
      <w:r>
        <w:rPr>
          <w:rFonts w:ascii="Calibri" w:cs="Calibri" w:eastAsia="Calibri" w:hAnsi="Calibri"/>
          <w:color w:val="000000"/>
          <w:sz w:val="24"/>
          <w:szCs w:val="24"/>
        </w:rPr>
        <w:t xml:space="preserve">Scope3 (2023-2025); Good-Loop &amp; Cedara carbon measurement; GroupM carbon reduction commitments</w:t>
      </w:r>
    </w:p>
    <w:p>
      <w:pPr>
        <w:spacing w:after="240" w:before="0" w:line="276"/>
      </w:pPr>
      <w:r>
        <w:rPr>
          <w:rFonts w:ascii="Calibri" w:cs="Calibri" w:eastAsia="Calibri" w:hAnsi="Calibri"/>
          <w:color w:val="000000"/>
          <w:sz w:val="24"/>
          <w:szCs w:val="24"/>
        </w:rPr>
        <w:t xml:space="preserve">Every wasted impression has a carbon footprint. The ad tech supply chain — servers, data centers, real-time bidding auctions, tracking pixels, retargeting chains — generates significant CO₂:</w:t>
      </w:r>
    </w:p>
    <w:p>
      <w:pPr>
        <w:pStyle w:val="ListParagraph"/>
        <w:numPr>
          <w:ilvl w:val="0"/>
          <w:numId w:val="1"/>
        </w:numPr>
        <w:spacing w:after="120" w:line="276"/>
      </w:pPr>
      <w:r>
        <w:rPr>
          <w:rFonts w:ascii="Calibri" w:cs="Calibri" w:eastAsia="Calibri" w:hAnsi="Calibri"/>
          <w:b/>
          <w:bCs/>
          <w:color w:val="000000"/>
          <w:sz w:val="24"/>
          <w:szCs w:val="24"/>
        </w:rPr>
        <w:t xml:space="preserve">Scope3 estimate: </w:t>
      </w:r>
      <w:r>
        <w:rPr>
          <w:rFonts w:ascii="Calibri" w:cs="Calibri" w:eastAsia="Calibri" w:hAnsi="Calibri"/>
          <w:color w:val="000000"/>
          <w:sz w:val="24"/>
          <w:szCs w:val="24"/>
        </w:rPr>
        <w:t xml:space="preserve">1 million programmatic impressions ≈ 5.4 tonnes of CO₂</w:t>
      </w:r>
    </w:p>
    <w:p>
      <w:pPr>
        <w:pStyle w:val="ListParagraph"/>
        <w:numPr>
          <w:ilvl w:val="0"/>
          <w:numId w:val="1"/>
        </w:numPr>
        <w:spacing w:after="120" w:line="276"/>
      </w:pPr>
      <w:r>
        <w:rPr>
          <w:rFonts w:ascii="Calibri" w:cs="Calibri" w:eastAsia="Calibri" w:hAnsi="Calibri"/>
          <w:color w:val="000000"/>
          <w:sz w:val="24"/>
          <w:szCs w:val="24"/>
        </w:rPr>
        <w:t xml:space="preserve">MFA sites generate 26% more carbon per impression than premium publishers</w:t>
      </w:r>
    </w:p>
    <w:p>
      <w:pPr>
        <w:pStyle w:val="ListParagraph"/>
        <w:numPr>
          <w:ilvl w:val="0"/>
          <w:numId w:val="1"/>
        </w:numPr>
        <w:spacing w:after="120" w:line="276"/>
      </w:pPr>
      <w:r>
        <w:rPr>
          <w:rFonts w:ascii="Calibri" w:cs="Calibri" w:eastAsia="Calibri" w:hAnsi="Calibri"/>
          <w:color w:val="000000"/>
          <w:sz w:val="24"/>
          <w:szCs w:val="24"/>
        </w:rPr>
        <w:t xml:space="preserve">GroupM committed to net-zero media by 2030 — but achieving this requires structural change, not offsets</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3"/>
              <w:left w:val="single" w:color="27AE60" w:sz="6"/>
              <w:bottom w:val="single" w:color="BBBBBB" w:sz="3"/>
              <w:right w:val="single" w:color="BBBBBB" w:sz="3"/>
            </w:tcBorders>
            <w:shd w:fill="D5F5E3" w:val="clear"/>
            <w:tcMar>
              <w:top w:type="dxa" w:w="120"/>
              <w:left w:type="dxa" w:w="200"/>
              <w:bottom w:type="dxa" w:w="120"/>
              <w:right w:type="dxa" w:w="200"/>
            </w:tcMar>
          </w:tcPr>
          <w:p>
            <w:pPr>
              <w:spacing w:after="0"/>
            </w:pPr>
            <w:r>
              <w:rPr>
                <w:rFonts w:ascii="Calibri" w:cs="Calibri" w:eastAsia="Calibri" w:hAnsi="Calibri"/>
                <w:b/>
                <w:bCs/>
                <w:color w:val="27AE60"/>
                <w:sz w:val="22"/>
                <w:szCs w:val="22"/>
              </w:rPr>
              <w:t xml:space="preserve">PersonalOS's carbon footprint is near-zero by comparison. No real-time bidding auctions. No tracking pixels. No retargeting chains. No MFA sites. A single API call matches the soul to relevant offers; a single blockchain transaction settles the claim. The entire exchange is: one match, one claim, one on-chain settlement.</w:t>
            </w:r>
          </w:p>
        </w:tc>
      </w:tr>
    </w:tbl>
    <w:p>
      <w:pPr>
        <w:pStyle w:val="Heading2"/>
        <w:spacing w:after="240" w:before="360" w:line="276"/>
      </w:pPr>
      <w:r>
        <w:rPr>
          <w:rFonts w:ascii="Calibri" w:cs="Calibri" w:eastAsia="Calibri" w:hAnsi="Calibri"/>
          <w:b/>
          <w:bCs/>
          <w:color w:val="2C3E50"/>
          <w:sz w:val="30"/>
          <w:szCs w:val="30"/>
        </w:rPr>
        <w:t xml:space="preserve">6. Data Leakage &amp; Privacy Violations</w:t>
      </w:r>
    </w:p>
    <w:p>
      <w:pPr>
        <w:spacing w:after="240" w:before="0" w:line="276"/>
      </w:pPr>
      <w:r>
        <w:rPr>
          <w:rFonts w:ascii="Calibri" w:cs="Calibri" w:eastAsia="Calibri" w:hAnsi="Calibri"/>
          <w:b/>
          <w:bCs/>
          <w:color w:val="000000"/>
          <w:sz w:val="24"/>
          <w:szCs w:val="24"/>
        </w:rPr>
        <w:t xml:space="preserve">Source: </w:t>
      </w:r>
      <w:r>
        <w:rPr>
          <w:rFonts w:ascii="Calibri" w:cs="Calibri" w:eastAsia="Calibri" w:hAnsi="Calibri"/>
          <w:color w:val="000000"/>
          <w:sz w:val="24"/>
          <w:szCs w:val="24"/>
        </w:rPr>
        <w:t xml:space="preserve">DOJ v. Google (2020-2025); GDPR enforcement actions (€4.1B total fines through 2024); WFA Global Media Charter</w:t>
      </w:r>
    </w:p>
    <w:p>
      <w:pPr>
        <w:spacing w:after="240" w:before="0" w:line="276"/>
      </w:pPr>
      <w:r>
        <w:rPr>
          <w:rFonts w:ascii="Calibri" w:cs="Calibri" w:eastAsia="Calibri" w:hAnsi="Calibri"/>
          <w:color w:val="000000"/>
          <w:sz w:val="24"/>
          <w:szCs w:val="24"/>
        </w:rPr>
        <w:t xml:space="preserve">The programmatic ecosystem depends on collecting and sharing personal data — often without meaningful consent:</w:t>
      </w:r>
    </w:p>
    <w:p>
      <w:pPr>
        <w:pStyle w:val="ListParagraph"/>
        <w:numPr>
          <w:ilvl w:val="0"/>
          <w:numId w:val="1"/>
        </w:numPr>
        <w:spacing w:after="120" w:line="276"/>
      </w:pPr>
      <w:r>
        <w:rPr>
          <w:rFonts w:ascii="Calibri" w:cs="Calibri" w:eastAsia="Calibri" w:hAnsi="Calibri"/>
          <w:b/>
          <w:bCs/>
          <w:color w:val="000000"/>
          <w:sz w:val="24"/>
          <w:szCs w:val="24"/>
        </w:rPr>
        <w:t xml:space="preserve">DOJ v. Google: </w:t>
      </w:r>
      <w:r>
        <w:rPr>
          <w:rFonts w:ascii="Calibri" w:cs="Calibri" w:eastAsia="Calibri" w:hAnsi="Calibri"/>
          <w:color w:val="000000"/>
          <w:sz w:val="24"/>
          <w:szCs w:val="24"/>
        </w:rPr>
        <w:t xml:space="preserve">the U.S. Department of Justice found Google maintained an illegal monopoly in ad tech, using its dominance to self-preference and control data flows</w:t>
      </w:r>
    </w:p>
    <w:p>
      <w:pPr>
        <w:pStyle w:val="ListParagraph"/>
        <w:numPr>
          <w:ilvl w:val="0"/>
          <w:numId w:val="1"/>
        </w:numPr>
        <w:spacing w:after="120" w:line="276"/>
      </w:pPr>
      <w:r>
        <w:rPr>
          <w:rFonts w:ascii="Calibri" w:cs="Calibri" w:eastAsia="Calibri" w:hAnsi="Calibri"/>
          <w:b/>
          <w:bCs/>
          <w:color w:val="000000"/>
          <w:sz w:val="24"/>
          <w:szCs w:val="24"/>
        </w:rPr>
        <w:t xml:space="preserve">GDPR enforcement: </w:t>
      </w:r>
      <w:r>
        <w:rPr>
          <w:rFonts w:ascii="Calibri" w:cs="Calibri" w:eastAsia="Calibri" w:hAnsi="Calibri"/>
          <w:color w:val="000000"/>
          <w:sz w:val="24"/>
          <w:szCs w:val="24"/>
        </w:rPr>
        <w:t xml:space="preserve">Meta fined €1.2B (2023), Amazon fined €746M (2021), Google fined €150M (2022) — for data collection and consent violations</w:t>
      </w:r>
    </w:p>
    <w:p>
      <w:pPr>
        <w:pStyle w:val="ListParagraph"/>
        <w:numPr>
          <w:ilvl w:val="0"/>
          <w:numId w:val="1"/>
        </w:numPr>
        <w:spacing w:after="120" w:line="276"/>
      </w:pPr>
      <w:r>
        <w:rPr>
          <w:rFonts w:ascii="Calibri" w:cs="Calibri" w:eastAsia="Calibri" w:hAnsi="Calibri"/>
          <w:b/>
          <w:bCs/>
          <w:color w:val="000000"/>
          <w:sz w:val="24"/>
          <w:szCs w:val="24"/>
        </w:rPr>
        <w:t xml:space="preserve">Bidstream data leakage: </w:t>
      </w:r>
      <w:r>
        <w:rPr>
          <w:rFonts w:ascii="Calibri" w:cs="Calibri" w:eastAsia="Calibri" w:hAnsi="Calibri"/>
          <w:color w:val="000000"/>
          <w:sz w:val="24"/>
          <w:szCs w:val="24"/>
        </w:rPr>
        <w:t xml:space="preserve">every real-time bidding auction broadcasts user data to dozens of bidders — most don't win the auction but keep the data</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3"/>
              <w:left w:val="single" w:color="27AE60" w:sz="6"/>
              <w:bottom w:val="single" w:color="BBBBBB" w:sz="3"/>
              <w:right w:val="single" w:color="BBBBBB" w:sz="3"/>
            </w:tcBorders>
            <w:shd w:fill="D5F5E3" w:val="clear"/>
            <w:tcMar>
              <w:top w:type="dxa" w:w="120"/>
              <w:left w:type="dxa" w:w="200"/>
              <w:bottom w:type="dxa" w:w="120"/>
              <w:right w:type="dxa" w:w="200"/>
            </w:tcMar>
          </w:tcPr>
          <w:p>
            <w:pPr>
              <w:spacing w:after="0"/>
            </w:pPr>
            <w:r>
              <w:rPr>
                <w:rFonts w:ascii="Calibri" w:cs="Calibri" w:eastAsia="Calibri" w:hAnsi="Calibri"/>
                <w:b/>
                <w:bCs/>
                <w:color w:val="27AE60"/>
                <w:sz w:val="22"/>
                <w:szCs w:val="22"/>
              </w:rPr>
              <w:t xml:space="preserve">PersonalOS processes all raw data on the user's own device. Raw data never leaves the phone. The matching engine runs on-device; only aggregate, privacy-preserved signals are used for matching. There is no bidstream. There are no tracking pixels. There is no data broker. The platform earns when the user earns — PersonalOS is structurally incentivized to protect data, not exploit it.</w:t>
            </w:r>
          </w:p>
        </w:tc>
      </w:tr>
    </w:tbl>
    <w:p>
      <w:pPr>
        <w:pStyle w:val="Heading2"/>
        <w:spacing w:after="240" w:before="360" w:line="276"/>
      </w:pPr>
      <w:r>
        <w:rPr>
          <w:rFonts w:ascii="Calibri" w:cs="Calibri" w:eastAsia="Calibri" w:hAnsi="Calibri"/>
          <w:b/>
          <w:bCs/>
          <w:color w:val="2C3E50"/>
          <w:sz w:val="30"/>
          <w:szCs w:val="30"/>
        </w:rPr>
        <w:t xml:space="preserve">7. The Measurement Gap</w:t>
      </w:r>
    </w:p>
    <w:p>
      <w:pPr>
        <w:spacing w:after="240" w:before="0" w:line="276"/>
      </w:pPr>
      <w:r>
        <w:rPr>
          <w:rFonts w:ascii="Calibri" w:cs="Calibri" w:eastAsia="Calibri" w:hAnsi="Calibri"/>
          <w:b/>
          <w:bCs/>
          <w:color w:val="000000"/>
          <w:sz w:val="24"/>
          <w:szCs w:val="24"/>
        </w:rPr>
        <w:t xml:space="preserve">Source: </w:t>
      </w:r>
      <w:r>
        <w:rPr>
          <w:rFonts w:ascii="Calibri" w:cs="Calibri" w:eastAsia="Calibri" w:hAnsi="Calibri"/>
          <w:color w:val="000000"/>
          <w:sz w:val="24"/>
          <w:szCs w:val="24"/>
        </w:rPr>
        <w:t xml:space="preserve">WFA Cross-Media Measurement initiative; ANA measurement accountability; Nielsen cross-platform challenges</w:t>
      </w:r>
    </w:p>
    <w:p>
      <w:pPr>
        <w:spacing w:after="240" w:before="0" w:line="276"/>
      </w:pPr>
      <w:r>
        <w:rPr>
          <w:rFonts w:ascii="Calibri" w:cs="Calibri" w:eastAsia="Calibri" w:hAnsi="Calibri"/>
          <w:color w:val="000000"/>
          <w:sz w:val="24"/>
          <w:szCs w:val="24"/>
        </w:rPr>
        <w:t xml:space="preserve">Even when an ad reaches the right person, brands often can't measure what happened next:</w:t>
      </w:r>
    </w:p>
    <w:p>
      <w:pPr>
        <w:pStyle w:val="ListParagraph"/>
        <w:numPr>
          <w:ilvl w:val="0"/>
          <w:numId w:val="1"/>
        </w:numPr>
        <w:spacing w:after="120" w:line="276"/>
      </w:pPr>
      <w:r>
        <w:rPr>
          <w:rFonts w:ascii="Calibri" w:cs="Calibri" w:eastAsia="Calibri" w:hAnsi="Calibri"/>
          <w:b/>
          <w:bCs/>
          <w:color w:val="000000"/>
          <w:sz w:val="24"/>
          <w:szCs w:val="24"/>
        </w:rPr>
        <w:t xml:space="preserve">Cross-channel attribution: </w:t>
      </w:r>
      <w:r>
        <w:rPr>
          <w:rFonts w:ascii="Calibri" w:cs="Calibri" w:eastAsia="Calibri" w:hAnsi="Calibri"/>
          <w:color w:val="000000"/>
          <w:sz w:val="24"/>
          <w:szCs w:val="24"/>
        </w:rPr>
        <w:t xml:space="preserve">no standard method exists to measure the same consumer across YouTube, Meta, Instagram, news sites, and TV</w:t>
      </w:r>
    </w:p>
    <w:p>
      <w:pPr>
        <w:pStyle w:val="ListParagraph"/>
        <w:numPr>
          <w:ilvl w:val="0"/>
          <w:numId w:val="1"/>
        </w:numPr>
        <w:spacing w:after="120" w:line="276"/>
      </w:pPr>
      <w:r>
        <w:rPr>
          <w:rFonts w:ascii="Calibri" w:cs="Calibri" w:eastAsia="Calibri" w:hAnsi="Calibri"/>
          <w:b/>
          <w:bCs/>
          <w:color w:val="000000"/>
          <w:sz w:val="24"/>
          <w:szCs w:val="24"/>
        </w:rPr>
        <w:t xml:space="preserve">Walled garden opacity: </w:t>
      </w:r>
      <w:r>
        <w:rPr>
          <w:rFonts w:ascii="Calibri" w:cs="Calibri" w:eastAsia="Calibri" w:hAnsi="Calibri"/>
          <w:color w:val="000000"/>
          <w:sz w:val="24"/>
          <w:szCs w:val="24"/>
        </w:rPr>
        <w:t xml:space="preserve">Meta reports Meta metrics. Google reports Google metrics. Neither will share data with the other</w:t>
      </w:r>
    </w:p>
    <w:p>
      <w:pPr>
        <w:pStyle w:val="ListParagraph"/>
        <w:numPr>
          <w:ilvl w:val="0"/>
          <w:numId w:val="1"/>
        </w:numPr>
        <w:spacing w:after="120" w:line="276"/>
      </w:pPr>
      <w:r>
        <w:rPr>
          <w:rFonts w:ascii="Calibri" w:cs="Calibri" w:eastAsia="Calibri" w:hAnsi="Calibri"/>
          <w:b/>
          <w:bCs/>
          <w:color w:val="000000"/>
          <w:sz w:val="24"/>
          <w:szCs w:val="24"/>
        </w:rPr>
        <w:t xml:space="preserve">WFA finding: </w:t>
      </w:r>
      <w:r>
        <w:rPr>
          <w:rFonts w:ascii="Calibri" w:cs="Calibri" w:eastAsia="Calibri" w:hAnsi="Calibri"/>
          <w:color w:val="000000"/>
          <w:sz w:val="24"/>
          <w:szCs w:val="24"/>
        </w:rPr>
        <w:t xml:space="preserve">advertisers need a unified, privacy-compliant, cross-media measurement framework — and none exists yet</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3"/>
              <w:left w:val="single" w:color="27AE60" w:sz="6"/>
              <w:bottom w:val="single" w:color="BBBBBB" w:sz="3"/>
              <w:right w:val="single" w:color="BBBBBB" w:sz="3"/>
            </w:tcBorders>
            <w:shd w:fill="D5F5E3" w:val="clear"/>
            <w:tcMar>
              <w:top w:type="dxa" w:w="120"/>
              <w:left w:type="dxa" w:w="200"/>
              <w:bottom w:type="dxa" w:w="120"/>
              <w:right w:type="dxa" w:w="200"/>
            </w:tcMar>
          </w:tcPr>
          <w:p>
            <w:pPr>
              <w:spacing w:after="0"/>
            </w:pPr>
            <w:r>
              <w:rPr>
                <w:rFonts w:ascii="Calibri" w:cs="Calibri" w:eastAsia="Calibri" w:hAnsi="Calibri"/>
                <w:b/>
                <w:bCs/>
                <w:color w:val="27AE60"/>
                <w:sz w:val="22"/>
                <w:szCs w:val="22"/>
              </w:rPr>
              <w:t xml:space="preserve">PersonalOS provides complete, auditable measurement. Every claim is settled on Base blockchain — the brand can verify exactly who claimed (anonymized), how much was paid, and when. At Scale tier and above, brands get conversion attribution comparing PersonalOS direct channel performance vs. their other channels — a 'what good looks like' benchmark. All verifiable on-chain.</w:t>
            </w:r>
          </w:p>
        </w:tc>
      </w:tr>
    </w:tbl>
    <w:p>
      <w:pPr>
        <w:pStyle w:val="Heading1"/>
        <w:pageBreakBefore/>
        <w:pBdr>
          <w:bottom w:val="single" w:color="1B4F72" w:sz="6" w:space="8"/>
        </w:pBdr>
        <w:spacing w:after="360" w:before="0" w:line="276"/>
      </w:pPr>
      <w:r>
        <w:rPr>
          <w:rFonts w:ascii="Calibri" w:cs="Calibri" w:eastAsia="Calibri" w:hAnsi="Calibri"/>
          <w:b/>
          <w:bCs/>
          <w:color w:val="1B4F72"/>
          <w:sz w:val="36"/>
          <w:szCs w:val="36"/>
        </w:rPr>
        <w:t xml:space="preserve">PART 2: THREE PROOF POINTS</w:t>
      </w:r>
    </w:p>
    <w:p>
      <w:pPr>
        <w:spacing w:after="240" w:before="0" w:line="276"/>
      </w:pPr>
      <w:r>
        <w:rPr>
          <w:rFonts w:ascii="Calibri" w:cs="Calibri" w:eastAsia="Calibri" w:hAnsi="Calibri"/>
          <w:color w:val="000000"/>
          <w:sz w:val="24"/>
          <w:szCs w:val="24"/>
        </w:rPr>
        <w:t xml:space="preserve">PersonalOS doesn't just identify waste — it structurally eliminates it. But we are honest about what applies where. Here are three distinct proof points, each with its own evidence:</w:t>
      </w:r>
    </w:p>
    <w:p>
      <w:pPr>
        <w:pStyle w:val="Heading2"/>
        <w:spacing w:after="240" w:before="360" w:line="276"/>
      </w:pPr>
      <w:r>
        <w:rPr>
          <w:rFonts w:ascii="Calibri" w:cs="Calibri" w:eastAsia="Calibri" w:hAnsi="Calibri"/>
          <w:b/>
          <w:bCs/>
          <w:color w:val="2C3E50"/>
          <w:sz w:val="30"/>
          <w:szCs w:val="30"/>
        </w:rPr>
        <w:t xml:space="preserve">Proof Point #1 — Direct Channel: 41x More Efficient</w:t>
      </w:r>
    </w:p>
    <w:p>
      <w:pPr>
        <w:spacing w:after="240" w:before="0" w:line="276"/>
      </w:pPr>
      <w:r>
        <w:rPr>
          <w:rFonts w:ascii="Calibri" w:cs="Calibri" w:eastAsia="Calibri" w:hAnsi="Calibri"/>
          <w:b/>
          <w:bCs/>
          <w:color w:val="1B4F72"/>
          <w:sz w:val="24"/>
          <w:szCs w:val="24"/>
        </w:rPr>
        <w:t xml:space="preserve">Applies to: </w:t>
      </w:r>
      <w:r>
        <w:rPr>
          <w:rFonts w:ascii="Calibri" w:cs="Calibri" w:eastAsia="Calibri" w:hAnsi="Calibri"/>
          <w:color w:val="000000"/>
          <w:sz w:val="24"/>
          <w:szCs w:val="24"/>
        </w:rPr>
        <w:t xml:space="preserve">spend routed through PersonalOS direct offers (Soul App)</w:t>
      </w:r>
    </w:p>
    <w:p>
      <w:pPr>
        <w:spacing w:after="120" w:before="0" w:line="276"/>
      </w:pPr>
      <w:r>
        <w:rPr>
          <w:rFonts w:ascii="Calibri" w:cs="Calibri" w:eastAsia="Calibri" w:hAnsi="Calibri"/>
          <w:color w:val="000000"/>
          <w:sz w:val="24"/>
          <w:szCs w:val="24"/>
        </w:rPr>
        <w:t xml:space="preserve"/>
      </w:r>
    </w:p>
    <w:p>
      <w:pPr>
        <w:spacing w:after="240" w:before="0" w:line="276"/>
      </w:pPr>
      <w:r>
        <w:rPr>
          <w:rFonts w:ascii="Calibri" w:cs="Calibri" w:eastAsia="Calibri" w:hAnsi="Calibri"/>
          <w:color w:val="000000"/>
          <w:sz w:val="24"/>
          <w:szCs w:val="24"/>
        </w:rPr>
        <w:t xml:space="preserve">In the traditional programmatic supply chain, a brand's dollar is divided like this:</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Cost Component</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Programmatic</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PersonalOS Direct</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 tech fees (DSP, SSP, DMP, exchange)</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29-44%</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0% — no intermediaries</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Fraud / invalid traffic</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7-12%</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0% — passkey auth required</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Non-viewable impressions</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30-40%</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0% — active claim model</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Wrong audience (non-converters)</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99.5%+ waste</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40-60% conversion rate</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Platform fee</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Included above</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10% (immutable, on-chain)</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bCs/>
                <w:color w:val="000000"/>
                <w:sz w:val="20"/>
                <w:szCs w:val="20"/>
              </w:rPr>
              <w:t xml:space="preserve">To the consumer</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bCs/>
                <w:color w:val="000000"/>
                <w:sz w:val="20"/>
                <w:szCs w:val="20"/>
              </w:rPr>
              <w:t xml:space="preserve">~$0</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bCs/>
                <w:color w:val="27AE60"/>
                <w:sz w:val="20"/>
                <w:szCs w:val="20"/>
              </w:rPr>
              <w:t xml:space="preserve">$0.90 of every $1.00</w:t>
            </w:r>
          </w:p>
        </w:tc>
      </w:tr>
    </w:tbl>
    <w:p>
      <w:pPr>
        <w:spacing w:after="120" w:before="0" w:line="276"/>
      </w:pPr>
      <w:r>
        <w:rPr>
          <w:rFonts w:ascii="Calibri" w:cs="Calibri" w:eastAsia="Calibri" w:hAnsi="Calibri"/>
          <w:color w:val="000000"/>
          <w:sz w:val="24"/>
          <w:szCs w:val="24"/>
        </w:rPr>
        <w:t xml:space="preserve"/>
      </w:r>
    </w:p>
    <w:p>
      <w:pPr>
        <w:pStyle w:val="Heading3"/>
        <w:spacing w:after="200" w:before="280" w:line="276"/>
      </w:pPr>
      <w:r>
        <w:rPr>
          <w:rFonts w:ascii="Calibri" w:cs="Calibri" w:eastAsia="Calibri" w:hAnsi="Calibri"/>
          <w:b/>
          <w:bCs/>
          <w:color w:val="2C3E50"/>
          <w:sz w:val="26"/>
          <w:szCs w:val="26"/>
        </w:rPr>
        <w:t xml:space="preserve">The Math</w:t>
      </w:r>
    </w:p>
    <w:p>
      <w:pPr>
        <w:spacing w:after="240" w:before="0" w:line="276"/>
      </w:pPr>
      <w:r>
        <w:rPr>
          <w:rFonts w:ascii="Calibri" w:cs="Calibri" w:eastAsia="Calibri" w:hAnsi="Calibri"/>
          <w:color w:val="000000"/>
          <w:sz w:val="24"/>
          <w:szCs w:val="24"/>
        </w:rPr>
        <w:t xml:space="preserve">Industry average: $1.00 programmatic spend → $0.022 in actual consumer value (2.2% effective rate, derived from 36% publisher reach × ~6% of that as consumer value).</w:t>
      </w:r>
    </w:p>
    <w:p>
      <w:pPr>
        <w:spacing w:after="240" w:before="0" w:line="276"/>
      </w:pPr>
      <w:r>
        <w:rPr>
          <w:rFonts w:ascii="Calibri" w:cs="Calibri" w:eastAsia="Calibri" w:hAnsi="Calibri"/>
          <w:color w:val="000000"/>
          <w:sz w:val="24"/>
          <w:szCs w:val="24"/>
        </w:rPr>
        <w:t xml:space="preserve">PersonalOS direct: $1.00 spend → $0.90 to the consumer (90% effective rate).</w:t>
      </w:r>
    </w:p>
    <w:p>
      <w:pPr>
        <w:spacing w:after="360" w:before="0" w:line="276"/>
      </w:pPr>
      <w:r>
        <w:rPr>
          <w:rFonts w:ascii="Calibri" w:cs="Calibri" w:eastAsia="Calibri" w:hAnsi="Calibri"/>
          <w:b/>
          <w:bCs/>
          <w:color w:val="27AE60"/>
          <w:sz w:val="28"/>
          <w:szCs w:val="28"/>
        </w:rPr>
        <w:t xml:space="preserve">Efficiency ratio: 90% ÷ 2.2% = 41x.</w:t>
      </w:r>
    </w:p>
    <w:p>
      <w:pPr>
        <w:pStyle w:val="Heading3"/>
        <w:spacing w:after="200" w:before="280" w:line="276"/>
      </w:pPr>
      <w:r>
        <w:rPr>
          <w:rFonts w:ascii="Calibri" w:cs="Calibri" w:eastAsia="Calibri" w:hAnsi="Calibri"/>
          <w:b/>
          <w:bCs/>
          <w:color w:val="2C3E50"/>
          <w:sz w:val="26"/>
          <w:szCs w:val="26"/>
        </w:rPr>
        <w:t xml:space="preserve">How It's Proven — Code You Can Audit</w:t>
      </w:r>
    </w:p>
    <w:p>
      <w:pPr>
        <w:spacing w:after="240" w:before="0" w:line="276"/>
      </w:pPr>
      <w:r>
        <w:rPr>
          <w:rFonts w:ascii="Calibri" w:cs="Calibri" w:eastAsia="Calibri" w:hAnsi="Calibri"/>
          <w:color w:val="000000"/>
          <w:sz w:val="24"/>
          <w:szCs w:val="24"/>
        </w:rPr>
        <w:t xml:space="preserve">This isn't a marketing claim. The 90/10 split is enforced by smart contract bytecode deployed on Base blockchain:</w:t>
      </w:r>
    </w:p>
    <w:p>
      <w:pPr>
        <w:spacing w:after="120" w:before="0" w:line="276"/>
      </w:pPr>
      <w:r>
        <w:rPr>
          <w:rFonts w:ascii="Calibri" w:cs="Calibri" w:eastAsia="Calibri" w:hAnsi="Calibri"/>
          <w:color w:val="000000"/>
          <w:sz w:val="24"/>
          <w:szCs w:val="24"/>
        </w:rPr>
        <w:t xml:space="preserve"/>
      </w:r>
    </w:p>
    <w:p>
      <w:pPr>
        <w:pStyle w:val="ListParagraph"/>
        <w:numPr>
          <w:ilvl w:val="0"/>
          <w:numId w:val="1"/>
        </w:numPr>
        <w:spacing w:after="120" w:line="276"/>
      </w:pPr>
      <w:r>
        <w:rPr>
          <w:rFonts w:ascii="Calibri" w:cs="Calibri" w:eastAsia="Calibri" w:hAnsi="Calibri"/>
          <w:b/>
          <w:bCs/>
          <w:color w:val="000000"/>
          <w:sz w:val="24"/>
          <w:szCs w:val="24"/>
        </w:rPr>
        <w:t xml:space="preserve">Contract: </w:t>
      </w:r>
      <w:r>
        <w:rPr>
          <w:rFonts w:ascii="Calibri" w:cs="Calibri" w:eastAsia="Calibri" w:hAnsi="Calibri"/>
          <w:color w:val="000000"/>
          <w:sz w:val="24"/>
          <w:szCs w:val="24"/>
        </w:rPr>
        <w:t xml:space="preserve">BudgetEscrow.sol on Base Sepolia (0x4591…1bd80)</w:t>
      </w:r>
    </w:p>
    <w:p>
      <w:pPr>
        <w:pStyle w:val="ListParagraph"/>
        <w:numPr>
          <w:ilvl w:val="0"/>
          <w:numId w:val="1"/>
        </w:numPr>
        <w:spacing w:after="120" w:line="276"/>
      </w:pPr>
      <w:r>
        <w:rPr>
          <w:rFonts w:ascii="Calibri" w:cs="Calibri" w:eastAsia="Calibri" w:hAnsi="Calibri"/>
          <w:b/>
          <w:bCs/>
          <w:color w:val="000000"/>
          <w:sz w:val="24"/>
          <w:szCs w:val="24"/>
        </w:rPr>
        <w:t xml:space="preserve">Fee: </w:t>
      </w:r>
      <w:r>
        <w:rPr>
          <w:rFonts w:ascii="Calibri" w:cs="Calibri" w:eastAsia="Calibri" w:hAnsi="Calibri"/>
          <w:color w:val="000000"/>
          <w:sz w:val="24"/>
          <w:szCs w:val="24"/>
        </w:rPr>
        <w:t xml:space="preserve">constant FEE_BPS = 1000 (10%, immutable — encoded in bytecode, cannot be changed)</w:t>
      </w:r>
    </w:p>
    <w:p>
      <w:pPr>
        <w:pStyle w:val="ListParagraph"/>
        <w:numPr>
          <w:ilvl w:val="0"/>
          <w:numId w:val="1"/>
        </w:numPr>
        <w:spacing w:after="120" w:line="276"/>
      </w:pPr>
      <w:r>
        <w:rPr>
          <w:rFonts w:ascii="Calibri" w:cs="Calibri" w:eastAsia="Calibri" w:hAnsi="Calibri"/>
          <w:b/>
          <w:bCs/>
          <w:color w:val="000000"/>
          <w:sz w:val="24"/>
          <w:szCs w:val="24"/>
        </w:rPr>
        <w:t xml:space="preserve">Claim logic: </w:t>
      </w:r>
      <w:r>
        <w:rPr>
          <w:rFonts w:ascii="Calibri" w:cs="Calibri" w:eastAsia="Calibri" w:hAnsi="Calibri"/>
          <w:color w:val="000000"/>
          <w:sz w:val="24"/>
          <w:szCs w:val="24"/>
        </w:rPr>
        <w:t xml:space="preserve">fee = (amount × FEE_BPS) / 10000; yield = amount − fee</w:t>
      </w:r>
    </w:p>
    <w:p>
      <w:pPr>
        <w:pStyle w:val="ListParagraph"/>
        <w:numPr>
          <w:ilvl w:val="0"/>
          <w:numId w:val="1"/>
        </w:numPr>
        <w:spacing w:after="120" w:line="276"/>
      </w:pPr>
      <w:r>
        <w:rPr>
          <w:rFonts w:ascii="Calibri" w:cs="Calibri" w:eastAsia="Calibri" w:hAnsi="Calibri"/>
          <w:b/>
          <w:bCs/>
          <w:color w:val="000000"/>
          <w:sz w:val="24"/>
          <w:szCs w:val="24"/>
        </w:rPr>
        <w:t xml:space="preserve">Two transfers: </w:t>
      </w:r>
      <w:r>
        <w:rPr>
          <w:rFonts w:ascii="Calibri" w:cs="Calibri" w:eastAsia="Calibri" w:hAnsi="Calibri"/>
          <w:color w:val="000000"/>
          <w:sz w:val="24"/>
          <w:szCs w:val="24"/>
        </w:rPr>
        <w:t xml:space="preserve">safeTransfer(yield → soul), safeTransfer(fee → operator)</w:t>
      </w:r>
    </w:p>
    <w:p>
      <w:pPr>
        <w:pStyle w:val="ListParagraph"/>
        <w:numPr>
          <w:ilvl w:val="0"/>
          <w:numId w:val="1"/>
        </w:numPr>
        <w:spacing w:after="120" w:line="276"/>
      </w:pPr>
      <w:r>
        <w:rPr>
          <w:rFonts w:ascii="Calibri" w:cs="Calibri" w:eastAsia="Calibri" w:hAnsi="Calibri"/>
          <w:b/>
          <w:bCs/>
          <w:color w:val="000000"/>
          <w:sz w:val="24"/>
          <w:szCs w:val="24"/>
        </w:rPr>
        <w:t xml:space="preserve">Verification: </w:t>
      </w:r>
      <w:r>
        <w:rPr>
          <w:rFonts w:ascii="Calibri" w:cs="Calibri" w:eastAsia="Calibri" w:hAnsi="Calibri"/>
          <w:color w:val="000000"/>
          <w:sz w:val="24"/>
          <w:szCs w:val="24"/>
        </w:rPr>
        <w:t xml:space="preserve">Anyone can verify the contract on Basescan. The test suite confirms: $1.50 → $0.15 fee + $1.35 yield; rounding favors the soul.</w:t>
      </w:r>
    </w:p>
    <w:p>
      <w:pPr>
        <w:spacing w:after="120" w:before="0" w:line="276"/>
      </w:pPr>
      <w:r>
        <w:rPr>
          <w:rFonts w:ascii="Calibri" w:cs="Calibri" w:eastAsia="Calibri" w:hAnsi="Calibri"/>
          <w:color w:val="000000"/>
          <w:sz w:val="24"/>
          <w:szCs w:val="24"/>
        </w:rPr>
        <w:t xml:space="preserve"/>
      </w:r>
    </w:p>
    <w:p>
      <w:pPr>
        <w:pStyle w:val="Heading3"/>
        <w:spacing w:after="200" w:before="280" w:line="276"/>
      </w:pPr>
      <w:r>
        <w:rPr>
          <w:rFonts w:ascii="Calibri" w:cs="Calibri" w:eastAsia="Calibri" w:hAnsi="Calibri"/>
          <w:b/>
          <w:bCs/>
          <w:color w:val="2C3E50"/>
          <w:sz w:val="26"/>
          <w:szCs w:val="26"/>
        </w:rPr>
        <w:t xml:space="preserve">Why Brands Should Care</w:t>
      </w:r>
    </w:p>
    <w:p>
      <w:pPr>
        <w:spacing w:after="240" w:before="0" w:line="276"/>
      </w:pPr>
      <w:r>
        <w:rPr>
          <w:rFonts w:ascii="Calibri" w:cs="Calibri" w:eastAsia="Calibri" w:hAnsi="Calibri"/>
          <w:color w:val="000000"/>
          <w:sz w:val="24"/>
          <w:szCs w:val="24"/>
        </w:rPr>
        <w:t xml:space="preserve">The direct channel won't replace your entire media budget — PersonalOS launches with 500 souls, not 500 million. But for your highest-value audiences — people who have declared intent to buy in your category, verified by cross-source data — this channel is 41x more efficient than anything else available.</w:t>
      </w:r>
    </w:p>
    <w:p>
      <w:pPr>
        <w:spacing w:after="240" w:before="0" w:line="276"/>
      </w:pPr>
      <w:r>
        <w:rPr>
          <w:rFonts w:ascii="Calibri" w:cs="Calibri" w:eastAsia="Calibri" w:hAnsi="Calibri"/>
          <w:i/>
          <w:iCs/>
          <w:color w:val="000000"/>
          <w:sz w:val="24"/>
          <w:szCs w:val="24"/>
        </w:rPr>
        <w:t xml:space="preserve">Think of it as your precision instrument: </w:t>
      </w:r>
      <w:r>
        <w:rPr>
          <w:rFonts w:ascii="Calibri" w:cs="Calibri" w:eastAsia="Calibri" w:hAnsi="Calibri"/>
          <w:color w:val="000000"/>
          <w:sz w:val="24"/>
          <w:szCs w:val="24"/>
        </w:rPr>
        <w:t xml:space="preserve">find the 50 most serious buyers, not reach 50 million casual browsers.</w:t>
      </w:r>
    </w:p>
    <w:p>
      <w:pPr>
        <w:pStyle w:val="Heading2"/>
        <w:spacing w:after="240" w:before="360" w:line="276"/>
      </w:pPr>
      <w:r>
        <w:rPr>
          <w:rFonts w:ascii="Calibri" w:cs="Calibri" w:eastAsia="Calibri" w:hAnsi="Calibri"/>
          <w:b/>
          <w:bCs/>
          <w:color w:val="2C3E50"/>
          <w:sz w:val="30"/>
          <w:szCs w:val="30"/>
        </w:rPr>
        <w:t xml:space="preserve">Proof Point #2 — Existing Channel Optimization: 3-5x</w:t>
      </w:r>
    </w:p>
    <w:p>
      <w:pPr>
        <w:spacing w:after="240" w:before="0" w:line="276"/>
      </w:pPr>
      <w:r>
        <w:rPr>
          <w:rFonts w:ascii="Calibri" w:cs="Calibri" w:eastAsia="Calibri" w:hAnsi="Calibri"/>
          <w:b/>
          <w:bCs/>
          <w:color w:val="1B4F72"/>
          <w:sz w:val="24"/>
          <w:szCs w:val="24"/>
        </w:rPr>
        <w:t xml:space="preserve">Applies to: </w:t>
      </w:r>
      <w:r>
        <w:rPr>
          <w:rFonts w:ascii="Calibri" w:cs="Calibri" w:eastAsia="Calibri" w:hAnsi="Calibri"/>
          <w:color w:val="000000"/>
          <w:sz w:val="24"/>
          <w:szCs w:val="24"/>
        </w:rPr>
        <w:t xml:space="preserve">your existing Meta, Google, YouTube, and programmatic spend</w:t>
      </w:r>
    </w:p>
    <w:p>
      <w:pPr>
        <w:spacing w:after="120" w:before="0" w:line="276"/>
      </w:pPr>
      <w:r>
        <w:rPr>
          <w:rFonts w:ascii="Calibri" w:cs="Calibri" w:eastAsia="Calibri" w:hAnsi="Calibri"/>
          <w:color w:val="000000"/>
          <w:sz w:val="24"/>
          <w:szCs w:val="24"/>
        </w:rPr>
        <w:t xml:space="preserve"/>
      </w:r>
    </w:p>
    <w:p>
      <w:pPr>
        <w:spacing w:after="240" w:before="0" w:line="276"/>
      </w:pPr>
      <w:r>
        <w:rPr>
          <w:rFonts w:ascii="Calibri" w:cs="Calibri" w:eastAsia="Calibri" w:hAnsi="Calibri"/>
          <w:color w:val="000000"/>
          <w:sz w:val="24"/>
          <w:szCs w:val="24"/>
        </w:rPr>
        <w:t xml:space="preserve">PersonalOS doesn't just offer a direct channel — it provides intelligence that makes your existing campaigns smarter. This is the complement model: PersonalOS makes Meta and Google more efficient, not irrelevant.</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Intelligence Product</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Tier</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What It Does</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Aggregate demand dashboard</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Free (Starter)</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See verified intent volume by category and region</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Demand intelligence</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Growth ($199/mo)</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When intent peaks, correlated purchase signals, converting price points</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Conversion attribution</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Scale ($999/mo)</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Your direct channel conversion vs. other channels</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Suppression signals</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Scale ($999/mo)</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Stop targeting people who already converted</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Exclusion list API</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Scale ($999/mo)</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7-day time-locked signal batches for Meta/Google integration</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Demand forecasting</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Enterprise ($4,999/mo)</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When to increase/decrease spend based on intent patterns</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ZK matching insights</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Enterprise ($4,999/mo)</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See results, never matching criteria</w:t>
            </w:r>
          </w:p>
        </w:tc>
      </w:tr>
    </w:tbl>
    <w:p>
      <w:pPr>
        <w:spacing w:after="120" w:before="0" w:line="276"/>
      </w:pPr>
      <w:r>
        <w:rPr>
          <w:rFonts w:ascii="Calibri" w:cs="Calibri" w:eastAsia="Calibri" w:hAnsi="Calibri"/>
          <w:color w:val="000000"/>
          <w:sz w:val="24"/>
          <w:szCs w:val="24"/>
        </w:rPr>
        <w:t xml:space="preserve"/>
      </w:r>
    </w:p>
    <w:p>
      <w:pPr>
        <w:pStyle w:val="Heading3"/>
        <w:spacing w:after="200" w:before="280" w:line="276"/>
      </w:pPr>
      <w:r>
        <w:rPr>
          <w:rFonts w:ascii="Calibri" w:cs="Calibri" w:eastAsia="Calibri" w:hAnsi="Calibri"/>
          <w:b/>
          <w:bCs/>
          <w:color w:val="2C3E50"/>
          <w:sz w:val="26"/>
          <w:szCs w:val="26"/>
        </w:rPr>
        <w:t xml:space="preserve">Why 3-5x, Not 41x?</w:t>
      </w:r>
    </w:p>
    <w:p>
      <w:pPr>
        <w:spacing w:after="240" w:before="0" w:line="276"/>
      </w:pPr>
      <w:r>
        <w:rPr>
          <w:rFonts w:ascii="Calibri" w:cs="Calibri" w:eastAsia="Calibri" w:hAnsi="Calibri"/>
          <w:color w:val="000000"/>
          <w:sz w:val="24"/>
          <w:szCs w:val="24"/>
        </w:rPr>
        <w:t xml:space="preserve">The intelligence product optimizes existing channels — it doesn't replace their supply chain. You still pay Meta's fees, still compete in Google's auctions. But you waste less:</w:t>
      </w:r>
    </w:p>
    <w:p>
      <w:pPr>
        <w:pStyle w:val="ListParagraph"/>
        <w:numPr>
          <w:ilvl w:val="0"/>
          <w:numId w:val="1"/>
        </w:numPr>
        <w:spacing w:after="120" w:line="276"/>
      </w:pPr>
      <w:r>
        <w:rPr>
          <w:rFonts w:ascii="Calibri" w:cs="Calibri" w:eastAsia="Calibri" w:hAnsi="Calibri"/>
          <w:b/>
          <w:bCs/>
          <w:color w:val="000000"/>
          <w:sz w:val="24"/>
          <w:szCs w:val="24"/>
        </w:rPr>
        <w:t xml:space="preserve">Suppression signals: </w:t>
      </w:r>
      <w:r>
        <w:rPr>
          <w:rFonts w:ascii="Calibri" w:cs="Calibri" w:eastAsia="Calibri" w:hAnsi="Calibri"/>
          <w:color w:val="000000"/>
          <w:sz w:val="24"/>
          <w:szCs w:val="24"/>
        </w:rPr>
        <w:t xml:space="preserve">stop showing ads to people who already bought → 20-30% waste reduction</w:t>
      </w:r>
    </w:p>
    <w:p>
      <w:pPr>
        <w:pStyle w:val="ListParagraph"/>
        <w:numPr>
          <w:ilvl w:val="0"/>
          <w:numId w:val="1"/>
        </w:numPr>
        <w:spacing w:after="120" w:line="276"/>
      </w:pPr>
      <w:r>
        <w:rPr>
          <w:rFonts w:ascii="Calibri" w:cs="Calibri" w:eastAsia="Calibri" w:hAnsi="Calibri"/>
          <w:b/>
          <w:bCs/>
          <w:color w:val="000000"/>
          <w:sz w:val="24"/>
          <w:szCs w:val="24"/>
        </w:rPr>
        <w:t xml:space="preserve">Demand timing: </w:t>
      </w:r>
      <w:r>
        <w:rPr>
          <w:rFonts w:ascii="Calibri" w:cs="Calibri" w:eastAsia="Calibri" w:hAnsi="Calibri"/>
          <w:color w:val="000000"/>
          <w:sz w:val="24"/>
          <w:szCs w:val="24"/>
        </w:rPr>
        <w:t xml:space="preserve">increase spend when real intent peaks, decrease when it's not → 15-25% efficiency gain</w:t>
      </w:r>
    </w:p>
    <w:p>
      <w:pPr>
        <w:pStyle w:val="ListParagraph"/>
        <w:numPr>
          <w:ilvl w:val="0"/>
          <w:numId w:val="1"/>
        </w:numPr>
        <w:spacing w:after="120" w:line="276"/>
      </w:pPr>
      <w:r>
        <w:rPr>
          <w:rFonts w:ascii="Calibri" w:cs="Calibri" w:eastAsia="Calibri" w:hAnsi="Calibri"/>
          <w:b/>
          <w:bCs/>
          <w:color w:val="000000"/>
          <w:sz w:val="24"/>
          <w:szCs w:val="24"/>
        </w:rPr>
        <w:t xml:space="preserve">Attribution clarity: </w:t>
      </w:r>
      <w:r>
        <w:rPr>
          <w:rFonts w:ascii="Calibri" w:cs="Calibri" w:eastAsia="Calibri" w:hAnsi="Calibri"/>
          <w:color w:val="000000"/>
          <w:sz w:val="24"/>
          <w:szCs w:val="24"/>
        </w:rPr>
        <w:t xml:space="preserve">know which channel drives conversion → reallocate → 10-20% improvement</w:t>
      </w:r>
    </w:p>
    <w:p>
      <w:pPr>
        <w:spacing w:after="240" w:before="0" w:line="276"/>
      </w:pPr>
      <w:r>
        <w:rPr>
          <w:rFonts w:ascii="Calibri" w:cs="Calibri" w:eastAsia="Calibri" w:hAnsi="Calibri"/>
          <w:b/>
          <w:bCs/>
          <w:color w:val="000000"/>
          <w:sz w:val="24"/>
          <w:szCs w:val="24"/>
        </w:rPr>
        <w:t xml:space="preserve">Combined: 3-5x improvement in effective ROI on existing spend.</w:t>
      </w:r>
      <w:r>
        <w:rPr>
          <w:rFonts w:ascii="Calibri" w:cs="Calibri" w:eastAsia="Calibri" w:hAnsi="Calibri"/>
          <w:color w:val="000000"/>
          <w:sz w:val="24"/>
          <w:szCs w:val="24"/>
        </w:rPr>
        <w:t xml:space="preserve"> Not as dramatic as 41x, but applied to your entire media budget, not just a small direct channel.</w:t>
      </w:r>
    </w:p>
    <w:p>
      <w:pPr>
        <w:pStyle w:val="Heading2"/>
        <w:spacing w:after="240" w:before="360" w:line="276"/>
      </w:pPr>
      <w:r>
        <w:rPr>
          <w:rFonts w:ascii="Calibri" w:cs="Calibri" w:eastAsia="Calibri" w:hAnsi="Calibri"/>
          <w:b/>
          <w:bCs/>
          <w:color w:val="2C3E50"/>
          <w:sz w:val="30"/>
          <w:szCs w:val="30"/>
        </w:rPr>
        <w:t xml:space="preserve">Proof Point #3 — Portfolio Effect: 8-15x Blended</w:t>
      </w:r>
    </w:p>
    <w:p>
      <w:pPr>
        <w:spacing w:after="240" w:before="0" w:line="276"/>
      </w:pPr>
      <w:r>
        <w:rPr>
          <w:rFonts w:ascii="Calibri" w:cs="Calibri" w:eastAsia="Calibri" w:hAnsi="Calibri"/>
          <w:b/>
          <w:bCs/>
          <w:color w:val="1B4F72"/>
          <w:sz w:val="24"/>
          <w:szCs w:val="24"/>
        </w:rPr>
        <w:t xml:space="preserve">Applies to: </w:t>
      </w:r>
      <w:r>
        <w:rPr>
          <w:rFonts w:ascii="Calibri" w:cs="Calibri" w:eastAsia="Calibri" w:hAnsi="Calibri"/>
          <w:color w:val="000000"/>
          <w:sz w:val="24"/>
          <w:szCs w:val="24"/>
        </w:rPr>
        <w:t xml:space="preserve">your total media budget when combining both channels</w:t>
      </w:r>
    </w:p>
    <w:p>
      <w:pPr>
        <w:spacing w:after="120" w:before="0" w:line="276"/>
      </w:pPr>
      <w:r>
        <w:rPr>
          <w:rFonts w:ascii="Calibri" w:cs="Calibri" w:eastAsia="Calibri" w:hAnsi="Calibri"/>
          <w:color w:val="000000"/>
          <w:sz w:val="24"/>
          <w:szCs w:val="24"/>
        </w:rPr>
        <w:t xml:space="preserve"/>
      </w:r>
    </w:p>
    <w:p>
      <w:pPr>
        <w:spacing w:after="240" w:before="0" w:line="276"/>
      </w:pPr>
      <w:r>
        <w:rPr>
          <w:rFonts w:ascii="Calibri" w:cs="Calibri" w:eastAsia="Calibri" w:hAnsi="Calibri"/>
          <w:color w:val="000000"/>
          <w:sz w:val="24"/>
          <w:szCs w:val="24"/>
        </w:rPr>
        <w:t xml:space="preserve">The real power emerges when brands use both channels together:</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Allocation</w:t>
            </w:r>
          </w:p>
        </w:tc>
        <w:tc>
          <w:tcPr>
            <w:tcW w:type="dxa" w:w="234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Direct (41x)</w:t>
            </w:r>
          </w:p>
        </w:tc>
        <w:tc>
          <w:tcPr>
            <w:tcW w:type="dxa" w:w="234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Existing Optimized (4x)</w:t>
            </w:r>
          </w:p>
        </w:tc>
        <w:tc>
          <w:tcPr>
            <w:tcW w:type="dxa" w:w="234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Blended ROI</w:t>
            </w:r>
          </w:p>
        </w:tc>
      </w:tr>
      <w:tr>
        <w:trPr>
          <w:tblHeader w:val="false"/>
        </w:trPr>
        <w:tc>
          <w:tcPr>
            <w:tcW w:type="dxa" w:w="234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10% PersonalOS / 90% existing</w:t>
            </w:r>
          </w:p>
        </w:tc>
        <w:tc>
          <w:tcPr>
            <w:tcW w:type="dxa" w:w="234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41x on 10%</w:t>
            </w:r>
          </w:p>
        </w:tc>
        <w:tc>
          <w:tcPr>
            <w:tcW w:type="dxa" w:w="234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4x on 90%</w:t>
            </w:r>
          </w:p>
        </w:tc>
        <w:tc>
          <w:tcPr>
            <w:tcW w:type="dxa" w:w="234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~7.7x overall</w:t>
            </w:r>
          </w:p>
        </w:tc>
      </w:tr>
      <w:tr>
        <w:trPr>
          <w:tblHeader w:val="false"/>
        </w:trPr>
        <w:tc>
          <w:tcPr>
            <w:tcW w:type="dxa" w:w="234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20% PersonalOS / 80% existing</w:t>
            </w:r>
          </w:p>
        </w:tc>
        <w:tc>
          <w:tcPr>
            <w:tcW w:type="dxa" w:w="234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41x on 20%</w:t>
            </w:r>
          </w:p>
        </w:tc>
        <w:tc>
          <w:tcPr>
            <w:tcW w:type="dxa" w:w="234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4x on 80%</w:t>
            </w:r>
          </w:p>
        </w:tc>
        <w:tc>
          <w:tcPr>
            <w:tcW w:type="dxa" w:w="234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~11.4x overall</w:t>
            </w:r>
          </w:p>
        </w:tc>
      </w:tr>
      <w:tr>
        <w:trPr>
          <w:tblHeader w:val="false"/>
        </w:trPr>
        <w:tc>
          <w:tcPr>
            <w:tcW w:type="dxa" w:w="234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30% PersonalOS / 70% existing</w:t>
            </w:r>
          </w:p>
        </w:tc>
        <w:tc>
          <w:tcPr>
            <w:tcW w:type="dxa" w:w="234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41x on 30%</w:t>
            </w:r>
          </w:p>
        </w:tc>
        <w:tc>
          <w:tcPr>
            <w:tcW w:type="dxa" w:w="234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4x on 70%</w:t>
            </w:r>
          </w:p>
        </w:tc>
        <w:tc>
          <w:tcPr>
            <w:tcW w:type="dxa" w:w="234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~15.1x overall</w:t>
            </w:r>
          </w:p>
        </w:tc>
      </w:tr>
    </w:tbl>
    <w:p>
      <w:pPr>
        <w:spacing w:after="120" w:before="0" w:line="276"/>
      </w:pPr>
      <w:r>
        <w:rPr>
          <w:rFonts w:ascii="Calibri" w:cs="Calibri" w:eastAsia="Calibri" w:hAnsi="Calibri"/>
          <w:color w:val="000000"/>
          <w:sz w:val="24"/>
          <w:szCs w:val="24"/>
        </w:rPr>
        <w:t xml:space="preserve"/>
      </w:r>
    </w:p>
    <w:p>
      <w:pPr>
        <w:spacing w:after="240" w:before="0" w:line="276"/>
      </w:pPr>
      <w:r>
        <w:rPr>
          <w:rFonts w:ascii="Calibri" w:cs="Calibri" w:eastAsia="Calibri" w:hAnsi="Calibri"/>
          <w:color w:val="000000"/>
          <w:sz w:val="24"/>
          <w:szCs w:val="24"/>
        </w:rPr>
        <w:t xml:space="preserve">The portfolio effect grows as the soul base grows. With 500 souls, a brand might allocate 5% to direct. With 50,000 souls, 20-30% becomes viable. PersonalOS earns its way into larger budget allocations through measured results, not promises.</w:t>
      </w:r>
    </w:p>
    <w:p>
      <w:pPr>
        <w:spacing w:after="120" w:before="0" w:line="276"/>
      </w:pPr>
      <w:r>
        <w:rPr>
          <w:rFonts w:ascii="Calibri" w:cs="Calibri" w:eastAsia="Calibri" w:hAnsi="Calibri"/>
          <w:color w:val="000000"/>
          <w:sz w:val="24"/>
          <w:szCs w:val="24"/>
        </w:rPr>
        <w:t xml:space="preserve"/>
      </w:r>
    </w:p>
    <w:p>
      <w:pPr>
        <w:pStyle w:val="Heading3"/>
        <w:spacing w:after="200" w:before="280" w:line="276"/>
      </w:pPr>
      <w:r>
        <w:rPr>
          <w:rFonts w:ascii="Calibri" w:cs="Calibri" w:eastAsia="Calibri" w:hAnsi="Calibri"/>
          <w:b/>
          <w:bCs/>
          <w:color w:val="2C3E50"/>
          <w:sz w:val="26"/>
          <w:szCs w:val="26"/>
        </w:rPr>
        <w:t xml:space="preserve">The Brand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Phase</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What You Do</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What You Learn</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1. Browse (Free)</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View aggregate demand dashboard</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Real intent exists in your category</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2. Test ($199/mo)</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Run 3-5 direct offers</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40-60% conversion; 41x efficiency is real</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3. Optimize ($999/mo)</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Add suppression + attribution</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Your Meta/Google spend improves 3-5x</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4. Scale ($4,999/mo)</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Full portfolio allocation</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8-15x blended, with forecasting</w:t>
            </w:r>
          </w:p>
        </w:tc>
      </w:tr>
    </w:tbl>
    <w:p>
      <w:pPr>
        <w:pStyle w:val="Heading1"/>
        <w:pageBreakBefore/>
        <w:pBdr>
          <w:bottom w:val="single" w:color="1B4F72" w:sz="6" w:space="8"/>
        </w:pBdr>
        <w:spacing w:after="360" w:before="0" w:line="276"/>
      </w:pPr>
      <w:r>
        <w:rPr>
          <w:rFonts w:ascii="Calibri" w:cs="Calibri" w:eastAsia="Calibri" w:hAnsi="Calibri"/>
          <w:b/>
          <w:bCs/>
          <w:color w:val="1B4F72"/>
          <w:sz w:val="36"/>
          <w:szCs w:val="36"/>
        </w:rPr>
        <w:t xml:space="preserve">PART 3: WHY CAN'T GOOGLE OR META JUST BUILD THIS?</w:t>
      </w:r>
    </w:p>
    <w:p>
      <w:pPr>
        <w:spacing w:after="240" w:before="0" w:line="276"/>
      </w:pPr>
      <w:r>
        <w:rPr>
          <w:rFonts w:ascii="Calibri" w:cs="Calibri" w:eastAsia="Calibri" w:hAnsi="Calibri"/>
          <w:color w:val="000000"/>
          <w:sz w:val="24"/>
          <w:szCs w:val="24"/>
        </w:rPr>
        <w:t xml:space="preserve">This is the most important question a brand can ask. If PersonalOS's approach is so much better, why wouldn't Google, Meta, or Apple simply replicate it?</w:t>
      </w:r>
    </w:p>
    <w:p>
      <w:pPr>
        <w:spacing w:after="240" w:before="0" w:line="276"/>
      </w:pPr>
      <w:r>
        <w:rPr>
          <w:rFonts w:ascii="Calibri" w:cs="Calibri" w:eastAsia="Calibri" w:hAnsi="Calibri"/>
          <w:b/>
          <w:bCs/>
          <w:color w:val="000000"/>
          <w:sz w:val="24"/>
          <w:szCs w:val="24"/>
        </w:rPr>
        <w:t xml:space="preserve">The answer is structural — what we call the Impossible Triangle.</w:t>
      </w:r>
    </w:p>
    <w:p>
      <w:pPr>
        <w:spacing w:after="120" w:before="0" w:line="276"/>
      </w:pPr>
      <w:r>
        <w:rPr>
          <w:rFonts w:ascii="Calibri" w:cs="Calibri" w:eastAsia="Calibri" w:hAnsi="Calibri"/>
          <w:color w:val="000000"/>
          <w:sz w:val="24"/>
          <w:szCs w:val="24"/>
        </w:rPr>
        <w:t xml:space="preserve"/>
      </w:r>
    </w:p>
    <w:p>
      <w:pPr>
        <w:pStyle w:val="Heading2"/>
        <w:spacing w:after="240" w:before="360" w:line="276"/>
      </w:pPr>
      <w:r>
        <w:rPr>
          <w:rFonts w:ascii="Calibri" w:cs="Calibri" w:eastAsia="Calibri" w:hAnsi="Calibri"/>
          <w:b/>
          <w:bCs/>
          <w:color w:val="2C3E50"/>
          <w:sz w:val="30"/>
          <w:szCs w:val="30"/>
        </w:rPr>
        <w:t xml:space="preserve">The Impossible Triangle</w:t>
      </w:r>
    </w:p>
    <w:p>
      <w:pPr>
        <w:spacing w:after="240" w:before="0" w:line="276"/>
      </w:pPr>
      <w:r>
        <w:rPr>
          <w:rFonts w:ascii="Calibri" w:cs="Calibri" w:eastAsia="Calibri" w:hAnsi="Calibri"/>
          <w:color w:val="000000"/>
          <w:sz w:val="24"/>
          <w:szCs w:val="24"/>
        </w:rPr>
        <w:t xml:space="preserve">To replicate PersonalOS, a company would need to simultaneously deliver three things that are mutually exclusive for any ad-funded business:</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Vertex</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What It Means</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Why Incumbents Can't</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Incentive Inversion</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Earn when users earn (10% of consumer payment)</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Google/Meta earn from ads, not consumers. Aligning with users cannibalizes 80%+ of revenue.</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Compounding Data Identity</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Years of verified cross-source behavioral history (bank + health + social + shopping)</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Each platform has one silo. DMA restricts cross-service combination. Users won't share bank data with ad companies.</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Immutable Economics</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Fee locked in smart contract bytecode. Cannot be changed without deploying new contract.</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Public companies need flexibility. YouTube/Amazon change creator/seller terms regularly. Quarterly earnings pressure prevents permanent commitments.</w:t>
            </w:r>
          </w:p>
        </w:tc>
      </w:tr>
    </w:tbl>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3"/>
              <w:left w:val="single" w:color="1B4F72" w:sz="6"/>
              <w:bottom w:val="single" w:color="BBBBBB" w:sz="3"/>
              <w:right w:val="single" w:color="BBBBBB" w:sz="3"/>
            </w:tcBorders>
            <w:shd w:fill="D6EAF8" w:val="clear"/>
            <w:tcMar>
              <w:top w:type="dxa" w:w="120"/>
              <w:left w:type="dxa" w:w="200"/>
              <w:bottom w:type="dxa" w:w="120"/>
              <w:right w:type="dxa" w:w="200"/>
            </w:tcMar>
          </w:tcPr>
          <w:p>
            <w:pPr>
              <w:spacing w:after="0"/>
            </w:pPr>
            <w:r>
              <w:rPr>
                <w:rFonts w:ascii="Calibri" w:cs="Calibri" w:eastAsia="Calibri" w:hAnsi="Calibri"/>
                <w:b/>
                <w:bCs/>
                <w:color w:val="1B4F72"/>
                <w:sz w:val="22"/>
                <w:szCs w:val="22"/>
              </w:rPr>
              <w:t xml:space="preserve">No incumbent can do all three. Google can't invert incentives (80%+ ad revenue). Meta can't aggregate cross-source data (single silo). Apple won't lock economics in immutable code (App Store terms change regularly). Each can do one or two vertices — none can do all three simultaneously.</w:t>
            </w:r>
          </w:p>
        </w:tc>
      </w:tr>
    </w:tbl>
    <w:p>
      <w:pPr>
        <w:spacing w:after="120" w:before="0" w:line="276"/>
      </w:pPr>
      <w:r>
        <w:rPr>
          <w:rFonts w:ascii="Calibri" w:cs="Calibri" w:eastAsia="Calibri" w:hAnsi="Calibri"/>
          <w:color w:val="000000"/>
          <w:sz w:val="24"/>
          <w:szCs w:val="24"/>
        </w:rPr>
        <w:t xml:space="preserve"/>
      </w:r>
    </w:p>
    <w:p>
      <w:pPr>
        <w:pStyle w:val="Heading2"/>
        <w:spacing w:after="240" w:before="360" w:line="276"/>
      </w:pPr>
      <w:r>
        <w:rPr>
          <w:rFonts w:ascii="Calibri" w:cs="Calibri" w:eastAsia="Calibri" w:hAnsi="Calibri"/>
          <w:b/>
          <w:bCs/>
          <w:color w:val="2C3E50"/>
          <w:sz w:val="30"/>
          <w:szCs w:val="30"/>
        </w:rPr>
        <w:t xml:space="preserve">Three Defensive Layers</w:t>
      </w:r>
    </w:p>
    <w:p>
      <w:pPr>
        <w:spacing w:after="240" w:before="0" w:line="276"/>
      </w:pPr>
      <w:r>
        <w:rPr>
          <w:rFonts w:ascii="Calibri" w:cs="Calibri" w:eastAsia="Calibri" w:hAnsi="Calibri"/>
          <w:color w:val="000000"/>
          <w:sz w:val="24"/>
          <w:szCs w:val="24"/>
        </w:rPr>
        <w:t xml:space="preserve">Supporting the Impossible Triangle, three layers compound over time:</w:t>
      </w:r>
    </w:p>
    <w:p>
      <w:pPr>
        <w:spacing w:after="120" w:before="0" w:line="276"/>
      </w:pPr>
      <w:r>
        <w:rPr>
          <w:rFonts w:ascii="Calibri" w:cs="Calibri" w:eastAsia="Calibri" w:hAnsi="Calibri"/>
          <w:color w:val="000000"/>
          <w:sz w:val="24"/>
          <w:szCs w:val="24"/>
        </w:rPr>
        <w:t xml:space="preserve"/>
      </w:r>
    </w:p>
    <w:p>
      <w:pPr>
        <w:pStyle w:val="ListParagraph"/>
        <w:numPr>
          <w:ilvl w:val="0"/>
          <w:numId w:val="1"/>
        </w:numPr>
        <w:spacing w:after="120" w:line="276"/>
      </w:pPr>
      <w:r>
        <w:rPr>
          <w:rFonts w:ascii="Calibri" w:cs="Calibri" w:eastAsia="Calibri" w:hAnsi="Calibri"/>
          <w:b/>
          <w:bCs/>
          <w:color w:val="000000"/>
          <w:sz w:val="24"/>
          <w:szCs w:val="24"/>
        </w:rPr>
        <w:t xml:space="preserve">Structural: </w:t>
      </w:r>
      <w:r>
        <w:rPr>
          <w:rFonts w:ascii="Calibri" w:cs="Calibri" w:eastAsia="Calibri" w:hAnsi="Calibri"/>
          <w:color w:val="000000"/>
          <w:sz w:val="24"/>
          <w:szCs w:val="24"/>
        </w:rPr>
        <w:t xml:space="preserve">PersonalOS aggregates data FROM everywhere on the user's behalf, using their legal right to data portability (GDPR Article 20, CCPA §1798.100). No single platform has this cross-source depth.</w:t>
      </w:r>
    </w:p>
    <w:p>
      <w:pPr>
        <w:pStyle w:val="ListParagraph"/>
        <w:numPr>
          <w:ilvl w:val="0"/>
          <w:numId w:val="1"/>
        </w:numPr>
        <w:spacing w:after="120" w:line="276"/>
      </w:pPr>
      <w:r>
        <w:rPr>
          <w:rFonts w:ascii="Calibri" w:cs="Calibri" w:eastAsia="Calibri" w:hAnsi="Calibri"/>
          <w:b/>
          <w:bCs/>
          <w:color w:val="000000"/>
          <w:sz w:val="24"/>
          <w:szCs w:val="24"/>
        </w:rPr>
        <w:t xml:space="preserve">Reputational: </w:t>
      </w:r>
      <w:r>
        <w:rPr>
          <w:rFonts w:ascii="Calibri" w:cs="Calibri" w:eastAsia="Calibri" w:hAnsi="Calibri"/>
          <w:color w:val="000000"/>
          <w:sz w:val="24"/>
          <w:szCs w:val="24"/>
        </w:rPr>
        <w:t xml:space="preserve">PersonalOS is the user's agent, not the advertiser's agent. On-device processing, immutable fees, passkey identity, key-destruction deletion — every architectural choice reinforces this position.</w:t>
      </w:r>
    </w:p>
    <w:p>
      <w:pPr>
        <w:pStyle w:val="ListParagraph"/>
        <w:numPr>
          <w:ilvl w:val="0"/>
          <w:numId w:val="1"/>
        </w:numPr>
        <w:spacing w:after="120" w:line="276"/>
      </w:pPr>
      <w:r>
        <w:rPr>
          <w:rFonts w:ascii="Calibri" w:cs="Calibri" w:eastAsia="Calibri" w:hAnsi="Calibri"/>
          <w:b/>
          <w:bCs/>
          <w:color w:val="000000"/>
          <w:sz w:val="24"/>
          <w:szCs w:val="24"/>
        </w:rPr>
        <w:t xml:space="preserve">Regulatory: </w:t>
      </w:r>
      <w:r>
        <w:rPr>
          <w:rFonts w:ascii="Calibri" w:cs="Calibri" w:eastAsia="Calibri" w:hAnsi="Calibri"/>
          <w:color w:val="000000"/>
          <w:sz w:val="24"/>
          <w:szCs w:val="24"/>
        </w:rPr>
        <w:t xml:space="preserve">Every major privacy regulation (GDPR, CCPA, India DPDP, EU DMA, DOJ v. Google) strengthens PersonalOS and constrains incumbents. PersonalOS isn't just compliant — it's built FOR these regulations.</w:t>
      </w:r>
    </w:p>
    <w:p>
      <w:pPr>
        <w:pStyle w:val="Heading1"/>
        <w:pageBreakBefore/>
        <w:pBdr>
          <w:bottom w:val="single" w:color="1B4F72" w:sz="6" w:space="8"/>
        </w:pBdr>
        <w:spacing w:after="360" w:before="0" w:line="276"/>
      </w:pPr>
      <w:r>
        <w:rPr>
          <w:rFonts w:ascii="Calibri" w:cs="Calibri" w:eastAsia="Calibri" w:hAnsi="Calibri"/>
          <w:b/>
          <w:bCs/>
          <w:color w:val="1B4F72"/>
          <w:sz w:val="36"/>
          <w:szCs w:val="36"/>
        </w:rPr>
        <w:t xml:space="preserve">PART 4: HOW YOUR INTELLIGENCE IS PROTECTED</w:t>
      </w:r>
    </w:p>
    <w:p>
      <w:pPr>
        <w:spacing w:after="240" w:before="0" w:line="276"/>
      </w:pPr>
      <w:r>
        <w:rPr>
          <w:rFonts w:ascii="Calibri" w:cs="Calibri" w:eastAsia="Calibri" w:hAnsi="Calibri"/>
          <w:color w:val="000000"/>
          <w:sz w:val="24"/>
          <w:szCs w:val="24"/>
        </w:rPr>
        <w:t xml:space="preserve">When brands invest in PersonalOS's intelligence products, their data and insights are protected by the same blockchain infrastructure that protects consumers:</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Protection</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Mechanism</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What It Means</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On-chain access audit</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Every intelligence access logged on Base blockchain</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Tamper-proof record of who accessed what, when</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Subscription NFT</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Access gated by non-transferable token with expiry</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Cancel = lose access (cryptographic, not policy)</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Time-locked signals</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Suppression signals expire after 7 days</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Must maintain subscription for fresh data</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Zero-knowledge matching</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Brand sees results, never matching criteria</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Your competitive intelligence stays protected</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Non-extraction ToS</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Backed by on-chain evidence</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Not 'trust us' — 'verify it'</w:t>
            </w:r>
          </w:p>
        </w:tc>
      </w:tr>
    </w:tbl>
    <w:p>
      <w:pPr>
        <w:spacing w:after="120" w:before="0" w:line="276"/>
      </w:pPr>
      <w:r>
        <w:rPr>
          <w:rFonts w:ascii="Calibri" w:cs="Calibri" w:eastAsia="Calibri" w:hAnsi="Calibri"/>
          <w:color w:val="000000"/>
          <w:sz w:val="24"/>
          <w:szCs w:val="24"/>
        </w:rPr>
        <w:t xml:space="preserve"/>
      </w:r>
    </w:p>
    <w:p>
      <w:pPr>
        <w:spacing w:after="240" w:before="0" w:line="276"/>
      </w:pPr>
      <w:r>
        <w:rPr>
          <w:rFonts w:ascii="Calibri" w:cs="Calibri" w:eastAsia="Calibri" w:hAnsi="Calibri"/>
          <w:color w:val="000000"/>
          <w:sz w:val="24"/>
          <w:szCs w:val="24"/>
        </w:rPr>
        <w:t xml:space="preserve">The same philosophy applies to both sides: souls are protected by on-device processing and differential privacy; brands are protected by on-chain access audits and cryptographic access controls.</w:t>
      </w:r>
    </w:p>
    <w:p>
      <w:pPr>
        <w:pStyle w:val="Heading1"/>
        <w:pageBreakBefore/>
        <w:pBdr>
          <w:bottom w:val="single" w:color="1B4F72" w:sz="6" w:space="8"/>
        </w:pBdr>
        <w:spacing w:after="360" w:before="0" w:line="276"/>
      </w:pPr>
      <w:r>
        <w:rPr>
          <w:rFonts w:ascii="Calibri" w:cs="Calibri" w:eastAsia="Calibri" w:hAnsi="Calibri"/>
          <w:b/>
          <w:bCs/>
          <w:color w:val="1B4F72"/>
          <w:sz w:val="36"/>
          <w:szCs w:val="36"/>
        </w:rPr>
        <w:t xml:space="preserve">PART 5: RISKS &amp; HONEST LIMITATIONS</w:t>
      </w:r>
    </w:p>
    <w:p>
      <w:pPr>
        <w:spacing w:after="240" w:before="0" w:line="276"/>
      </w:pPr>
      <w:r>
        <w:rPr>
          <w:rFonts w:ascii="Calibri" w:cs="Calibri" w:eastAsia="Calibri" w:hAnsi="Calibri"/>
          <w:color w:val="000000"/>
          <w:sz w:val="24"/>
          <w:szCs w:val="24"/>
        </w:rPr>
        <w:t xml:space="preserve">PersonalOS believes in radical transparency — including about our own limitations. Here is what we don't have yet, what could go wrong, and what we're doing about it:</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Risk</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Severity</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Mitigation</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Small user base at launch (500 souls)</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High</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Direct channel is precision, not reach. Intelligence product works with aggregate data. Founding cohort gets Pro free for 90 days.</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Regulatory uncertainty (MSB, money transmitter)</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Medium</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Legal review underway. Architecture designed for compliance; legal structure follows.</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Smart contract risk (immutable = can't patch)</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Medium</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Audited OpenZeppelin patterns. Foundry test suite. Bug bounty planned. Immutability is a feature and a risk.</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Cold start (brands won't pay without proof)</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Medium</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Free Starter tier. $199 Growth is low commitment. Early conversion data proves the model.</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Consumer friction (crypto-native wallet)</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Medium</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Earn-first onboarding. Coinbase on/off-ramp. Passkey auth hides key management.</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Incumbent response</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Low-Medium</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Impossible Triangle: incumbents can't do all three vertices. Regulatory trend favors PersonalOS.</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Data Rights Agent legal challenges</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Low</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Phased rollout. On-device only. Legal frameworks explicitly support data portability.</w:t>
            </w:r>
          </w:p>
        </w:tc>
      </w:tr>
    </w:tbl>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3"/>
              <w:left w:val="single" w:color="E67E22" w:sz="6"/>
              <w:bottom w:val="single" w:color="BBBBBB" w:sz="3"/>
              <w:right w:val="single" w:color="BBBBBB" w:sz="3"/>
            </w:tcBorders>
            <w:shd w:fill="FDEBD0" w:val="clear"/>
            <w:tcMar>
              <w:top w:type="dxa" w:w="120"/>
              <w:left w:type="dxa" w:w="200"/>
              <w:bottom w:type="dxa" w:w="120"/>
              <w:right w:type="dxa" w:w="200"/>
            </w:tcMar>
          </w:tcPr>
          <w:p>
            <w:pPr>
              <w:spacing w:after="0"/>
            </w:pPr>
            <w:r>
              <w:rPr>
                <w:rFonts w:ascii="Calibri" w:cs="Calibri" w:eastAsia="Calibri" w:hAnsi="Calibri"/>
                <w:b/>
                <w:bCs/>
                <w:color w:val="E67E22"/>
                <w:sz w:val="22"/>
                <w:szCs w:val="22"/>
              </w:rPr>
              <w:t xml:space="preserve">We'd rather you know the risks upfront than discover them later. PersonalOS's competitive advantage is trust — and trust starts with honesty about what we don't have yet.</w:t>
            </w:r>
          </w:p>
        </w:tc>
      </w:tr>
    </w:tbl>
    <w:p>
      <w:pPr>
        <w:pStyle w:val="Heading1"/>
        <w:pageBreakBefore/>
        <w:pBdr>
          <w:bottom w:val="single" w:color="1B4F72" w:sz="6" w:space="8"/>
        </w:pBdr>
        <w:spacing w:after="360" w:before="0" w:line="276"/>
      </w:pPr>
      <w:r>
        <w:rPr>
          <w:rFonts w:ascii="Calibri" w:cs="Calibri" w:eastAsia="Calibri" w:hAnsi="Calibri"/>
          <w:b/>
          <w:bCs/>
          <w:color w:val="1B4F72"/>
          <w:sz w:val="36"/>
          <w:szCs w:val="36"/>
        </w:rPr>
        <w:t xml:space="preserve">PART 6: ARCHITECTURE BEHIND THE CLAIMS</w:t>
      </w:r>
    </w:p>
    <w:p>
      <w:pPr>
        <w:spacing w:after="240" w:before="0" w:line="276"/>
      </w:pPr>
      <w:r>
        <w:rPr>
          <w:rFonts w:ascii="Calibri" w:cs="Calibri" w:eastAsia="Calibri" w:hAnsi="Calibri"/>
          <w:color w:val="000000"/>
          <w:sz w:val="24"/>
          <w:szCs w:val="24"/>
        </w:rPr>
        <w:t xml:space="preserve">Every claim in this paper traces to a specific architectural decision, documented in PersonalOS's Architecture Decision Records (ADRs). There are 62 ADRs covering the complete system. Here are the ones most relevant to brands:</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ADR</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Title</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Brand Relevance</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ADR-07</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On-Device Processing</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Consumer data never leaves their phone</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ADR-14</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Differential Privacy</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Aggregate data includes calibrated noise</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ADR-33</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USDC Settlement</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Every payment on-chain, auditable, instant</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ADR-35</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Immutable Fee Split</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10% ceiling is bytecode, not a promise</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ADR-37</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Re-identification Mitigation</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k≥50 floor — brands never see individual data</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ADR-42</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Brand Lifecycle</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Onboarding → listing → settlement → reporting</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ADR-46</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Brand Portal</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Dashboard + analytics + free demand overview</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ADR-51</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Brand Scoring</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Brands earn trust too (claim rate, fairness, health)</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ADR-53</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Intent Marketplace</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Engagement levels + intent declarations</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ADR-54</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Soul Tiers</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New → Verified → Trusted → Platinum</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ADR-58</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Revenue Model</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Settlement + Soul Pro + Brand tiers</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ADR-59</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Data Rights Agent</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Automated data portability = more sources</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ADR-60</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Brand Intelligence Protection</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On-chain audit, NFT access, ZK matching</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ADR-61</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Delivery Channel Strategy</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Complement model: direct + intelligence</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ADR-62</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Competitive Moat</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Impossible Triangle + three-layer defense</w:t>
            </w:r>
          </w:p>
        </w:tc>
      </w:tr>
    </w:tbl>
    <w:p>
      <w:pPr>
        <w:spacing w:after="120" w:before="0" w:line="276"/>
      </w:pPr>
      <w:r>
        <w:rPr>
          <w:rFonts w:ascii="Calibri" w:cs="Calibri" w:eastAsia="Calibri" w:hAnsi="Calibri"/>
          <w:color w:val="000000"/>
          <w:sz w:val="24"/>
          <w:szCs w:val="24"/>
        </w:rPr>
        <w:t xml:space="preserve"/>
      </w:r>
    </w:p>
    <w:p>
      <w:pPr>
        <w:spacing w:after="240" w:before="0" w:line="276"/>
      </w:pPr>
      <w:r>
        <w:rPr>
          <w:rFonts w:ascii="Calibri" w:cs="Calibri" w:eastAsia="Calibri" w:hAnsi="Calibri"/>
          <w:i/>
          <w:iCs/>
          <w:color w:val="000000"/>
          <w:sz w:val="24"/>
          <w:szCs w:val="24"/>
        </w:rPr>
        <w:t xml:space="preserve">All 62 ADRs are available on request.</w:t>
      </w:r>
      <w:r>
        <w:rPr>
          <w:rFonts w:ascii="Calibri" w:cs="Calibri" w:eastAsia="Calibri" w:hAnsi="Calibri"/>
          <w:color w:val="000000"/>
          <w:sz w:val="24"/>
          <w:szCs w:val="24"/>
        </w:rPr>
        <w:t xml:space="preserve"> They cover the complete architecture: data ingestion, on-device AI, consent management, matching, settlement, privacy, security, cross-platform support, regulatory compliance, and governance.</w:t>
      </w:r>
    </w:p>
    <w:p>
      <w:pPr>
        <w:pStyle w:val="Heading1"/>
        <w:pageBreakBefore/>
        <w:pBdr>
          <w:bottom w:val="single" w:color="1B4F72" w:sz="6" w:space="8"/>
        </w:pBdr>
        <w:spacing w:after="360" w:before="0" w:line="276"/>
      </w:pPr>
      <w:r>
        <w:rPr>
          <w:rFonts w:ascii="Calibri" w:cs="Calibri" w:eastAsia="Calibri" w:hAnsi="Calibri"/>
          <w:b/>
          <w:bCs/>
          <w:color w:val="1B4F72"/>
          <w:sz w:val="36"/>
          <w:szCs w:val="36"/>
        </w:rPr>
        <w:t xml:space="preserve">CONCLUSION</w:t>
      </w:r>
    </w:p>
    <w:p>
      <w:pPr>
        <w:spacing w:after="120" w:before="0" w:line="276"/>
      </w:pPr>
      <w:r>
        <w:rPr>
          <w:rFonts w:ascii="Calibri" w:cs="Calibri" w:eastAsia="Calibri" w:hAnsi="Calibri"/>
          <w:color w:val="000000"/>
          <w:sz w:val="24"/>
          <w:szCs w:val="24"/>
        </w:rPr>
        <w:t xml:space="preserve"/>
      </w:r>
    </w:p>
    <w:p>
      <w:pPr>
        <w:spacing w:after="240" w:before="0" w:line="276"/>
      </w:pPr>
      <w:r>
        <w:rPr>
          <w:rFonts w:ascii="Calibri" w:cs="Calibri" w:eastAsia="Calibri" w:hAnsi="Calibri"/>
          <w:color w:val="000000"/>
          <w:sz w:val="24"/>
          <w:szCs w:val="24"/>
        </w:rPr>
        <w:t xml:space="preserve">The programmatic advertising industry wastes $26.8 billion annually across seven categories: supply chain fees, fraud, non-viewable impressions, wrong audience targeting, carbon costs, data leakage, and measurement gaps.</w:t>
      </w:r>
    </w:p>
    <w:p>
      <w:pPr>
        <w:spacing w:after="120" w:before="0" w:line="276"/>
      </w:pPr>
      <w:r>
        <w:rPr>
          <w:rFonts w:ascii="Calibri" w:cs="Calibri" w:eastAsia="Calibri" w:hAnsi="Calibri"/>
          <w:color w:val="000000"/>
          <w:sz w:val="24"/>
          <w:szCs w:val="24"/>
        </w:rPr>
        <w:t xml:space="preserve"/>
      </w:r>
    </w:p>
    <w:p>
      <w:pPr>
        <w:spacing w:after="240" w:before="0" w:line="276"/>
      </w:pPr>
      <w:r>
        <w:rPr>
          <w:rFonts w:ascii="Calibri" w:cs="Calibri" w:eastAsia="Calibri" w:hAnsi="Calibri"/>
          <w:color w:val="000000"/>
          <w:sz w:val="24"/>
          <w:szCs w:val="24"/>
        </w:rPr>
        <w:t xml:space="preserve">PersonalOS eliminates these structurally — not by being a better ad network, but by being a fundamentally different kind of platform: one where the consumer is the agent, not the product.</w:t>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What You Get</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Efficiency</w:t>
            </w:r>
          </w:p>
        </w:tc>
        <w:tc>
          <w:tcPr>
            <w:tcW w:type="dxa" w:w="3120"/>
            <w:tcBorders>
              <w:top w:val="single" w:color="BBBBBB" w:sz="3"/>
              <w:left w:val="single" w:color="BBBBBB" w:sz="3"/>
              <w:bottom w:val="single" w:color="BBBBBB" w:sz="3"/>
              <w:right w:val="single" w:color="BBBBBB" w:sz="3"/>
            </w:tcBorders>
            <w:shd w:fill="1B4F72" w:val="clear"/>
            <w:tcMar>
              <w:top w:type="dxa" w:w="100"/>
              <w:left w:type="dxa" w:w="150"/>
              <w:bottom w:type="dxa" w:w="100"/>
              <w:right w:type="dxa" w:w="150"/>
            </w:tcMar>
          </w:tcPr>
          <w:p>
            <w:pPr>
              <w:spacing w:after="0"/>
            </w:pPr>
            <w:r>
              <w:rPr>
                <w:rFonts w:ascii="Calibri" w:cs="Calibri" w:eastAsia="Calibri" w:hAnsi="Calibri"/>
                <w:b/>
                <w:bCs/>
                <w:color w:val="FFFFFF"/>
                <w:sz w:val="20"/>
                <w:szCs w:val="20"/>
              </w:rPr>
              <w:t xml:space="preserve">Evidence</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Direct channel (Soul App)</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41x vs. programmatic</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Smart contract on Base blockchain</w:t>
            </w:r>
          </w:p>
        </w:tc>
      </w:tr>
      <w:tr>
        <w:trPr>
          <w:tblHeader w:val="false"/>
        </w:trPr>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Existing channel optimization</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3-5x improvement</w:t>
            </w:r>
          </w:p>
        </w:tc>
        <w:tc>
          <w:tcPr>
            <w:tcW w:type="dxa" w:w="3120"/>
            <w:tcBorders>
              <w:top w:val="single" w:color="BBBBBB" w:sz="3"/>
              <w:left w:val="single" w:color="BBBBBB" w:sz="3"/>
              <w:bottom w:val="single" w:color="BBBBBB" w:sz="3"/>
              <w:right w:val="single" w:color="BBBBBB" w:sz="3"/>
            </w:tcBorders>
            <w:shd w:fill="FFFFFF"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Aggregate conversion data from verified intent</w:t>
            </w:r>
          </w:p>
        </w:tc>
      </w:tr>
      <w:tr>
        <w:trPr>
          <w:tblHeader w:val="false"/>
        </w:trPr>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Portfolio effect (blended)</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8-15x overall</w:t>
            </w:r>
          </w:p>
        </w:tc>
        <w:tc>
          <w:tcPr>
            <w:tcW w:type="dxa" w:w="3120"/>
            <w:tcBorders>
              <w:top w:val="single" w:color="BBBBBB" w:sz="3"/>
              <w:left w:val="single" w:color="BBBBBB" w:sz="3"/>
              <w:bottom w:val="single" w:color="BBBBBB" w:sz="3"/>
              <w:right w:val="single" w:color="BBBBBB" w:sz="3"/>
            </w:tcBorders>
            <w:shd w:fill="F2F3F4" w:val="clear"/>
            <w:tcMar>
              <w:top w:type="dxa" w:w="100"/>
              <w:left w:type="dxa" w:w="150"/>
              <w:bottom w:type="dxa" w:w="100"/>
              <w:right w:type="dxa" w:w="150"/>
            </w:tcMar>
          </w:tcPr>
          <w:p>
            <w:pPr>
              <w:spacing w:after="0"/>
            </w:pPr>
            <w:r>
              <w:rPr>
                <w:rFonts w:ascii="Calibri" w:cs="Calibri" w:eastAsia="Calibri" w:hAnsi="Calibri"/>
                <w:b w:val="false"/>
                <w:bCs w:val="false"/>
                <w:color w:val="000000"/>
                <w:sz w:val="20"/>
                <w:szCs w:val="20"/>
              </w:rPr>
              <w:t xml:space="preserve">Both channels combined</w:t>
            </w:r>
          </w:p>
        </w:tc>
      </w:tr>
    </w:tbl>
    <w:p>
      <w:pPr>
        <w:spacing w:after="120" w:before="0" w:line="276"/>
      </w:pPr>
      <w:r>
        <w:rPr>
          <w:rFonts w:ascii="Calibri" w:cs="Calibri" w:eastAsia="Calibri" w:hAnsi="Calibri"/>
          <w:color w:val="000000"/>
          <w:sz w:val="24"/>
          <w:szCs w:val="24"/>
        </w:rPr>
        <w:t xml:space="preserve"/>
      </w:r>
    </w:p>
    <w:p>
      <w:pPr>
        <w:spacing w:after="120" w:before="0" w:line="276"/>
      </w:pPr>
      <w:r>
        <w:rPr>
          <w:rFonts w:ascii="Calibri" w:cs="Calibri" w:eastAsia="Calibri" w:hAnsi="Calibri"/>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3"/>
              <w:left w:val="single" w:color="1B4F72" w:sz="6"/>
              <w:bottom w:val="single" w:color="BBBBBB" w:sz="3"/>
              <w:right w:val="single" w:color="BBBBBB" w:sz="3"/>
            </w:tcBorders>
            <w:shd w:fill="D6EAF8" w:val="clear"/>
            <w:tcMar>
              <w:top w:type="dxa" w:w="120"/>
              <w:left w:type="dxa" w:w="200"/>
              <w:bottom w:type="dxa" w:w="120"/>
              <w:right w:type="dxa" w:w="200"/>
            </w:tcMar>
          </w:tcPr>
          <w:p>
            <w:pPr>
              <w:spacing w:after="0"/>
            </w:pPr>
            <w:r>
              <w:rPr>
                <w:rFonts w:ascii="Calibri" w:cs="Calibri" w:eastAsia="Calibri" w:hAnsi="Calibri"/>
                <w:b/>
                <w:bCs/>
                <w:color w:val="1B4F72"/>
                <w:sz w:val="22"/>
                <w:szCs w:val="22"/>
              </w:rPr>
              <w:t xml:space="preserve">PersonalOS doesn't ask you to believe a pitch deck. It asks you to verify a smart contract. The 10% fee is bytecode. The settlements are on-chain. The matching is consent-gated. The data stays on the consumer's device. Every claim in this paper traces to code you can audit.</w:t>
            </w:r>
          </w:p>
        </w:tc>
      </w:tr>
    </w:tbl>
    <w:p>
      <w:pPr>
        <w:spacing w:after="120" w:before="0" w:line="276"/>
      </w:pPr>
      <w:r>
        <w:rPr>
          <w:rFonts w:ascii="Calibri" w:cs="Calibri" w:eastAsia="Calibri" w:hAnsi="Calibri"/>
          <w:color w:val="000000"/>
          <w:sz w:val="24"/>
          <w:szCs w:val="24"/>
        </w:rPr>
        <w:t xml:space="preserve"/>
      </w:r>
    </w:p>
    <w:p>
      <w:pPr>
        <w:spacing w:after="120" w:before="0" w:line="276"/>
      </w:pPr>
      <w:r>
        <w:rPr>
          <w:rFonts w:ascii="Calibri" w:cs="Calibri" w:eastAsia="Calibri" w:hAnsi="Calibri"/>
          <w:color w:val="000000"/>
          <w:sz w:val="24"/>
          <w:szCs w:val="24"/>
        </w:rPr>
        <w:t xml:space="preserve"/>
      </w:r>
    </w:p>
    <w:p>
      <w:pPr>
        <w:spacing w:after="400" w:before="0" w:line="276"/>
        <w:jc w:val="center"/>
      </w:pPr>
      <w:r>
        <w:rPr>
          <w:rFonts w:ascii="Calibri" w:cs="Calibri" w:eastAsia="Calibri" w:hAnsi="Calibri"/>
          <w:b/>
          <w:bCs/>
          <w:color w:val="1B4F72"/>
          <w:sz w:val="30"/>
          <w:szCs w:val="30"/>
        </w:rPr>
        <w:t xml:space="preserve">Start for free. See demand. Test with $199/month. Scale on proof.</w:t>
      </w:r>
    </w:p>
    <w:p>
      <w:pPr>
        <w:spacing w:after="120" w:before="0" w:line="276"/>
      </w:pPr>
      <w:r>
        <w:rPr>
          <w:rFonts w:ascii="Calibri" w:cs="Calibri" w:eastAsia="Calibri" w:hAnsi="Calibri"/>
          <w:color w:val="000000"/>
          <w:sz w:val="24"/>
          <w:szCs w:val="24"/>
        </w:rPr>
        <w:t xml:space="preserve"/>
      </w:r>
    </w:p>
    <w:p>
      <w:pPr>
        <w:spacing w:after="240" w:before="0" w:line="276"/>
        <w:jc w:val="center"/>
      </w:pPr>
      <w:r>
        <w:rPr>
          <w:rFonts w:ascii="Calibri" w:cs="Calibri" w:eastAsia="Calibri" w:hAnsi="Calibri"/>
          <w:color w:val="000000"/>
          <w:sz w:val="24"/>
          <w:szCs w:val="24"/>
        </w:rPr>
        <w:t xml:space="preserve">PersonalOS Inc. — July 2026</w:t>
      </w:r>
    </w:p>
    <w:p>
      <w:pPr>
        <w:spacing w:after="240" w:before="0" w:line="276"/>
        <w:jc w:val="center"/>
      </w:pPr>
      <w:r>
        <w:rPr>
          <w:rFonts w:ascii="Calibri" w:cs="Calibri" w:eastAsia="Calibri" w:hAnsi="Calibri"/>
          <w:color w:val="1B4F72"/>
          <w:sz w:val="24"/>
          <w:szCs w:val="24"/>
        </w:rPr>
        <w:t xml:space="preserve">hello@personalos.io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t xml:space="preserve">PersonalOS Inc.  |  July 2026  |  Page </w:t>
    </w:r>
    <w:r>
      <w:rPr>
        <w:rFonts w:ascii="Calibri" w:cs="Calibri" w:eastAsia="Calibri" w:hAnsi="Calibri"/>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8"/>
        <w:szCs w:val="18"/>
      </w:rPr>
      <w:t xml:space="preserve">PersonalOS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276"/>
    </w:pPr>
    <w:rPr>
      <w:rFonts w:ascii="Calibri" w:cs="Calibri" w:eastAsia="Calibri" w:hAnsi="Calibri"/>
      <w:b/>
      <w:bCs/>
      <w:color w:val="1B4F72"/>
      <w:sz w:val="36"/>
      <w:szCs w:val="36"/>
    </w:rPr>
  </w:style>
  <w:style w:type="paragraph" w:styleId="Heading2">
    <w:name w:val="Heading 2"/>
    <w:basedOn w:val="Normal"/>
    <w:next w:val="Normal"/>
    <w:qFormat/>
    <w:pPr>
      <w:spacing w:after="240" w:before="360" w:line="276"/>
    </w:pPr>
    <w:rPr>
      <w:rFonts w:ascii="Calibri" w:cs="Calibri" w:eastAsia="Calibri" w:hAnsi="Calibri"/>
      <w:b/>
      <w:bCs/>
      <w:color w:val="2C3E50"/>
      <w:sz w:val="30"/>
      <w:szCs w:val="30"/>
    </w:rPr>
  </w:style>
  <w:style w:type="paragraph" w:styleId="Heading3">
    <w:name w:val="Heading 3"/>
    <w:basedOn w:val="Normal"/>
    <w:next w:val="Normal"/>
    <w:qFormat/>
    <w:pPr>
      <w:spacing w:after="200" w:before="280" w:line="276"/>
    </w:pPr>
    <w:rPr>
      <w:rFonts w:ascii="Calibri" w:cs="Calibri" w:eastAsia="Calibri" w:hAnsi="Calibri"/>
      <w:b/>
      <w:bCs/>
      <w:color w:val="2C3E5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240" w:line="276"/>
    </w:pPr>
    <w:rPr>
      <w:rFonts w:ascii="Calibri" w:cs="Calibri" w:eastAsia="Calibri" w:hAnsi="Calibri"/>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PersonalOS — Where Your Ad Money Actually Goes</dc:title>
  <dc:creator>PersonalOS</dc:creator>
  <dc:description>Three-proof-point analysis of programmatic ad waste and the structural solution</dc:description>
  <cp:lastModifiedBy>Un-named</cp:lastModifiedBy>
  <cp:revision>1</cp:revision>
  <dcterms:created xsi:type="dcterms:W3CDTF">2026-07-08T06:46:01.412Z</dcterms:created>
  <dcterms:modified xsi:type="dcterms:W3CDTF">2026-07-08T06:46:01.416Z</dcterms:modified>
</cp:coreProperties>
</file>

<file path=docProps/custom.xml><?xml version="1.0" encoding="utf-8"?>
<Properties xmlns="http://schemas.openxmlformats.org/officeDocument/2006/custom-properties" xmlns:vt="http://schemas.openxmlformats.org/officeDocument/2006/docPropsVTypes"/>
</file>