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rPr>
          <w:rFonts w:ascii="Calibri" w:cs="Calibri" w:eastAsia="Calibri" w:hAnsi="Calibri"/>
          <w:b/>
          <w:bCs/>
          <w:color w:val="0D4F3C"/>
          <w:sz w:val="48"/>
          <w:szCs w:val="48"/>
        </w:rPr>
        <w:t xml:space="preserve">PersonalOS — Strategic Plan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Go-to-Capital &amp; Go-to-Credibility Plan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Version 2.0 — July 2026 — Updated with Intent Marketplace Architecture</w:t>
      </w:r>
    </w:p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1. Narrative Positioning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PersonalOS is an intent marketplace infrastructure company. We replace the $500B+ ad waste supply chain with direct brand-to-consumer settlement, powered by user-declared and AI-verified purchase intent.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1.1 The One-Liner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"PersonalOS lets consumers declare what they want to buy, verifies it through cross-source behavioral signals on their device, and connects them to brands who pay premium for verified demand — all settled atomically on-chain with 90% going to the consumer."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1.2 The Problem-Solution Narrative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Digital advertising wastes $500B+ annually because brands pay for inferred interest through 5-15 intermediaries. Less than 44% of programmatic spend reaches consumers. Conversion rates are 3-8% because audiences are probabilistic, stale, and unverified.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Solution: </w:t>
      </w:r>
      <w:r>
        <w:rPr>
          <w:rFonts w:ascii="Calibri" w:cs="Calibri" w:eastAsia="Calibri" w:hAnsi="Calibri"/>
          <w:sz w:val="22"/>
          <w:szCs w:val="22"/>
        </w:rPr>
        <w:t xml:space="preserve">PersonalOS inverts the model: consumers proactively declare future purchase intent ("I'm buying a car in 60 days"), verified through cross-source behavioral signals (Plaid transactions, location visits, Amazon purchases) — all processed on-device, never leaving the phone. Brands bid against this declared, verified demand. Conversion rates reach 40-60%. Settlement is on-chain: 90% to consumer, 10% platform fee, zero intermediaries.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Moat: </w:t>
      </w:r>
      <w:r>
        <w:rPr>
          <w:rFonts w:ascii="Calibri" w:cs="Calibri" w:eastAsia="Calibri" w:hAnsi="Calibri"/>
          <w:sz w:val="22"/>
          <w:szCs w:val="22"/>
        </w:rPr>
        <w:t xml:space="preserve">No single platform (Meta, Google, Apple, Amazon) can assemble cross-source behavioral verification because each owns only one data silo. PersonalOS can, because the user brings their own data. Privacy-by-architecture (not policy) makes this structurally impossible to replicate without becoming a neutral data platform.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1.3 Trust Messaging Trinity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All external communication anchors to three questions that determine consumer adoption: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"Is it safe?" → Your data stays on your phone. Raw data never leaves your device.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"What's in it for me?" → You get to know what you're up to in the digital world. Know Yourself insight cards reveal your spending, health, and lifestyle patterns.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"How do I earn?" → Brands pay you based on your needs and demands. The more genuine your intent, the higher the premium.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2. Public Voice &amp; Credibility Plan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2.1 Thought Leadership Pillars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 Waste Exposé: Leverage ANA/WFA data to position PersonalOS as the structural solution to the $500B waste problem. Publish the Ad Waste Paper (v2.0, updated with intent declaration architecture).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Privacy-by-Architecture: Counter "trust us" privacy promises with "verify it" architectural guarantees — on-device processing, on-chain settlement, immutable fee splits, passkey-based deletion.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Intent vs. Inference: Establish the intellectual framework for why declared intent beats inferred interest. Position as thought leader on the post-cookie, post-ATT advertising landscape.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Consumer Data Sovereignty: Align with regulatory momentum (GDPR/CCPA/DPDP). PersonalOS is not a privacy tool — it is a data ownership platform.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2.2 Content Strategy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LinkedIn articles (2/month): Co-authored by founders. Topics: ad waste economics, intent marketplace thesis, privacy architecture deep-dives.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Twitter/X threads (1/week): Short-form distillation of insights. Data-heavy, chart-heavy, meme-free.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TikTok explainers (2/month): 60-second visual breakdowns. "Did you know brands waste 56 cents of every ad dollar?" format.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Podcast appearances: Target marketing/adtech podcasts (Marketecture, AdExchanger, The Trade Desk Decoded). Pitch: "The founder building the anti-Taboola."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Conference speaking: AdExchanger Programmatic I/O, IAB Annual Leadership Meeting, Token2049 (crypto-meets-commerce angle).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2.3 UGC &amp; Community Strategy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Power users create authentic content seeded by founder-created templates: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"My Know Yourself card said I spent $1,200 on coffee last year" — shareable insight cards from the Soul App.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Earnings screenshots: "Made $47 this week from 6 intent declarations" — normalized earning proof.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Before/after: "I used to get 40 irrelevant ads a day. Now I get 3 offers I actually want."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Founders create the first 50 pieces of content, then seed templates for power users to customize and share.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3. Board of Directors &amp; Advisor Targets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3.1 Board Composition Target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Five-seat board by seed round close: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Seat 1: Co-founder (Sharad) — CEO/Product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Seat 2: Co-founder (Sudhir) — CTO/Engineering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Seat 3: Independent — Adtech/Martech veteran with P&amp;L experience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Seat 4: Independent — Privacy/policy leader with regulatory network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Seat 5: Investor seat — Lead seed investor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3.2 Advisor Targets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Approach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Brian Acton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 WhatsApp on privacy-first principles. Signal Foundation shows commitment to structural privacy. Would validate PersonalOS's architecture thesis.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Warm intro through crypto/privacy network. Pitch: "WhatsApp proved privacy at scale. PersonalOS proves privacy-as-revenue."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John Bruce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CEO of Inrupt (Tim Berners-Lee's Solid Project). Building decentralized data pods. Ideologically aligned. Would validate the data sovereignty narrative.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 outreach via Solid community. Shared thesis on user data ownership.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Bob Hoffman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"Ad Contrarian" — most credible voice criticizing ad industry waste. His endorsement would instantly validate the ad waste thesis.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 Ad Waste Paper. Pitch: "You've documented the disease for 15 years. Here's the cure."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Brittany Kaiser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Former Cambridge Analytica, now data rights advocate. OwnYourData campaign. Would validate the "data as personal asset" narrative.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Warm intro through data rights community. Natural alignment.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3.3 Mentor Network Targets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Naval Ravikant: Angel investing, platform economics. PersonalOS thesis aligns with his views on individual sovereignty.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Balaji Srinivasan: Network state thesis. PersonalOS as infrastructure for individual economic sovereignty.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Chris Dixon (a16z crypto): On-chain settlement, tokenized economics. Natural fit for the USDC/Base architecture.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4. Go-to-Market: Path to 100K Souls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4.1 Audience Segmentation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Three-phase audience strategy: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First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Activation Channel</w:t>
            </w:r>
          </w:p>
        </w:tc>
      </w:tr>
      <w:tr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Phase 1 (Q1-Q2 2027)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Crypto-native early adopters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5K-10K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Already have wallets, understand USDC, tolerate beta UX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 Twitter, Discord, Token2049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Phase 2 (Q3-Q4 2027)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Privacy-conscious mainstream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20K-50K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Post-cookie anxiety, GDPR awareness, willing to try alternatives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TikTok explainers, Reddit privacy subs, referral chains</w:t>
            </w:r>
          </w:p>
        </w:tc>
      </w:tr>
      <w:tr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Phase 3 (2028)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Mass market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50K-100K+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Word-of-mouth from Phases 1-2, polished UX, proven earnings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 Store organic, mainstream podcast ads, UGC virality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4.2 Channel Mix &amp; Estimated Costs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Budget (Monthly)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CAC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 Volume</w:t>
            </w:r>
          </w:p>
        </w:tc>
        <w:tc>
          <w:tcPr>
            <w:tcW w:type="dxa" w:w="18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 Twitter/Discord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$2K-5K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$5-15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500-1K/month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Organic + sponsored threads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TikTok (organic + paid)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$3K-8K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$8-20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500-2K/month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60-second explainers, UGC seeds</w:t>
            </w:r>
          </w:p>
        </w:tc>
      </w:tr>
      <w:tr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Reddit (r/privacy, r/personalfinance)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$1K-3K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$10-25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200-500/month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Long-form authentic posts, AMAs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Referral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$2K-5K (rewards)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$3-8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1K-3K/month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Dual-sided 30-day earnings boost</w:t>
            </w:r>
          </w:p>
        </w:tc>
      </w:tr>
      <w:tr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DTC brand partnerships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 (rev-share)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500-2K/month</w:t>
            </w:r>
          </w:p>
        </w:tc>
        <w:tc>
          <w:tcPr>
            <w:tcW w:type="dxa" w:w="18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Brands promote to their own customers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 Hunt / Hacker News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Burst: 1-5K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 events, open-source components</w:t>
            </w:r>
          </w:p>
        </w:tc>
      </w:tr>
    </w:tbl>
    <w:p>
      <w:pPr>
        <w:spacing w:after="100"/>
      </w:pP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estimated monthly: </w:t>
      </w:r>
      <w:r>
        <w:rPr>
          <w:rFonts w:ascii="Calibri" w:cs="Calibri" w:eastAsia="Calibri" w:hAnsi="Calibri"/>
          <w:sz w:val="22"/>
          <w:szCs w:val="22"/>
        </w:rPr>
        <w:t xml:space="preserve">$8K-21K for Phases 1-2. Target CAC blended: $8-15.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4.3 Referral Mechanics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Dual-sided referral with 30-day earnings boost: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Referrer: 10% bonus on earnings for 30 days after successful referral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Referee: 15% earnings boost for first 30 days on platform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Both: Visible countdown timer in Soul App ("23 days left on your referral boost")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Referral link + shareable Know Yourself card: "My phone told me I spend $340/month on food delivery. What does yours say?"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4.4 DTC Brand Targeting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DTC brands are PersonalOS's ideal early supply-side partners: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They need efficient customer acquisition without platform dependency (Meta/Google ROAS declining).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They understand unit economics and will pay for verified intent signals.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They have existing customer lists they can invite to PersonalOS ("Connect your data, earn rewards from us and other brands").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Categories: Meal kits, fitness equipment, sustainable fashion, supplements, pet food, home goods.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Target: 10-20 DTC brands in Phase 1, each bringing 200-500 existing customers as initial souls.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4.5 Mainnet Gate: Know Yourself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Marketplace access requires completing the Know Yourself experience (ADR-53):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Connect 3+ data sources (minimum: location permission as the universal bar)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Generate 5 insight cards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Receive first weekly AI digest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This ensures every soul in the marketplace has enough connected data for meaningful matching and intent verification. It also creates an intrinsic value moment — users understand their data before they monetize it.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5. Brand Acquisition Strategy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5.1 Zero-Risk Pilot Program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Brands enter PersonalOS through a zero-risk A/B pilot: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1: Brand allocates $1K test budget (minimum viable escrow).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2: Run A/B — same creative, same audience definition. Side A: existing channel (Meta/Google). Side B: PersonalOS.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3: Compare CPA, conversion rate, ROAS after 30 days.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4: Brand sees intent-declared results alongside passive results: "Passive: 12 claims, 8% | Intent: 34 claims, 52%"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The A/B format lets brands validate PersonalOS against their existing benchmarks with real money, real audiences, and real conversions.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5.2 Brand Onboarding Flow (ADR-42)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Application: Brand applies with business details, target categories, initial budget.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Operator Review: PersonalOS operator approves/rejects (quality gate).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Wallet Connection: Coinbase Smart Wallet via OnchainKit.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Reputation Bond: $1-5K refundable USDC deposit (scales with bid level).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First Listing: Category selection, bid per claim, USDC escrow deposit.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Intent Premium Toggle: Opt in to intent-declared matching (most brands do after seeing A/B results).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5.3 Aggregate Demand Dashboard (Free)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Before committing budget, brands can view the aggregate demand dashboard at no cost: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Example view: "Automotive — Northeast — July 2026: Ready: 47 verified souls (52% avg conversion) | Exploring: 203 verified souls (28% avg conversion) | Open: 1,400 souls (8% avg conversion) | Total addressable: 1,650 souls."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This transparency — showing verified demand before asking for money — is PersonalOS's trust signal to brands. No incumbent provides this level of pre-commitment visibility.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6. Roadmap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6.1 Completed (as of July 2026)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55 Architecture Decision Records (ADR-01 through ADR-55) covering every system component.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Smart contracts deployed and source-verified on Base Sepolia (BudgetEscrow.sol, MockUSDC.sol).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L0.3 synthetic demo: Soul App, Brand Portal, Operator Console with end-to-end claim settlement flow.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Brand scoring system implemented with contextual multipliers and badge assignment.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Matching engine with semantic category mapping and composite formula.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Intent marketplace design (ADR-53/54/55) — four-level engagement, soul tiers, integrity scoring.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6.2 90-Day Sprint (July-October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1-4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 UI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Four-level engagement slider in Soul App, intent declaration flow, AI prediction cards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5-8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Brand Portal v2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Aggregate demand dashboard, intent premium toggle, split performance view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9-10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Soul Tier Engine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Composite score calculation, tier assignment, progress indicators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10-12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Integrity Scoring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On-device alignment computation, escalation pipeline, operator review queue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12-13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 Testing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End-to-end intent-declared matching with on-chain settlement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6.3 12-Month Roadmap (July 2026 - July 2027)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Quarter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Milestones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Q3 2026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 architecture build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 UI, brand demand dashboard, tier engine, integrity scoring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Q4 2026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data integration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Plaid live connection, Apple Health connector, location permission flow, Base mainnet deployment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Q1 2027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Closed beta (Phase 1)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500-1K crypto-native souls, 10-20 DTC brands, first real USDC settlements, Know Yourself launch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Q2 2027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 &amp; optimize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5K-10K souls, 50+ brands, IACR tracking, tier system live, referral program launch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Q3 2027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beta (Phase 2)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20K-50K souls, mainstream marketing push, TikTok/Reddit campaigns, iOS native app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Q4 2027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Growth &amp; fundraising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50K-100K souls, Series A preparation, international expansion planning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7. Team &amp; Resource Plan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7.1 Current Team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Sharad (Co-founder/CEO): Product, strategy, GTM. Part-time (employed full-time elsewhere).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Sudhir (Co-founder/CTO): Architecture, engineering. Part-time (employed full-time elsewhere).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Both founders maintain full-time employment. PersonalOS development happens evenings and weekends until traction and funding justify transition.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7.2 First Hire: India-Based Full-Stack Engineer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Budget: </w:t>
      </w:r>
      <w:r>
        <w:rPr>
          <w:rFonts w:ascii="Calibri" w:cs="Calibri" w:eastAsia="Calibri" w:hAnsi="Calibri"/>
          <w:sz w:val="22"/>
          <w:szCs w:val="22"/>
        </w:rPr>
        <w:t xml:space="preserve">Rs. 20 lakh/year (~$24K USD).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Prerequisite: </w:t>
      </w:r>
      <w:r>
        <w:rPr>
          <w:rFonts w:ascii="Calibri" w:cs="Calibri" w:eastAsia="Calibri" w:hAnsi="Calibri"/>
          <w:sz w:val="22"/>
          <w:szCs w:val="22"/>
        </w:rPr>
        <w:t xml:space="preserve">Thorough plan + good traction from few thousand power users + strong board of directors and venture/seed funding mentors.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Profile: </w:t>
      </w:r>
      <w:r>
        <w:rPr>
          <w:rFonts w:ascii="Calibri" w:cs="Calibri" w:eastAsia="Calibri" w:hAnsi="Calibri"/>
          <w:sz w:val="22"/>
          <w:szCs w:val="22"/>
        </w:rPr>
        <w:t xml:space="preserve">Mid-level full-stack engineer (3-5 years experience). React/Next.js + Node.js + basic Solidity. Not expected to architect — expected to execute against ADR specs.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The hire is triggered by traction (2K+ active souls, 10+ paying brands, IACR above 30%) and mentorship (at least 2 committed advisors from the target list).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7.3 Resource Strategy: Sequenced Cylinders</w:t>
      </w: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Three workstreams operating at different speeds: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Cylinder</w:t>
            </w:r>
          </w:p>
        </w:tc>
        <w:tc>
          <w:tcPr>
            <w:tcW w:type="dxa" w:w="225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225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Speed</w:t>
            </w:r>
          </w:p>
        </w:tc>
        <w:tc>
          <w:tcPr>
            <w:tcW w:type="dxa" w:w="225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 &amp; Architecture</w:t>
            </w:r>
          </w:p>
        </w:tc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Sharad + Sudhir</w:t>
            </w:r>
          </w:p>
        </w:tc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Steady (10-15 hrs/week each)</w:t>
            </w:r>
          </w:p>
        </w:tc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ADR authoring, system design, demo building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GTM &amp; Community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Sharad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Accelerating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 creation, brand outreach, community building</w:t>
            </w:r>
          </w:p>
        </w:tc>
      </w:tr>
      <w:tr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Engineering Execution</w:t>
            </w:r>
          </w:p>
        </w:tc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Future hire + contractors</w:t>
            </w:r>
          </w:p>
        </w:tc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Burst (post-traction)</w:t>
            </w:r>
          </w:p>
        </w:tc>
        <w:tc>
          <w:tcPr>
            <w:tcW w:type="dxa" w:w="225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Implementing ADR specs, testing, deployment</w:t>
            </w:r>
          </w:p>
        </w:tc>
      </w:tr>
    </w:tbl>
    <w:p>
      <w:pPr>
        <w:spacing w:after="100"/>
      </w:pPr>
    </w:p>
    <w:p>
      <w:pPr>
        <w:spacing w:after="150"/>
      </w:pPr>
      <w:r>
        <w:rPr>
          <w:rFonts w:ascii="Calibri" w:cs="Calibri" w:eastAsia="Calibri" w:hAnsi="Calibri"/>
          <w:sz w:val="22"/>
          <w:szCs w:val="22"/>
        </w:rPr>
        <w:t xml:space="preserve">The product cylinder moves fastest because ADRs define the system before code is written. The GTM cylinder accelerates independently — content and relationships don't require engineering. The engineering cylinder scales only when traction justifies investment.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8. Fundraising Strategy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8.1 Pre-Seed (Current Phase)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Target: </w:t>
      </w:r>
      <w:r>
        <w:rPr>
          <w:rFonts w:ascii="Calibri" w:cs="Calibri" w:eastAsia="Calibri" w:hAnsi="Calibri"/>
          <w:sz w:val="22"/>
          <w:szCs w:val="22"/>
        </w:rPr>
        <w:t xml:space="preserve">$150K-300K from angels and micro-VCs.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 of funds: </w:t>
      </w:r>
      <w:r>
        <w:rPr>
          <w:rFonts w:ascii="Calibri" w:cs="Calibri" w:eastAsia="Calibri" w:hAnsi="Calibri"/>
          <w:sz w:val="22"/>
          <w:szCs w:val="22"/>
        </w:rPr>
        <w:t xml:space="preserve">India-based engineer (12 months), cloud infrastructure, Plaid API costs, Base mainnet gas fees.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Trigger: </w:t>
      </w:r>
      <w:r>
        <w:rPr>
          <w:rFonts w:ascii="Calibri" w:cs="Calibri" w:eastAsia="Calibri" w:hAnsi="Calibri"/>
          <w:sz w:val="22"/>
          <w:szCs w:val="22"/>
        </w:rPr>
        <w:t xml:space="preserve">2K+ active souls, 10+ paying brands, IACR above 30%.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8.2 Seed (Q3-Q4 2027)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Target: </w:t>
      </w:r>
      <w:r>
        <w:rPr>
          <w:rFonts w:ascii="Calibri" w:cs="Calibri" w:eastAsia="Calibri" w:hAnsi="Calibri"/>
          <w:sz w:val="22"/>
          <w:szCs w:val="22"/>
        </w:rPr>
        <w:t xml:space="preserve">$1.5M-3M.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 of funds: </w:t>
      </w:r>
      <w:r>
        <w:rPr>
          <w:rFonts w:ascii="Calibri" w:cs="Calibri" w:eastAsia="Calibri" w:hAnsi="Calibri"/>
          <w:sz w:val="22"/>
          <w:szCs w:val="22"/>
        </w:rPr>
        <w:t xml:space="preserve">Team expansion (5-8 engineers), iOS native app, international expansion, marketing budget scale-up.</w:t>
      </w:r>
    </w:p>
    <w:p>
      <w:pPr>
        <w:spacing w:after="15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Trigger: </w:t>
      </w:r>
      <w:r>
        <w:rPr>
          <w:rFonts w:ascii="Calibri" w:cs="Calibri" w:eastAsia="Calibri" w:hAnsi="Calibri"/>
          <w:sz w:val="22"/>
          <w:szCs w:val="22"/>
        </w:rPr>
        <w:t xml:space="preserve">20K+ active souls, 50+ paying brands, IACR above 40%, clear unit economics.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A7A5E"/>
          <w:sz w:val="26"/>
          <w:szCs w:val="26"/>
        </w:rPr>
        <w:t xml:space="preserve">8.3 Target Investors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Targets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Thesis Alignment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Crypto/Web3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a16z crypto, Paradigm, Coinbase Ventures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On-chain settlement, USDC, Base chain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Privacy/Data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Mozilla Ventures, Omidyar Network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sovereignty, privacy-by-architecture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Adtech/Martech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Operative, LiveRamp, ID5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 waste elimination, post-cookie infrastructure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Consumer/DTC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Forerunner, Lerer Hippeau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Consumer empowerment, DTC brand economics</w:t>
            </w:r>
          </w:p>
        </w:tc>
      </w:tr>
    </w:tbl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D4F3C"/>
          <w:sz w:val="32"/>
          <w:szCs w:val="32"/>
        </w:rPr>
        <w:t xml:space="preserve">9. Risk Assessment &amp; Mitigation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000"/>
            <w:shd w:fill="0D4F3C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Founder bandwidth (both part-time)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Sequenced cylinders — GTM and product advance independently of engineering. First hire triggered by traction, not aspiration.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quality (gaming/fake intent)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 integrity scoring (ADR-55) with 5-component verification. Cross-source alignment on-device. Dynamic slot cap. Automated escalation.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Brand supply (not enough brands)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Zero-risk A/B pilot program. Free demand dashboard. DTC brands bring their own customers. Start with 10-20 brands, grow organically.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Technical complexity (on-device processing)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CoreML/on-device LLMs are mature. Start with basic alignment scoring, add sophistication over time. Cloud fallback for initial beta.</w:t>
            </w:r>
          </w:p>
        </w:tc>
      </w:tr>
      <w:tr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Regulatory risk (data handling)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</w:t>
            </w:r>
          </w:p>
        </w:tc>
        <w:tc>
          <w:tcPr>
            <w:tcW w:type="dxa" w:w="3000"/>
            <w:shd w:fill="F0F8F4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Privacy-by-architecture eliminates most regulatory risk. Raw data never leaves device. On-chain settlement is transparent. Align with GDPR/CCPA/DPDP from day one.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Competitive response (Meta/Google)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Structural impossibility: incumbents cannot become neutral cross-source platforms without abandoning their ad business model. PersonalOS's cross-source moat widens with every privacy regulation.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Calibri" w:cs="Calibri" w:eastAsia="Calibri" w:hAnsi="Calibri"/>
          <w:b/>
          <w:bCs/>
          <w:i/>
          <w:iCs/>
          <w:color w:val="0D4F3C"/>
          <w:sz w:val="28"/>
          <w:szCs w:val="28"/>
        </w:rPr>
        <w:t xml:space="preserve">PersonalOS — From inference to declaration. From waste to value.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2026-07-05T22:38:26.233Z</dcterms:created>
  <dcterms:modified xsi:type="dcterms:W3CDTF">2026-07-05T22:38:26.233Z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