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Calibri" w:cs="Calibri" w:eastAsia="Calibri" w:hAnsi="Calibri"/>
          <w:b/>
          <w:bCs/>
          <w:color w:val="1B3A5C"/>
          <w:sz w:val="48"/>
          <w:szCs w:val="48"/>
        </w:rPr>
        <w:t xml:space="preserve">PersonalOS — Platform Value Proposition</w:t>
      </w:r>
    </w:p>
    <w:p>
      <w:pPr>
        <w:spacing w:after="400"/>
        <w:jc w:val="center"/>
      </w:pPr>
      <w:r>
        <w:rPr>
          <w:rFonts w:ascii="Calibri" w:cs="Calibri" w:eastAsia="Calibri" w:hAnsi="Calibri"/>
          <w:i/>
          <w:iCs/>
          <w:color w:val="666666"/>
          <w:sz w:val="24"/>
          <w:szCs w:val="24"/>
        </w:rPr>
        <w:t xml:space="preserve">Soul App · Operator Control Tower · Intent Marketplace · Brand Onboarding &amp; Scorecarding</w:t>
      </w:r>
    </w:p>
    <w:p>
      <w:pPr>
        <w:spacing w:after="400"/>
        <w:jc w:val="center"/>
      </w:pPr>
      <w:r>
        <w:rPr>
          <w:rFonts w:ascii="Calibri" w:cs="Calibri" w:eastAsia="Calibri" w:hAnsi="Calibri"/>
          <w:i/>
          <w:iCs/>
          <w:color w:val="666666"/>
          <w:sz w:val="24"/>
          <w:szCs w:val="24"/>
        </w:rPr>
        <w:t xml:space="preserve">Version 2.0 — July 2026 — Reflects ADR-01 through ADR-55</w:t>
      </w:r>
    </w:p>
    <w:p>
      <w:pPr>
        <w:spacing w:after="200"/>
      </w:pPr>
    </w:p>
    <w:p>
      <w:pPr>
        <w:pStyle w:val="Heading1"/>
        <w:spacing w:after="200" w:before="400"/>
      </w:pPr>
      <w:r>
        <w:rPr>
          <w:rFonts w:ascii="Calibri" w:cs="Calibri" w:eastAsia="Calibri" w:hAnsi="Calibri"/>
          <w:b/>
          <w:bCs/>
          <w:color w:val="1B3A5C"/>
          <w:sz w:val="32"/>
          <w:szCs w:val="32"/>
        </w:rPr>
        <w:t xml:space="preserve">1. Executive Summary</w:t>
      </w:r>
    </w:p>
    <w:p>
      <w:pPr>
        <w:spacing w:after="150"/>
      </w:pPr>
      <w:r>
        <w:rPr>
          <w:rFonts w:ascii="Calibri" w:cs="Calibri" w:eastAsia="Calibri" w:hAnsi="Calibri"/>
          <w:sz w:val="22"/>
          <w:szCs w:val="22"/>
        </w:rPr>
        <w:t xml:space="preserve">PersonalOS is a personal data ownership platform that gives individuals — called Souls — control, insight, and economic benefit from their own data. Unlike every incumbent in the $500B+ digital advertising ecosystem, PersonalOS inverts the value chain: data stays on the user's device, brands bid against declared and verified demand rather than inferred interest, and settlement happens atomically on-chain with immutable fee splits.</w:t>
      </w:r>
    </w:p>
    <w:p>
      <w:pPr>
        <w:spacing w:after="150"/>
      </w:pPr>
      <w:r>
        <w:rPr>
          <w:rFonts w:ascii="Calibri" w:cs="Calibri" w:eastAsia="Calibri" w:hAnsi="Calibri"/>
          <w:sz w:val="22"/>
          <w:szCs w:val="22"/>
        </w:rPr>
        <w:t xml:space="preserve">The platform comprises four interconnected surfaces: the Soul App (individual empowerment and earning), the Operator Control Tower (marketplace governance), the Intent Marketplace (supply-demand matching with verified signals), and the Brand Portal (onboarding, listing management, and performance analytics). These are unified by 55 Architecture Decision Records (ADRs) that define every aspect of the system — from on-device processing (ADR-07) to intent integrity scoring (ADR-55).</w:t>
      </w:r>
    </w:p>
    <w:p>
      <w:pPr>
        <w:spacing w:after="150"/>
      </w:pPr>
      <w:r>
        <w:rPr>
          <w:rFonts w:ascii="Calibri" w:cs="Calibri" w:eastAsia="Calibri" w:hAnsi="Calibri"/>
          <w:sz w:val="22"/>
          <w:szCs w:val="22"/>
        </w:rPr>
        <w:t xml:space="preserve">The core thesis: when users proactively declare future purchase intent and that intent is verified through cross-source behavioral signals — all processed on-device — conversion rates move from 3-8% (Meta lookalike audiences) to 40-60% (verified intent-declared audiences), while brand cost-per-action drops from $30-80 to $2-8. This is not incremental optimization — it is a structural inversion of how advertising works.</w:t>
      </w:r>
    </w:p>
    <w:p>
      <w:pPr>
        <w:pStyle w:val="Heading1"/>
        <w:spacing w:after="200" w:before="400"/>
      </w:pPr>
      <w:r>
        <w:rPr>
          <w:rFonts w:ascii="Calibri" w:cs="Calibri" w:eastAsia="Calibri" w:hAnsi="Calibri"/>
          <w:b/>
          <w:bCs/>
          <w:color w:val="1B3A5C"/>
          <w:sz w:val="32"/>
          <w:szCs w:val="32"/>
        </w:rPr>
        <w:t xml:space="preserve">2. Soul App — The Individual's Interface</w:t>
      </w:r>
    </w:p>
    <w:p>
      <w:pPr>
        <w:spacing w:after="150"/>
      </w:pPr>
      <w:r>
        <w:rPr>
          <w:rFonts w:ascii="Calibri" w:cs="Calibri" w:eastAsia="Calibri" w:hAnsi="Calibri"/>
          <w:sz w:val="22"/>
          <w:szCs w:val="22"/>
        </w:rPr>
        <w:t xml:space="preserve">The Soul App is where individuals manage their data, understand their digital footprint, grant engagement-level preferences, receive and claim offers, and earn yield. It must feel personal, trustworthy, and empowering — not like an admin dashboard.</w:t>
      </w:r>
    </w:p>
    <w:p>
      <w:pPr>
        <w:pStyle w:val="Heading2"/>
        <w:spacing w:after="150" w:before="300"/>
      </w:pPr>
      <w:r>
        <w:rPr>
          <w:rFonts w:ascii="Calibri" w:cs="Calibri" w:eastAsia="Calibri" w:hAnsi="Calibri"/>
          <w:b/>
          <w:bCs/>
          <w:color w:val="2E5C8A"/>
          <w:sz w:val="26"/>
          <w:szCs w:val="26"/>
        </w:rPr>
        <w:t xml:space="preserve">2.1 Trust Messaging Trinity</w:t>
      </w:r>
    </w:p>
    <w:p>
      <w:pPr>
        <w:spacing w:after="150"/>
      </w:pPr>
      <w:r>
        <w:rPr>
          <w:rFonts w:ascii="Calibri" w:cs="Calibri" w:eastAsia="Calibri" w:hAnsi="Calibri"/>
          <w:sz w:val="22"/>
          <w:szCs w:val="22"/>
        </w:rPr>
        <w:t xml:space="preserve">Every aspect of the Soul App's communication answers three questions that determine whether a user trusts the platform:</w:t>
      </w:r>
    </w:p>
    <w:p>
      <w:pPr>
        <w:pStyle w:val="ListParagraph"/>
        <w:numPr>
          <w:ilvl w:val="0"/>
          <w:numId w:val="1"/>
        </w:numPr>
        <w:spacing w:after="80"/>
      </w:pPr>
      <w:r>
        <w:rPr>
          <w:rFonts w:ascii="Calibri" w:cs="Calibri" w:eastAsia="Calibri" w:hAnsi="Calibri"/>
          <w:sz w:val="22"/>
          <w:szCs w:val="22"/>
        </w:rPr>
        <w:t xml:space="preserve">"Is it safe?" → Your data stays on your phone. Raw data never leaves your device; only aggregated insight scores are transmitted.</w:t>
      </w:r>
    </w:p>
    <w:p>
      <w:pPr>
        <w:pStyle w:val="ListParagraph"/>
        <w:numPr>
          <w:ilvl w:val="0"/>
          <w:numId w:val="1"/>
        </w:numPr>
        <w:spacing w:after="80"/>
      </w:pPr>
      <w:r>
        <w:rPr>
          <w:rFonts w:ascii="Calibri" w:cs="Calibri" w:eastAsia="Calibri" w:hAnsi="Calibri"/>
          <w:sz w:val="22"/>
          <w:szCs w:val="22"/>
        </w:rPr>
        <w:t xml:space="preserve">"What's in it for me?" → You get to know what you're up to in the digital world. Know Yourself cards reveal spending patterns, health trends, mobility habits, and shopping behavior across all connected sources.</w:t>
      </w:r>
    </w:p>
    <w:p>
      <w:pPr>
        <w:pStyle w:val="ListParagraph"/>
        <w:numPr>
          <w:ilvl w:val="0"/>
          <w:numId w:val="1"/>
        </w:numPr>
        <w:spacing w:after="80"/>
      </w:pPr>
      <w:r>
        <w:rPr>
          <w:rFonts w:ascii="Calibri" w:cs="Calibri" w:eastAsia="Calibri" w:hAnsi="Calibri"/>
          <w:sz w:val="22"/>
          <w:szCs w:val="22"/>
        </w:rPr>
        <w:t xml:space="preserve">"How do I earn?" → Brands pay you based on your needs and demands. The more sources you connect and the more genuine your intent signals, the higher your earning potential.</w:t>
      </w:r>
    </w:p>
    <w:p>
      <w:pPr>
        <w:pStyle w:val="Heading2"/>
        <w:spacing w:after="150" w:before="300"/>
      </w:pPr>
      <w:r>
        <w:rPr>
          <w:rFonts w:ascii="Calibri" w:cs="Calibri" w:eastAsia="Calibri" w:hAnsi="Calibri"/>
          <w:b/>
          <w:bCs/>
          <w:color w:val="2E5C8A"/>
          <w:sz w:val="26"/>
          <w:szCs w:val="26"/>
        </w:rPr>
        <w:t xml:space="preserve">2.2 Data Sources &amp; Harvesting (ADR-01 through ADR-05)</w:t>
      </w:r>
    </w:p>
    <w:p>
      <w:pPr>
        <w:spacing w:after="150"/>
      </w:pPr>
      <w:r>
        <w:rPr>
          <w:rFonts w:ascii="Calibri" w:cs="Calibri" w:eastAsia="Calibri" w:hAnsi="Calibri"/>
          <w:sz w:val="22"/>
          <w:szCs w:val="22"/>
        </w:rPr>
        <w:t xml:space="preserve">PersonalOS aggregates data from a diverse source universe, each connected with the user's explicit permission: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pPr>
              <w:jc w:val="center"/>
            </w:pPr>
            <w:r>
              <w:rPr>
                <w:rFonts w:ascii="Calibri" w:cs="Calibri" w:eastAsia="Calibri" w:hAnsi="Calibri"/>
                <w:b/>
                <w:bCs/>
                <w:color w:val="FFFFFF"/>
                <w:sz w:val="20"/>
                <w:szCs w:val="20"/>
              </w:rPr>
              <w:t xml:space="preserve">Source</w:t>
            </w:r>
          </w:p>
        </w:tc>
        <w:tc>
          <w:tcPr>
            <w:tcW w:type="dxa" w:w="3000"/>
            <w:shd w:fill="1B3A5C"/>
          </w:tcPr>
          <w:p>
            <w:pPr>
              <w:jc w:val="center"/>
            </w:pPr>
            <w:r>
              <w:rPr>
                <w:rFonts w:ascii="Calibri" w:cs="Calibri" w:eastAsia="Calibri" w:hAnsi="Calibri"/>
                <w:b/>
                <w:bCs/>
                <w:color w:val="FFFFFF"/>
                <w:sz w:val="20"/>
                <w:szCs w:val="20"/>
              </w:rPr>
              <w:t xml:space="preserve">Data Type</w:t>
            </w:r>
          </w:p>
        </w:tc>
        <w:tc>
          <w:tcPr>
            <w:tcW w:type="dxa" w:w="3000"/>
            <w:shd w:fill="1B3A5C"/>
          </w:tcPr>
          <w:p>
            <w:pPr>
              <w:jc w:val="center"/>
            </w:pPr>
            <w:r>
              <w:rPr>
                <w:rFonts w:ascii="Calibri" w:cs="Calibri" w:eastAsia="Calibri" w:hAnsi="Calibri"/>
                <w:b/>
                <w:bCs/>
                <w:color w:val="FFFFFF"/>
                <w:sz w:val="20"/>
                <w:szCs w:val="20"/>
              </w:rPr>
              <w:t xml:space="preserve">Connection Method</w:t>
            </w:r>
          </w:p>
        </w:tc>
      </w:tr>
      <w:tr>
        <w:tc>
          <w:tcPr>
            <w:tcW w:type="dxa" w:w="3000"/>
            <w:shd w:fill="F0F4F8"/>
          </w:tcPr>
          <w:p>
            <w:pPr>
              <w:spacing w:after="40" w:before="40"/>
            </w:pPr>
            <w:r>
              <w:rPr>
                <w:rFonts w:ascii="Calibri" w:cs="Calibri" w:eastAsia="Calibri" w:hAnsi="Calibri"/>
                <w:sz w:val="20"/>
                <w:szCs w:val="20"/>
              </w:rPr>
              <w:t xml:space="preserve">Plaid (US Banks)</w:t>
            </w:r>
          </w:p>
        </w:tc>
        <w:tc>
          <w:tcPr>
            <w:tcW w:type="dxa" w:w="3000"/>
            <w:shd w:fill="F0F4F8"/>
          </w:tcPr>
          <w:p>
            <w:pPr>
              <w:spacing w:after="40" w:before="40"/>
            </w:pPr>
            <w:r>
              <w:rPr>
                <w:rFonts w:ascii="Calibri" w:cs="Calibri" w:eastAsia="Calibri" w:hAnsi="Calibri"/>
                <w:sz w:val="20"/>
                <w:szCs w:val="20"/>
              </w:rPr>
              <w:t xml:space="preserve">Financial transactions, balances</w:t>
            </w:r>
          </w:p>
        </w:tc>
        <w:tc>
          <w:tcPr>
            <w:tcW w:type="dxa" w:w="3000"/>
            <w:shd w:fill="F0F4F8"/>
          </w:tcPr>
          <w:p>
            <w:pPr>
              <w:spacing w:after="40" w:before="40"/>
            </w:pPr>
            <w:r>
              <w:rPr>
                <w:rFonts w:ascii="Calibri" w:cs="Calibri" w:eastAsia="Calibri" w:hAnsi="Calibri"/>
                <w:sz w:val="20"/>
                <w:szCs w:val="20"/>
              </w:rPr>
              <w:t xml:space="preserve">OAuth bank link</w:t>
            </w:r>
          </w:p>
        </w:tc>
      </w:tr>
      <w:tr>
        <w:tc>
          <w:tcPr>
            <w:tcW w:type="dxa" w:w="3000"/>
          </w:tcPr>
          <w:p>
            <w:pPr>
              <w:spacing w:after="40" w:before="40"/>
            </w:pPr>
            <w:r>
              <w:rPr>
                <w:rFonts w:ascii="Calibri" w:cs="Calibri" w:eastAsia="Calibri" w:hAnsi="Calibri"/>
                <w:sz w:val="20"/>
                <w:szCs w:val="20"/>
              </w:rPr>
              <w:t xml:space="preserve">Setu Account Aggregator</w:t>
            </w:r>
          </w:p>
        </w:tc>
        <w:tc>
          <w:tcPr>
            <w:tcW w:type="dxa" w:w="3000"/>
          </w:tcPr>
          <w:p>
            <w:pPr>
              <w:spacing w:after="40" w:before="40"/>
            </w:pPr>
            <w:r>
              <w:rPr>
                <w:rFonts w:ascii="Calibri" w:cs="Calibri" w:eastAsia="Calibri" w:hAnsi="Calibri"/>
                <w:sz w:val="20"/>
                <w:szCs w:val="20"/>
              </w:rPr>
              <w:t xml:space="preserve">Indian bank accounts</w:t>
            </w:r>
          </w:p>
        </w:tc>
        <w:tc>
          <w:tcPr>
            <w:tcW w:type="dxa" w:w="3000"/>
          </w:tcPr>
          <w:p>
            <w:pPr>
              <w:spacing w:after="40" w:before="40"/>
            </w:pPr>
            <w:r>
              <w:rPr>
                <w:rFonts w:ascii="Calibri" w:cs="Calibri" w:eastAsia="Calibri" w:hAnsi="Calibri"/>
                <w:sz w:val="20"/>
                <w:szCs w:val="20"/>
              </w:rPr>
              <w:t xml:space="preserve">AA consent framework</w:t>
            </w:r>
          </w:p>
        </w:tc>
      </w:tr>
      <w:tr>
        <w:tc>
          <w:tcPr>
            <w:tcW w:type="dxa" w:w="3000"/>
            <w:shd w:fill="F0F4F8"/>
          </w:tcPr>
          <w:p>
            <w:pPr>
              <w:spacing w:after="40" w:before="40"/>
            </w:pPr>
            <w:r>
              <w:rPr>
                <w:rFonts w:ascii="Calibri" w:cs="Calibri" w:eastAsia="Calibri" w:hAnsi="Calibri"/>
                <w:sz w:val="20"/>
                <w:szCs w:val="20"/>
              </w:rPr>
              <w:t xml:space="preserve">Google Data Portability</w:t>
            </w:r>
          </w:p>
        </w:tc>
        <w:tc>
          <w:tcPr>
            <w:tcW w:type="dxa" w:w="3000"/>
            <w:shd w:fill="F0F4F8"/>
          </w:tcPr>
          <w:p>
            <w:pPr>
              <w:spacing w:after="40" w:before="40"/>
            </w:pPr>
            <w:r>
              <w:rPr>
                <w:rFonts w:ascii="Calibri" w:cs="Calibri" w:eastAsia="Calibri" w:hAnsi="Calibri"/>
                <w:sz w:val="20"/>
                <w:szCs w:val="20"/>
              </w:rPr>
              <w:t xml:space="preserve">Activity, search, YouTube</w:t>
            </w:r>
          </w:p>
        </w:tc>
        <w:tc>
          <w:tcPr>
            <w:tcW w:type="dxa" w:w="3000"/>
            <w:shd w:fill="F0F4F8"/>
          </w:tcPr>
          <w:p>
            <w:pPr>
              <w:spacing w:after="40" w:before="40"/>
            </w:pPr>
            <w:r>
              <w:rPr>
                <w:rFonts w:ascii="Calibri" w:cs="Calibri" w:eastAsia="Calibri" w:hAnsi="Calibri"/>
                <w:sz w:val="20"/>
                <w:szCs w:val="20"/>
              </w:rPr>
              <w:t xml:space="preserve">DPA API</w:t>
            </w:r>
          </w:p>
        </w:tc>
      </w:tr>
      <w:tr>
        <w:tc>
          <w:tcPr>
            <w:tcW w:type="dxa" w:w="3000"/>
          </w:tcPr>
          <w:p>
            <w:pPr>
              <w:spacing w:after="40" w:before="40"/>
            </w:pPr>
            <w:r>
              <w:rPr>
                <w:rFonts w:ascii="Calibri" w:cs="Calibri" w:eastAsia="Calibri" w:hAnsi="Calibri"/>
                <w:sz w:val="20"/>
                <w:szCs w:val="20"/>
              </w:rPr>
              <w:t xml:space="preserve">Apple Health</w:t>
            </w:r>
          </w:p>
        </w:tc>
        <w:tc>
          <w:tcPr>
            <w:tcW w:type="dxa" w:w="3000"/>
          </w:tcPr>
          <w:p>
            <w:pPr>
              <w:spacing w:after="40" w:before="40"/>
            </w:pPr>
            <w:r>
              <w:rPr>
                <w:rFonts w:ascii="Calibri" w:cs="Calibri" w:eastAsia="Calibri" w:hAnsi="Calibri"/>
                <w:sz w:val="20"/>
                <w:szCs w:val="20"/>
              </w:rPr>
              <w:t xml:space="preserve">Steps, heart rate, sleep, workouts</w:t>
            </w:r>
          </w:p>
        </w:tc>
        <w:tc>
          <w:tcPr>
            <w:tcW w:type="dxa" w:w="3000"/>
          </w:tcPr>
          <w:p>
            <w:pPr>
              <w:spacing w:after="40" w:before="40"/>
            </w:pPr>
            <w:r>
              <w:rPr>
                <w:rFonts w:ascii="Calibri" w:cs="Calibri" w:eastAsia="Calibri" w:hAnsi="Calibri"/>
                <w:sz w:val="20"/>
                <w:szCs w:val="20"/>
              </w:rPr>
              <w:t xml:space="preserve">FHIR export</w:t>
            </w:r>
          </w:p>
        </w:tc>
      </w:tr>
      <w:tr>
        <w:tc>
          <w:tcPr>
            <w:tcW w:type="dxa" w:w="3000"/>
            <w:shd w:fill="F0F4F8"/>
          </w:tcPr>
          <w:p>
            <w:pPr>
              <w:spacing w:after="40" w:before="40"/>
            </w:pPr>
            <w:r>
              <w:rPr>
                <w:rFonts w:ascii="Calibri" w:cs="Calibri" w:eastAsia="Calibri" w:hAnsi="Calibri"/>
                <w:sz w:val="20"/>
                <w:szCs w:val="20"/>
              </w:rPr>
              <w:t xml:space="preserve">Amazon</w:t>
            </w:r>
          </w:p>
        </w:tc>
        <w:tc>
          <w:tcPr>
            <w:tcW w:type="dxa" w:w="3000"/>
            <w:shd w:fill="F0F4F8"/>
          </w:tcPr>
          <w:p>
            <w:pPr>
              <w:spacing w:after="40" w:before="40"/>
            </w:pPr>
            <w:r>
              <w:rPr>
                <w:rFonts w:ascii="Calibri" w:cs="Calibri" w:eastAsia="Calibri" w:hAnsi="Calibri"/>
                <w:sz w:val="20"/>
                <w:szCs w:val="20"/>
              </w:rPr>
              <w:t xml:space="preserve">Purchase history, wishlists</w:t>
            </w:r>
          </w:p>
        </w:tc>
        <w:tc>
          <w:tcPr>
            <w:tcW w:type="dxa" w:w="3000"/>
            <w:shd w:fill="F0F4F8"/>
          </w:tcPr>
          <w:p>
            <w:pPr>
              <w:spacing w:after="40" w:before="40"/>
            </w:pPr>
            <w:r>
              <w:rPr>
                <w:rFonts w:ascii="Calibri" w:cs="Calibri" w:eastAsia="Calibri" w:hAnsi="Calibri"/>
                <w:sz w:val="20"/>
                <w:szCs w:val="20"/>
              </w:rPr>
              <w:t xml:space="preserve">BYOD CSV upload</w:t>
            </w:r>
          </w:p>
        </w:tc>
      </w:tr>
      <w:tr>
        <w:tc>
          <w:tcPr>
            <w:tcW w:type="dxa" w:w="3000"/>
          </w:tcPr>
          <w:p>
            <w:pPr>
              <w:spacing w:after="40" w:before="40"/>
            </w:pPr>
            <w:r>
              <w:rPr>
                <w:rFonts w:ascii="Calibri" w:cs="Calibri" w:eastAsia="Calibri" w:hAnsi="Calibri"/>
                <w:sz w:val="20"/>
                <w:szCs w:val="20"/>
              </w:rPr>
              <w:t xml:space="preserve">Uber</w:t>
            </w:r>
          </w:p>
        </w:tc>
        <w:tc>
          <w:tcPr>
            <w:tcW w:type="dxa" w:w="3000"/>
          </w:tcPr>
          <w:p>
            <w:pPr>
              <w:spacing w:after="40" w:before="40"/>
            </w:pPr>
            <w:r>
              <w:rPr>
                <w:rFonts w:ascii="Calibri" w:cs="Calibri" w:eastAsia="Calibri" w:hAnsi="Calibri"/>
                <w:sz w:val="20"/>
                <w:szCs w:val="20"/>
              </w:rPr>
              <w:t xml:space="preserve">Trip history, spending</w:t>
            </w:r>
          </w:p>
        </w:tc>
        <w:tc>
          <w:tcPr>
            <w:tcW w:type="dxa" w:w="3000"/>
          </w:tcPr>
          <w:p>
            <w:pPr>
              <w:spacing w:after="40" w:before="40"/>
            </w:pPr>
            <w:r>
              <w:rPr>
                <w:rFonts w:ascii="Calibri" w:cs="Calibri" w:eastAsia="Calibri" w:hAnsi="Calibri"/>
                <w:sz w:val="20"/>
                <w:szCs w:val="20"/>
              </w:rPr>
              <w:t xml:space="preserve">BYOD CSV upload</w:t>
            </w:r>
          </w:p>
        </w:tc>
      </w:tr>
      <w:tr>
        <w:tc>
          <w:tcPr>
            <w:tcW w:type="dxa" w:w="3000"/>
            <w:shd w:fill="F0F4F8"/>
          </w:tcPr>
          <w:p>
            <w:pPr>
              <w:spacing w:after="40" w:before="40"/>
            </w:pPr>
            <w:r>
              <w:rPr>
                <w:rFonts w:ascii="Calibri" w:cs="Calibri" w:eastAsia="Calibri" w:hAnsi="Calibri"/>
                <w:sz w:val="20"/>
                <w:szCs w:val="20"/>
              </w:rPr>
              <w:t xml:space="preserve">Instagram</w:t>
            </w:r>
          </w:p>
        </w:tc>
        <w:tc>
          <w:tcPr>
            <w:tcW w:type="dxa" w:w="3000"/>
            <w:shd w:fill="F0F4F8"/>
          </w:tcPr>
          <w:p>
            <w:pPr>
              <w:spacing w:after="40" w:before="40"/>
            </w:pPr>
            <w:r>
              <w:rPr>
                <w:rFonts w:ascii="Calibri" w:cs="Calibri" w:eastAsia="Calibri" w:hAnsi="Calibri"/>
                <w:sz w:val="20"/>
                <w:szCs w:val="20"/>
              </w:rPr>
              <w:t xml:space="preserve">Content engagement, interests</w:t>
            </w:r>
          </w:p>
        </w:tc>
        <w:tc>
          <w:tcPr>
            <w:tcW w:type="dxa" w:w="3000"/>
            <w:shd w:fill="F0F4F8"/>
          </w:tcPr>
          <w:p>
            <w:pPr>
              <w:spacing w:after="40" w:before="40"/>
            </w:pPr>
            <w:r>
              <w:rPr>
                <w:rFonts w:ascii="Calibri" w:cs="Calibri" w:eastAsia="Calibri" w:hAnsi="Calibri"/>
                <w:sz w:val="20"/>
                <w:szCs w:val="20"/>
              </w:rPr>
              <w:t xml:space="preserve">BYOD export</w:t>
            </w:r>
          </w:p>
        </w:tc>
      </w:tr>
    </w:tbl>
    <w:p>
      <w:pPr>
        <w:spacing w:after="100"/>
      </w:pPr>
    </w:p>
    <w:p>
      <w:pPr>
        <w:spacing w:after="150"/>
      </w:pPr>
      <w:r>
        <w:rPr>
          <w:rFonts w:ascii="Calibri" w:cs="Calibri" w:eastAsia="Calibri" w:hAnsi="Calibri"/>
          <w:sz w:val="22"/>
          <w:szCs w:val="22"/>
        </w:rPr>
        <w:t xml:space="preserve">All raw data is processed entirely on-device (ADR-07, ADR-22, ADR-23). No raw transaction data — not even encrypted — is transmitted to PersonalOS servers. The only outbound data from the device: Arweave content hashes (pointers), aggregated insight scores, and claim actions.</w:t>
      </w:r>
    </w:p>
    <w:p>
      <w:pPr>
        <w:pStyle w:val="Heading2"/>
        <w:spacing w:after="150" w:before="300"/>
      </w:pPr>
      <w:r>
        <w:rPr>
          <w:rFonts w:ascii="Calibri" w:cs="Calibri" w:eastAsia="Calibri" w:hAnsi="Calibri"/>
          <w:b/>
          <w:bCs/>
          <w:color w:val="2E5C8A"/>
          <w:sz w:val="26"/>
          <w:szCs w:val="26"/>
        </w:rPr>
        <w:t xml:space="preserve">2.3 Know Yourself — AI-Powered Self-Knowledge</w:t>
      </w:r>
    </w:p>
    <w:p>
      <w:pPr>
        <w:spacing w:after="150"/>
      </w:pPr>
      <w:r>
        <w:rPr>
          <w:rFonts w:ascii="Calibri" w:cs="Calibri" w:eastAsia="Calibri" w:hAnsi="Calibri"/>
          <w:sz w:val="22"/>
          <w:szCs w:val="22"/>
        </w:rPr>
        <w:t xml:space="preserve">Know Yourself is the Soul App's signature feature — a personal AI agent that synthesizes cross-source data into actionable self-knowledge:</w:t>
      </w:r>
    </w:p>
    <w:p>
      <w:pPr>
        <w:pStyle w:val="ListParagraph"/>
        <w:numPr>
          <w:ilvl w:val="0"/>
          <w:numId w:val="1"/>
        </w:numPr>
        <w:spacing w:after="80"/>
      </w:pPr>
      <w:r>
        <w:rPr>
          <w:rFonts w:ascii="Calibri" w:cs="Calibri" w:eastAsia="Calibri" w:hAnsi="Calibri"/>
          <w:sz w:val="22"/>
          <w:szCs w:val="22"/>
        </w:rPr>
        <w:t xml:space="preserve">5 Insight Cards: Cross-source synthesis cards showing spending patterns, health correlations, mobility habits, shopping behavior, and digital engagement trends.</w:t>
      </w:r>
    </w:p>
    <w:p>
      <w:pPr>
        <w:pStyle w:val="ListParagraph"/>
        <w:numPr>
          <w:ilvl w:val="0"/>
          <w:numId w:val="1"/>
        </w:numPr>
        <w:spacing w:after="80"/>
      </w:pPr>
      <w:r>
        <w:rPr>
          <w:rFonts w:ascii="Calibri" w:cs="Calibri" w:eastAsia="Calibri" w:hAnsi="Calibri"/>
          <w:sz w:val="22"/>
          <w:szCs w:val="22"/>
        </w:rPr>
        <w:t xml:space="preserve">Weekly AI Digest: A personalized summary of the soul's digital footprint, delivered weekly, highlighting patterns the user may not have noticed.</w:t>
      </w:r>
    </w:p>
    <w:p>
      <w:pPr>
        <w:pStyle w:val="ListParagraph"/>
        <w:numPr>
          <w:ilvl w:val="0"/>
          <w:numId w:val="1"/>
        </w:numPr>
        <w:spacing w:after="80"/>
      </w:pPr>
      <w:r>
        <w:rPr>
          <w:rFonts w:ascii="Calibri" w:cs="Calibri" w:eastAsia="Calibri" w:hAnsi="Calibri"/>
          <w:sz w:val="22"/>
          <w:szCs w:val="22"/>
        </w:rPr>
        <w:t xml:space="preserve">Mainnet Gate: Completing the Know Yourself experience (3+ sources connected, 5 insight cards generated, first weekly digest received) is the prerequisite for entering the intent marketplace.</w:t>
      </w:r>
    </w:p>
    <w:p>
      <w:pPr>
        <w:spacing w:after="150"/>
      </w:pPr>
      <w:r>
        <w:rPr>
          <w:rFonts w:ascii="Calibri" w:cs="Calibri" w:eastAsia="Calibri" w:hAnsi="Calibri"/>
          <w:sz w:val="22"/>
          <w:szCs w:val="22"/>
        </w:rPr>
        <w:t xml:space="preserve">Know Yourself transforms PersonalOS from a data monetization tool into a personal intelligence platform — the user gets value before they ever earn a dollar from brands.</w:t>
      </w:r>
    </w:p>
    <w:p>
      <w:pPr>
        <w:pStyle w:val="Heading2"/>
        <w:spacing w:after="150" w:before="300"/>
      </w:pPr>
      <w:r>
        <w:rPr>
          <w:rFonts w:ascii="Calibri" w:cs="Calibri" w:eastAsia="Calibri" w:hAnsi="Calibri"/>
          <w:b/>
          <w:bCs/>
          <w:color w:val="2E5C8A"/>
          <w:sz w:val="26"/>
          <w:szCs w:val="26"/>
        </w:rPr>
        <w:t xml:space="preserve">2.4 Four-Level Engagement Model (ADR-53)</w:t>
      </w:r>
    </w:p>
    <w:p>
      <w:pPr>
        <w:spacing w:after="150"/>
      </w:pPr>
      <w:r>
        <w:rPr>
          <w:rFonts w:ascii="Calibri" w:cs="Calibri" w:eastAsia="Calibri" w:hAnsi="Calibri"/>
          <w:sz w:val="22"/>
          <w:szCs w:val="22"/>
        </w:rPr>
        <w:t xml:space="preserve">The binary consent model ("consented" or "not") is replaced by a progressive four-level engagement scale per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pPr>
              <w:jc w:val="center"/>
            </w:pPr>
            <w:r>
              <w:rPr>
                <w:rFonts w:ascii="Calibri" w:cs="Calibri" w:eastAsia="Calibri" w:hAnsi="Calibri"/>
                <w:b/>
                <w:bCs/>
                <w:color w:val="FFFFFF"/>
                <w:sz w:val="20"/>
                <w:szCs w:val="20"/>
              </w:rPr>
              <w:t xml:space="preserve">Level</w:t>
            </w:r>
          </w:p>
        </w:tc>
        <w:tc>
          <w:tcPr>
            <w:tcW w:type="dxa" w:w="1800"/>
            <w:shd w:fill="1B3A5C"/>
          </w:tcPr>
          <w:p>
            <w:pPr>
              <w:jc w:val="center"/>
            </w:pPr>
            <w:r>
              <w:rPr>
                <w:rFonts w:ascii="Calibri" w:cs="Calibri" w:eastAsia="Calibri" w:hAnsi="Calibri"/>
                <w:b/>
                <w:bCs/>
                <w:color w:val="FFFFFF"/>
                <w:sz w:val="20"/>
                <w:szCs w:val="20"/>
              </w:rPr>
              <w:t xml:space="preserve">Name</w:t>
            </w:r>
          </w:p>
        </w:tc>
        <w:tc>
          <w:tcPr>
            <w:tcW w:type="dxa" w:w="1800"/>
            <w:shd w:fill="1B3A5C"/>
          </w:tcPr>
          <w:p>
            <w:pPr>
              <w:jc w:val="center"/>
            </w:pPr>
            <w:r>
              <w:rPr>
                <w:rFonts w:ascii="Calibri" w:cs="Calibri" w:eastAsia="Calibri" w:hAnsi="Calibri"/>
                <w:b/>
                <w:bCs/>
                <w:color w:val="FFFFFF"/>
                <w:sz w:val="20"/>
                <w:szCs w:val="20"/>
              </w:rPr>
              <w:t xml:space="preserve">Meaning</w:t>
            </w:r>
          </w:p>
        </w:tc>
        <w:tc>
          <w:tcPr>
            <w:tcW w:type="dxa" w:w="1800"/>
            <w:shd w:fill="1B3A5C"/>
          </w:tcPr>
          <w:p>
            <w:pPr>
              <w:jc w:val="center"/>
            </w:pPr>
            <w:r>
              <w:rPr>
                <w:rFonts w:ascii="Calibri" w:cs="Calibri" w:eastAsia="Calibri" w:hAnsi="Calibri"/>
                <w:b/>
                <w:bCs/>
                <w:color w:val="FFFFFF"/>
                <w:sz w:val="20"/>
                <w:szCs w:val="20"/>
              </w:rPr>
              <w:t xml:space="preserve">Brand Access</w:t>
            </w:r>
          </w:p>
        </w:tc>
        <w:tc>
          <w:tcPr>
            <w:tcW w:type="dxa" w:w="1800"/>
            <w:shd w:fill="1B3A5C"/>
          </w:tcPr>
          <w:p>
            <w:pPr>
              <w:jc w:val="center"/>
            </w:pPr>
            <w:r>
              <w:rPr>
                <w:rFonts w:ascii="Calibri" w:cs="Calibri" w:eastAsia="Calibri" w:hAnsi="Calibri"/>
                <w:b/>
                <w:bCs/>
                <w:color w:val="FFFFFF"/>
                <w:sz w:val="20"/>
                <w:szCs w:val="20"/>
              </w:rPr>
              <w:t xml:space="preserve">Bid Multiplier</w:t>
            </w:r>
          </w:p>
        </w:tc>
      </w:tr>
      <w:tr>
        <w:tc>
          <w:tcPr>
            <w:tcW w:type="dxa" w:w="1800"/>
            <w:shd w:fill="F0F4F8"/>
          </w:tcPr>
          <w:p>
            <w:pPr>
              <w:spacing w:after="40" w:before="40"/>
            </w:pPr>
            <w:r>
              <w:rPr>
                <w:rFonts w:ascii="Calibri" w:cs="Calibri" w:eastAsia="Calibri" w:hAnsi="Calibri"/>
                <w:sz w:val="20"/>
                <w:szCs w:val="20"/>
              </w:rPr>
              <w:t xml:space="preserve">0</w:t>
            </w:r>
          </w:p>
        </w:tc>
        <w:tc>
          <w:tcPr>
            <w:tcW w:type="dxa" w:w="1800"/>
            <w:shd w:fill="F0F4F8"/>
          </w:tcPr>
          <w:p>
            <w:pPr>
              <w:spacing w:after="40" w:before="40"/>
            </w:pPr>
            <w:r>
              <w:rPr>
                <w:rFonts w:ascii="Calibri" w:cs="Calibri" w:eastAsia="Calibri" w:hAnsi="Calibri"/>
                <w:sz w:val="20"/>
                <w:szCs w:val="20"/>
              </w:rPr>
              <w:t xml:space="preserve">Off</w:t>
            </w:r>
          </w:p>
        </w:tc>
        <w:tc>
          <w:tcPr>
            <w:tcW w:type="dxa" w:w="1800"/>
            <w:shd w:fill="F0F4F8"/>
          </w:tcPr>
          <w:p>
            <w:pPr>
              <w:spacing w:after="40" w:before="40"/>
            </w:pPr>
            <w:r>
              <w:rPr>
                <w:rFonts w:ascii="Calibri" w:cs="Calibri" w:eastAsia="Calibri" w:hAnsi="Calibri"/>
                <w:sz w:val="20"/>
                <w:szCs w:val="20"/>
              </w:rPr>
              <w:t xml:space="preserve">No engagement</w:t>
            </w:r>
          </w:p>
        </w:tc>
        <w:tc>
          <w:tcPr>
            <w:tcW w:type="dxa" w:w="1800"/>
            <w:shd w:fill="F0F4F8"/>
          </w:tcPr>
          <w:p>
            <w:pPr>
              <w:spacing w:after="40" w:before="40"/>
            </w:pPr>
            <w:r>
              <w:rPr>
                <w:rFonts w:ascii="Calibri" w:cs="Calibri" w:eastAsia="Calibri" w:hAnsi="Calibri"/>
                <w:sz w:val="20"/>
                <w:szCs w:val="20"/>
              </w:rPr>
              <w:t xml:space="preserve">Invisible to brands</w:t>
            </w:r>
          </w:p>
        </w:tc>
        <w:tc>
          <w:tcPr>
            <w:tcW w:type="dxa" w:w="1800"/>
            <w:shd w:fill="F0F4F8"/>
          </w:tcPr>
          <w:p>
            <w:pPr>
              <w:spacing w:after="40" w:before="40"/>
            </w:pPr>
            <w:r>
              <w:rPr>
                <w:rFonts w:ascii="Calibri" w:cs="Calibri" w:eastAsia="Calibri" w:hAnsi="Calibri"/>
                <w:sz w:val="20"/>
                <w:szCs w:val="20"/>
              </w:rPr>
              <w:t xml:space="preserve">None</w:t>
            </w:r>
          </w:p>
        </w:tc>
      </w:tr>
      <w:tr>
        <w:tc>
          <w:tcPr>
            <w:tcW w:type="dxa" w:w="1800"/>
          </w:tcPr>
          <w:p>
            <w:pPr>
              <w:spacing w:after="40" w:before="40"/>
            </w:pPr>
            <w:r>
              <w:rPr>
                <w:rFonts w:ascii="Calibri" w:cs="Calibri" w:eastAsia="Calibri" w:hAnsi="Calibri"/>
                <w:sz w:val="20"/>
                <w:szCs w:val="20"/>
              </w:rPr>
              <w:t xml:space="preserve">1</w:t>
            </w:r>
          </w:p>
        </w:tc>
        <w:tc>
          <w:tcPr>
            <w:tcW w:type="dxa" w:w="1800"/>
          </w:tcPr>
          <w:p>
            <w:pPr>
              <w:spacing w:after="40" w:before="40"/>
            </w:pPr>
            <w:r>
              <w:rPr>
                <w:rFonts w:ascii="Calibri" w:cs="Calibri" w:eastAsia="Calibri" w:hAnsi="Calibri"/>
                <w:sz w:val="20"/>
                <w:szCs w:val="20"/>
              </w:rPr>
              <w:t xml:space="preserve">Open</w:t>
            </w:r>
          </w:p>
        </w:tc>
        <w:tc>
          <w:tcPr>
            <w:tcW w:type="dxa" w:w="1800"/>
          </w:tcPr>
          <w:p>
            <w:pPr>
              <w:spacing w:after="40" w:before="40"/>
            </w:pPr>
            <w:r>
              <w:rPr>
                <w:rFonts w:ascii="Calibri" w:cs="Calibri" w:eastAsia="Calibri" w:hAnsi="Calibri"/>
                <w:sz w:val="20"/>
                <w:szCs w:val="20"/>
              </w:rPr>
              <w:t xml:space="preserve">Open to hearing from brands</w:t>
            </w:r>
          </w:p>
        </w:tc>
        <w:tc>
          <w:tcPr>
            <w:tcW w:type="dxa" w:w="1800"/>
          </w:tcPr>
          <w:p>
            <w:pPr>
              <w:spacing w:after="40" w:before="40"/>
            </w:pPr>
            <w:r>
              <w:rPr>
                <w:rFonts w:ascii="Calibri" w:cs="Calibri" w:eastAsia="Calibri" w:hAnsi="Calibri"/>
                <w:sz w:val="20"/>
                <w:szCs w:val="20"/>
              </w:rPr>
              <w:t xml:space="preserve">Any active brand</w:t>
            </w:r>
          </w:p>
        </w:tc>
        <w:tc>
          <w:tcPr>
            <w:tcW w:type="dxa" w:w="1800"/>
          </w:tcPr>
          <w:p>
            <w:pPr>
              <w:spacing w:after="40" w:before="40"/>
            </w:pPr>
            <w:r>
              <w:rPr>
                <w:rFonts w:ascii="Calibri" w:cs="Calibri" w:eastAsia="Calibri" w:hAnsi="Calibri"/>
                <w:sz w:val="20"/>
                <w:szCs w:val="20"/>
              </w:rPr>
              <w:t xml:space="preserve">Standard (1.0x)</w:t>
            </w:r>
          </w:p>
        </w:tc>
      </w:tr>
      <w:tr>
        <w:tc>
          <w:tcPr>
            <w:tcW w:type="dxa" w:w="1800"/>
            <w:shd w:fill="F0F4F8"/>
          </w:tcPr>
          <w:p>
            <w:pPr>
              <w:spacing w:after="40" w:before="40"/>
            </w:pPr>
            <w:r>
              <w:rPr>
                <w:rFonts w:ascii="Calibri" w:cs="Calibri" w:eastAsia="Calibri" w:hAnsi="Calibri"/>
                <w:sz w:val="20"/>
                <w:szCs w:val="20"/>
              </w:rPr>
              <w:t xml:space="preserve">2</w:t>
            </w:r>
          </w:p>
        </w:tc>
        <w:tc>
          <w:tcPr>
            <w:tcW w:type="dxa" w:w="1800"/>
            <w:shd w:fill="F0F4F8"/>
          </w:tcPr>
          <w:p>
            <w:pPr>
              <w:spacing w:after="40" w:before="40"/>
            </w:pPr>
            <w:r>
              <w:rPr>
                <w:rFonts w:ascii="Calibri" w:cs="Calibri" w:eastAsia="Calibri" w:hAnsi="Calibri"/>
                <w:sz w:val="20"/>
                <w:szCs w:val="20"/>
              </w:rPr>
              <w:t xml:space="preserve">Exploring</w:t>
            </w:r>
          </w:p>
        </w:tc>
        <w:tc>
          <w:tcPr>
            <w:tcW w:type="dxa" w:w="1800"/>
            <w:shd w:fill="F0F4F8"/>
          </w:tcPr>
          <w:p>
            <w:pPr>
              <w:spacing w:after="40" w:before="40"/>
            </w:pPr>
            <w:r>
              <w:rPr>
                <w:rFonts w:ascii="Calibri" w:cs="Calibri" w:eastAsia="Calibri" w:hAnsi="Calibri"/>
                <w:sz w:val="20"/>
                <w:szCs w:val="20"/>
              </w:rPr>
              <w:t xml:space="preserve">Actively researching this category</w:t>
            </w:r>
          </w:p>
        </w:tc>
        <w:tc>
          <w:tcPr>
            <w:tcW w:type="dxa" w:w="1800"/>
            <w:shd w:fill="F0F4F8"/>
          </w:tcPr>
          <w:p>
            <w:pPr>
              <w:spacing w:after="40" w:before="40"/>
            </w:pPr>
            <w:r>
              <w:rPr>
                <w:rFonts w:ascii="Calibri" w:cs="Calibri" w:eastAsia="Calibri" w:hAnsi="Calibri"/>
                <w:sz w:val="20"/>
                <w:szCs w:val="20"/>
              </w:rPr>
              <w:t xml:space="preserve">Brands with score 50+</w:t>
            </w:r>
          </w:p>
        </w:tc>
        <w:tc>
          <w:tcPr>
            <w:tcW w:type="dxa" w:w="1800"/>
            <w:shd w:fill="F0F4F8"/>
          </w:tcPr>
          <w:p>
            <w:pPr>
              <w:spacing w:after="40" w:before="40"/>
            </w:pPr>
            <w:r>
              <w:rPr>
                <w:rFonts w:ascii="Calibri" w:cs="Calibri" w:eastAsia="Calibri" w:hAnsi="Calibri"/>
                <w:sz w:val="20"/>
                <w:szCs w:val="20"/>
              </w:rPr>
              <w:t xml:space="preserve">1.5-2x premium</w:t>
            </w:r>
          </w:p>
        </w:tc>
      </w:tr>
      <w:tr>
        <w:tc>
          <w:tcPr>
            <w:tcW w:type="dxa" w:w="1800"/>
          </w:tcPr>
          <w:p>
            <w:pPr>
              <w:spacing w:after="40" w:before="40"/>
            </w:pPr>
            <w:r>
              <w:rPr>
                <w:rFonts w:ascii="Calibri" w:cs="Calibri" w:eastAsia="Calibri" w:hAnsi="Calibri"/>
                <w:sz w:val="20"/>
                <w:szCs w:val="20"/>
              </w:rPr>
              <w:t xml:space="preserve">3</w:t>
            </w:r>
          </w:p>
        </w:tc>
        <w:tc>
          <w:tcPr>
            <w:tcW w:type="dxa" w:w="1800"/>
          </w:tcPr>
          <w:p>
            <w:pPr>
              <w:spacing w:after="40" w:before="40"/>
            </w:pPr>
            <w:r>
              <w:rPr>
                <w:rFonts w:ascii="Calibri" w:cs="Calibri" w:eastAsia="Calibri" w:hAnsi="Calibri"/>
                <w:sz w:val="20"/>
                <w:szCs w:val="20"/>
              </w:rPr>
              <w:t xml:space="preserve">Ready</w:t>
            </w:r>
          </w:p>
        </w:tc>
        <w:tc>
          <w:tcPr>
            <w:tcW w:type="dxa" w:w="1800"/>
          </w:tcPr>
          <w:p>
            <w:pPr>
              <w:spacing w:after="40" w:before="40"/>
            </w:pPr>
            <w:r>
              <w:rPr>
                <w:rFonts w:ascii="Calibri" w:cs="Calibri" w:eastAsia="Calibri" w:hAnsi="Calibri"/>
                <w:sz w:val="20"/>
                <w:szCs w:val="20"/>
              </w:rPr>
              <w:t xml:space="preserve">Planning to act in 30-60 days</w:t>
            </w:r>
          </w:p>
        </w:tc>
        <w:tc>
          <w:tcPr>
            <w:tcW w:type="dxa" w:w="1800"/>
          </w:tcPr>
          <w:p>
            <w:pPr>
              <w:spacing w:after="40" w:before="40"/>
            </w:pPr>
            <w:r>
              <w:rPr>
                <w:rFonts w:ascii="Calibri" w:cs="Calibri" w:eastAsia="Calibri" w:hAnsi="Calibri"/>
                <w:sz w:val="20"/>
                <w:szCs w:val="20"/>
              </w:rPr>
              <w:t xml:space="preserve">Brands with score 70+ or Trending</w:t>
            </w:r>
          </w:p>
        </w:tc>
        <w:tc>
          <w:tcPr>
            <w:tcW w:type="dxa" w:w="1800"/>
          </w:tcPr>
          <w:p>
            <w:pPr>
              <w:spacing w:after="40" w:before="40"/>
            </w:pPr>
            <w:r>
              <w:rPr>
                <w:rFonts w:ascii="Calibri" w:cs="Calibri" w:eastAsia="Calibri" w:hAnsi="Calibri"/>
                <w:sz w:val="20"/>
                <w:szCs w:val="20"/>
              </w:rPr>
              <w:t xml:space="preserve">2-5x floating premium</w:t>
            </w:r>
          </w:p>
        </w:tc>
      </w:tr>
    </w:tbl>
    <w:p>
      <w:pPr>
        <w:spacing w:after="100"/>
      </w:pPr>
    </w:p>
    <w:p>
      <w:pPr>
        <w:spacing w:after="150"/>
      </w:pPr>
      <w:r>
        <w:rPr>
          <w:rFonts w:ascii="Calibri" w:cs="Calibri" w:eastAsia="Calibri" w:hAnsi="Calibri"/>
          <w:sz w:val="22"/>
          <w:szCs w:val="22"/>
        </w:rPr>
        <w:t xml:space="preserve">Level 1 preserves all existing consent behavior. Levels 2-3 create premium matching pools where brands pay 1.5-5x standard bids for intent-declared audiences. The Soul App presents this as a slider or segmented control per category — sliding right increases earning potential.</w:t>
      </w:r>
    </w:p>
    <w:p>
      <w:pPr>
        <w:pStyle w:val="Heading2"/>
        <w:spacing w:after="150" w:before="300"/>
      </w:pPr>
      <w:r>
        <w:rPr>
          <w:rFonts w:ascii="Calibri" w:cs="Calibri" w:eastAsia="Calibri" w:hAnsi="Calibri"/>
          <w:b/>
          <w:bCs/>
          <w:color w:val="2E5C8A"/>
          <w:sz w:val="26"/>
          <w:szCs w:val="26"/>
        </w:rPr>
        <w:t xml:space="preserve">2.5 Intent Declaration &amp; AI Predictions (ADR-53)</w:t>
      </w:r>
    </w:p>
    <w:p>
      <w:pPr>
        <w:spacing w:after="150"/>
      </w:pPr>
      <w:r>
        <w:rPr>
          <w:rFonts w:ascii="Calibri" w:cs="Calibri" w:eastAsia="Calibri" w:hAnsi="Calibri"/>
          <w:sz w:val="22"/>
          <w:szCs w:val="22"/>
        </w:rPr>
        <w:t xml:space="preserve">Souls can proactively declare future purchase intent with a structured declaration: category, behavioral state (Exploring/Ready), time window (30-60 days), and optional budget signal. This moves the marketplace from "brands search for consumers" to "consumers signal demand, brands respond."</w:t>
      </w:r>
    </w:p>
    <w:p>
      <w:pPr>
        <w:spacing w:after="150"/>
      </w:pPr>
      <w:r>
        <w:rPr>
          <w:rFonts w:ascii="Calibri" w:cs="Calibri" w:eastAsia="Calibri" w:hAnsi="Calibri"/>
          <w:sz w:val="22"/>
          <w:szCs w:val="22"/>
        </w:rPr>
        <w:t xml:space="preserve">The personal AI agent (Know Yourself) also predicts likely upcoming intent based on historical patterns, cross-source correlation, seasonality, and cultural context. Predictions surface as pre-filled intent cards — the soul confirms with a single tap. No prediction auto-activates; the soul always gates.</w:t>
      </w:r>
    </w:p>
    <w:p>
      <w:pPr>
        <w:spacing w:after="150"/>
      </w:pPr>
      <w:r>
        <w:rPr>
          <w:rFonts w:ascii="Calibri" w:cs="Calibri" w:eastAsia="Calibri" w:hAnsi="Calibri"/>
          <w:b/>
          <w:bCs/>
          <w:sz w:val="22"/>
          <w:szCs w:val="22"/>
        </w:rPr>
        <w:t xml:space="preserve">Dynamic Slot Cap: </w:t>
      </w:r>
      <w:r>
        <w:rPr>
          <w:rFonts w:ascii="Calibri" w:cs="Calibri" w:eastAsia="Calibri" w:hAnsi="Calibri"/>
          <w:sz w:val="22"/>
          <w:szCs w:val="22"/>
        </w:rPr>
        <w:t xml:space="preserve">Souls have 3-7 intent slots (up to ~11 during personal seasonal peaks) based on follow-through history. This preserves signal quality by preventing declaration spam.</w:t>
      </w:r>
    </w:p>
    <w:p>
      <w:pPr>
        <w:pStyle w:val="Heading2"/>
        <w:spacing w:after="150" w:before="300"/>
      </w:pPr>
      <w:r>
        <w:rPr>
          <w:rFonts w:ascii="Calibri" w:cs="Calibri" w:eastAsia="Calibri" w:hAnsi="Calibri"/>
          <w:b/>
          <w:bCs/>
          <w:color w:val="2E5C8A"/>
          <w:sz w:val="26"/>
          <w:szCs w:val="26"/>
        </w:rPr>
        <w:t xml:space="preserve">2.6 Soul Tier System (ADR-54)</w:t>
      </w:r>
    </w:p>
    <w:p>
      <w:pPr>
        <w:spacing w:after="150"/>
      </w:pPr>
      <w:r>
        <w:rPr>
          <w:rFonts w:ascii="Calibri" w:cs="Calibri" w:eastAsia="Calibri" w:hAnsi="Calibri"/>
          <w:sz w:val="22"/>
          <w:szCs w:val="22"/>
        </w:rPr>
        <w:t xml:space="preserve">Three tiers — Standard, Gold, Platinum — differentiate soul quality and earning potential: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pPr>
              <w:jc w:val="center"/>
            </w:pPr>
            <w:r>
              <w:rPr>
                <w:rFonts w:ascii="Calibri" w:cs="Calibri" w:eastAsia="Calibri" w:hAnsi="Calibri"/>
                <w:b/>
                <w:bCs/>
                <w:color w:val="FFFFFF"/>
                <w:sz w:val="20"/>
                <w:szCs w:val="20"/>
              </w:rPr>
              <w:t xml:space="preserve">Tier</w:t>
            </w:r>
          </w:p>
        </w:tc>
        <w:tc>
          <w:tcPr>
            <w:tcW w:type="dxa" w:w="2250"/>
            <w:shd w:fill="1B3A5C"/>
          </w:tcPr>
          <w:p>
            <w:pPr>
              <w:jc w:val="center"/>
            </w:pPr>
            <w:r>
              <w:rPr>
                <w:rFonts w:ascii="Calibri" w:cs="Calibri" w:eastAsia="Calibri" w:hAnsi="Calibri"/>
                <w:b/>
                <w:bCs/>
                <w:color w:val="FFFFFF"/>
                <w:sz w:val="20"/>
                <w:szCs w:val="20"/>
              </w:rPr>
              <w:t xml:space="preserve">Population</w:t>
            </w:r>
          </w:p>
        </w:tc>
        <w:tc>
          <w:tcPr>
            <w:tcW w:type="dxa" w:w="2250"/>
            <w:shd w:fill="1B3A5C"/>
          </w:tcPr>
          <w:p>
            <w:pPr>
              <w:jc w:val="center"/>
            </w:pPr>
            <w:r>
              <w:rPr>
                <w:rFonts w:ascii="Calibri" w:cs="Calibri" w:eastAsia="Calibri" w:hAnsi="Calibri"/>
                <w:b/>
                <w:bCs/>
                <w:color w:val="FFFFFF"/>
                <w:sz w:val="20"/>
                <w:szCs w:val="20"/>
              </w:rPr>
              <w:t xml:space="preserve">Composite Score</w:t>
            </w:r>
          </w:p>
        </w:tc>
        <w:tc>
          <w:tcPr>
            <w:tcW w:type="dxa" w:w="2250"/>
            <w:shd w:fill="1B3A5C"/>
          </w:tcPr>
          <w:p>
            <w:pPr>
              <w:jc w:val="center"/>
            </w:pPr>
            <w:r>
              <w:rPr>
                <w:rFonts w:ascii="Calibri" w:cs="Calibri" w:eastAsia="Calibri" w:hAnsi="Calibri"/>
                <w:b/>
                <w:bCs/>
                <w:color w:val="FFFFFF"/>
                <w:sz w:val="20"/>
                <w:szCs w:val="20"/>
              </w:rPr>
              <w:t xml:space="preserve">Premium Multiplier</w:t>
            </w:r>
          </w:p>
        </w:tc>
      </w:tr>
      <w:tr>
        <w:tc>
          <w:tcPr>
            <w:tcW w:type="dxa" w:w="2250"/>
            <w:shd w:fill="F0F4F8"/>
          </w:tcPr>
          <w:p>
            <w:pPr>
              <w:spacing w:after="40" w:before="40"/>
            </w:pPr>
            <w:r>
              <w:rPr>
                <w:rFonts w:ascii="Calibri" w:cs="Calibri" w:eastAsia="Calibri" w:hAnsi="Calibri"/>
                <w:sz w:val="20"/>
                <w:szCs w:val="20"/>
              </w:rPr>
              <w:t xml:space="preserve">Standard</w:t>
            </w:r>
          </w:p>
        </w:tc>
        <w:tc>
          <w:tcPr>
            <w:tcW w:type="dxa" w:w="2250"/>
            <w:shd w:fill="F0F4F8"/>
          </w:tcPr>
          <w:p>
            <w:pPr>
              <w:spacing w:after="40" w:before="40"/>
            </w:pPr>
            <w:r>
              <w:rPr>
                <w:rFonts w:ascii="Calibri" w:cs="Calibri" w:eastAsia="Calibri" w:hAnsi="Calibri"/>
                <w:sz w:val="20"/>
                <w:szCs w:val="20"/>
              </w:rPr>
              <w:t xml:space="preserve">~60% of active souls</w:t>
            </w:r>
          </w:p>
        </w:tc>
        <w:tc>
          <w:tcPr>
            <w:tcW w:type="dxa" w:w="2250"/>
            <w:shd w:fill="F0F4F8"/>
          </w:tcPr>
          <w:p>
            <w:pPr>
              <w:spacing w:after="40" w:before="40"/>
            </w:pPr>
            <w:r>
              <w:rPr>
                <w:rFonts w:ascii="Calibri" w:cs="Calibri" w:eastAsia="Calibri" w:hAnsi="Calibri"/>
                <w:sz w:val="20"/>
                <w:szCs w:val="20"/>
              </w:rPr>
              <w:t xml:space="preserve">Everyone starts here</w:t>
            </w:r>
          </w:p>
        </w:tc>
        <w:tc>
          <w:tcPr>
            <w:tcW w:type="dxa" w:w="2250"/>
            <w:shd w:fill="F0F4F8"/>
          </w:tcPr>
          <w:p>
            <w:pPr>
              <w:spacing w:after="40" w:before="40"/>
            </w:pPr>
            <w:r>
              <w:rPr>
                <w:rFonts w:ascii="Calibri" w:cs="Calibri" w:eastAsia="Calibri" w:hAnsi="Calibri"/>
                <w:sz w:val="20"/>
                <w:szCs w:val="20"/>
              </w:rPr>
              <w:t xml:space="preserve">1.0x on intent premium</w:t>
            </w:r>
          </w:p>
        </w:tc>
      </w:tr>
      <w:tr>
        <w:tc>
          <w:tcPr>
            <w:tcW w:type="dxa" w:w="2250"/>
          </w:tcPr>
          <w:p>
            <w:pPr>
              <w:spacing w:after="40" w:before="40"/>
            </w:pPr>
            <w:r>
              <w:rPr>
                <w:rFonts w:ascii="Calibri" w:cs="Calibri" w:eastAsia="Calibri" w:hAnsi="Calibri"/>
                <w:sz w:val="20"/>
                <w:szCs w:val="20"/>
              </w:rPr>
              <w:t xml:space="preserve">Gold</w:t>
            </w:r>
          </w:p>
        </w:tc>
        <w:tc>
          <w:tcPr>
            <w:tcW w:type="dxa" w:w="2250"/>
          </w:tcPr>
          <w:p>
            <w:pPr>
              <w:spacing w:after="40" w:before="40"/>
            </w:pPr>
            <w:r>
              <w:rPr>
                <w:rFonts w:ascii="Calibri" w:cs="Calibri" w:eastAsia="Calibri" w:hAnsi="Calibri"/>
                <w:sz w:val="20"/>
                <w:szCs w:val="20"/>
              </w:rPr>
              <w:t xml:space="preserve">~25% of active souls</w:t>
            </w:r>
          </w:p>
        </w:tc>
        <w:tc>
          <w:tcPr>
            <w:tcW w:type="dxa" w:w="2250"/>
          </w:tcPr>
          <w:p>
            <w:pPr>
              <w:spacing w:after="40" w:before="40"/>
            </w:pPr>
            <w:r>
              <w:rPr>
                <w:rFonts w:ascii="Calibri" w:cs="Calibri" w:eastAsia="Calibri" w:hAnsi="Calibri"/>
                <w:sz w:val="20"/>
                <w:szCs w:val="20"/>
              </w:rPr>
              <w:t xml:space="preserve">Top 30% composite</w:t>
            </w:r>
          </w:p>
        </w:tc>
        <w:tc>
          <w:tcPr>
            <w:tcW w:type="dxa" w:w="2250"/>
          </w:tcPr>
          <w:p>
            <w:pPr>
              <w:spacing w:after="40" w:before="40"/>
            </w:pPr>
            <w:r>
              <w:rPr>
                <w:rFonts w:ascii="Calibri" w:cs="Calibri" w:eastAsia="Calibri" w:hAnsi="Calibri"/>
                <w:sz w:val="20"/>
                <w:szCs w:val="20"/>
              </w:rPr>
              <w:t xml:space="preserve">1.2x on intent premium</w:t>
            </w:r>
          </w:p>
        </w:tc>
      </w:tr>
      <w:tr>
        <w:tc>
          <w:tcPr>
            <w:tcW w:type="dxa" w:w="2250"/>
            <w:shd w:fill="F0F4F8"/>
          </w:tcPr>
          <w:p>
            <w:pPr>
              <w:spacing w:after="40" w:before="40"/>
            </w:pPr>
            <w:r>
              <w:rPr>
                <w:rFonts w:ascii="Calibri" w:cs="Calibri" w:eastAsia="Calibri" w:hAnsi="Calibri"/>
                <w:sz w:val="20"/>
                <w:szCs w:val="20"/>
              </w:rPr>
              <w:t xml:space="preserve">Platinum</w:t>
            </w:r>
          </w:p>
        </w:tc>
        <w:tc>
          <w:tcPr>
            <w:tcW w:type="dxa" w:w="2250"/>
            <w:shd w:fill="F0F4F8"/>
          </w:tcPr>
          <w:p>
            <w:pPr>
              <w:spacing w:after="40" w:before="40"/>
            </w:pPr>
            <w:r>
              <w:rPr>
                <w:rFonts w:ascii="Calibri" w:cs="Calibri" w:eastAsia="Calibri" w:hAnsi="Calibri"/>
                <w:sz w:val="20"/>
                <w:szCs w:val="20"/>
              </w:rPr>
              <w:t xml:space="preserve">~10% of active souls</w:t>
            </w:r>
          </w:p>
        </w:tc>
        <w:tc>
          <w:tcPr>
            <w:tcW w:type="dxa" w:w="2250"/>
            <w:shd w:fill="F0F4F8"/>
          </w:tcPr>
          <w:p>
            <w:pPr>
              <w:spacing w:after="40" w:before="40"/>
            </w:pPr>
            <w:r>
              <w:rPr>
                <w:rFonts w:ascii="Calibri" w:cs="Calibri" w:eastAsia="Calibri" w:hAnsi="Calibri"/>
                <w:sz w:val="20"/>
                <w:szCs w:val="20"/>
              </w:rPr>
              <w:t xml:space="preserve">Top 10% composite</w:t>
            </w:r>
          </w:p>
        </w:tc>
        <w:tc>
          <w:tcPr>
            <w:tcW w:type="dxa" w:w="2250"/>
            <w:shd w:fill="F0F4F8"/>
          </w:tcPr>
          <w:p>
            <w:pPr>
              <w:spacing w:after="40" w:before="40"/>
            </w:pPr>
            <w:r>
              <w:rPr>
                <w:rFonts w:ascii="Calibri" w:cs="Calibri" w:eastAsia="Calibri" w:hAnsi="Calibri"/>
                <w:sz w:val="20"/>
                <w:szCs w:val="20"/>
              </w:rPr>
              <w:t xml:space="preserve">1.5x on intent premium</w:t>
            </w:r>
          </w:p>
        </w:tc>
      </w:tr>
    </w:tbl>
    <w:p>
      <w:pPr>
        <w:spacing w:after="100"/>
      </w:pPr>
    </w:p>
    <w:p>
      <w:pPr>
        <w:spacing w:after="150"/>
      </w:pPr>
      <w:r>
        <w:rPr>
          <w:rFonts w:ascii="Calibri" w:cs="Calibri" w:eastAsia="Calibri" w:hAnsi="Calibri"/>
          <w:sz w:val="22"/>
          <w:szCs w:val="22"/>
        </w:rPr>
        <w:t xml:space="preserve">Composite score weights: follow-through rate (40%), data richness (30%), tenure + consistency (20%), settlement history (10%). Platinum souls gain exclusive commitment unlock — brands must deposit escrow specifically targeting the Platinum pool.</w:t>
      </w:r>
    </w:p>
    <w:p>
      <w:pPr>
        <w:spacing w:after="150"/>
      </w:pPr>
      <w:r>
        <w:rPr>
          <w:rFonts w:ascii="Calibri" w:cs="Calibri" w:eastAsia="Calibri" w:hAnsi="Calibri"/>
          <w:sz w:val="22"/>
          <w:szCs w:val="22"/>
        </w:rPr>
        <w:t xml:space="preserve">The Soul App displays the current tier badge, progress to next tier, and specific actions to improve: "Connect a financial source → +15% earning boost."</w:t>
      </w:r>
    </w:p>
    <w:p>
      <w:pPr>
        <w:pStyle w:val="Heading2"/>
        <w:spacing w:after="150" w:before="300"/>
      </w:pPr>
      <w:r>
        <w:rPr>
          <w:rFonts w:ascii="Calibri" w:cs="Calibri" w:eastAsia="Calibri" w:hAnsi="Calibri"/>
          <w:b/>
          <w:bCs/>
          <w:color w:val="2E5C8A"/>
          <w:sz w:val="26"/>
          <w:szCs w:val="26"/>
        </w:rPr>
        <w:t xml:space="preserve">2.7 Earning &amp; Withdrawal (ADR-33, ADR-43)</w:t>
      </w:r>
    </w:p>
    <w:p>
      <w:pPr>
        <w:spacing w:after="150"/>
      </w:pPr>
      <w:r>
        <w:rPr>
          <w:rFonts w:ascii="Calibri" w:cs="Calibri" w:eastAsia="Calibri" w:hAnsi="Calibri"/>
          <w:sz w:val="22"/>
          <w:szCs w:val="22"/>
        </w:rPr>
        <w:t xml:space="preserve">Souls earn USDC on Base chain when they claim offers. The BudgetEscrow smart contract atomically settles 90% to the soul and 10% as platform fee — immutable in bytecode, not configurable by PersonalOS (ADR-35). Souls can withdraw earnings to their Coinbase Smart Wallet and offramp to fiat via Coinbase.</w:t>
      </w:r>
    </w:p>
    <w:p>
      <w:pPr>
        <w:pStyle w:val="Heading1"/>
        <w:spacing w:after="200" w:before="400"/>
      </w:pPr>
      <w:r>
        <w:rPr>
          <w:rFonts w:ascii="Calibri" w:cs="Calibri" w:eastAsia="Calibri" w:hAnsi="Calibri"/>
          <w:b/>
          <w:bCs/>
          <w:color w:val="1B3A5C"/>
          <w:sz w:val="32"/>
          <w:szCs w:val="32"/>
        </w:rPr>
        <w:t xml:space="preserve">3. Operator Control Tower — Marketplace Governance</w:t>
      </w:r>
    </w:p>
    <w:p>
      <w:pPr>
        <w:spacing w:after="150"/>
      </w:pPr>
      <w:r>
        <w:rPr>
          <w:rFonts w:ascii="Calibri" w:cs="Calibri" w:eastAsia="Calibri" w:hAnsi="Calibri"/>
          <w:sz w:val="22"/>
          <w:szCs w:val="22"/>
        </w:rPr>
        <w:t xml:space="preserve">The Operator Console is the nerve center of PersonalOS's marketplace — a single-tenant dashboard where the platform operator configures, monitors, and governs all marketplace activity.</w:t>
      </w:r>
    </w:p>
    <w:p>
      <w:pPr>
        <w:pStyle w:val="Heading2"/>
        <w:spacing w:after="150" w:before="300"/>
      </w:pPr>
      <w:r>
        <w:rPr>
          <w:rFonts w:ascii="Calibri" w:cs="Calibri" w:eastAsia="Calibri" w:hAnsi="Calibri"/>
          <w:b/>
          <w:bCs/>
          <w:color w:val="2E5C8A"/>
          <w:sz w:val="26"/>
          <w:szCs w:val="26"/>
        </w:rPr>
        <w:t xml:space="preserve">3.1 Core Capabilities</w:t>
      </w:r>
    </w:p>
    <w:p>
      <w:pPr>
        <w:pStyle w:val="ListParagraph"/>
        <w:numPr>
          <w:ilvl w:val="0"/>
          <w:numId w:val="1"/>
        </w:numPr>
        <w:spacing w:after="80"/>
      </w:pPr>
      <w:r>
        <w:rPr>
          <w:rFonts w:ascii="Calibri" w:cs="Calibri" w:eastAsia="Calibri" w:hAnsi="Calibri"/>
          <w:sz w:val="22"/>
          <w:szCs w:val="22"/>
        </w:rPr>
        <w:t xml:space="preserve">Dashboard: Real-time marketplace metrics — total souls, active brands, pending claims, USDC volume, IACR (Intent-to-Action Conversion Rate).</w:t>
      </w:r>
    </w:p>
    <w:p>
      <w:pPr>
        <w:pStyle w:val="ListParagraph"/>
        <w:numPr>
          <w:ilvl w:val="0"/>
          <w:numId w:val="1"/>
        </w:numPr>
        <w:spacing w:after="80"/>
      </w:pPr>
      <w:r>
        <w:rPr>
          <w:rFonts w:ascii="Calibri" w:cs="Calibri" w:eastAsia="Calibri" w:hAnsi="Calibri"/>
          <w:sz w:val="22"/>
          <w:szCs w:val="22"/>
        </w:rPr>
        <w:t xml:space="preserve">Brand Management: Approve/reject brand applications, monitor listing lifecycle (draft → active → paused → closed), trigger on-chain settlements.</w:t>
      </w:r>
    </w:p>
    <w:p>
      <w:pPr>
        <w:pStyle w:val="ListParagraph"/>
        <w:numPr>
          <w:ilvl w:val="0"/>
          <w:numId w:val="1"/>
        </w:numPr>
        <w:spacing w:after="80"/>
      </w:pPr>
      <w:r>
        <w:rPr>
          <w:rFonts w:ascii="Calibri" w:cs="Calibri" w:eastAsia="Calibri" w:hAnsi="Calibri"/>
          <w:sz w:val="22"/>
          <w:szCs w:val="22"/>
        </w:rPr>
        <w:t xml:space="preserve">Soul Oversight: View aggregate engagement patterns, tier distributions, flag review queues.</w:t>
      </w:r>
    </w:p>
    <w:p>
      <w:pPr>
        <w:pStyle w:val="ListParagraph"/>
        <w:numPr>
          <w:ilvl w:val="0"/>
          <w:numId w:val="1"/>
        </w:numPr>
        <w:spacing w:after="80"/>
      </w:pPr>
      <w:r>
        <w:rPr>
          <w:rFonts w:ascii="Calibri" w:cs="Calibri" w:eastAsia="Calibri" w:hAnsi="Calibri"/>
          <w:sz w:val="22"/>
          <w:szCs w:val="22"/>
        </w:rPr>
        <w:t xml:space="preserve">Matching Engine Configuration: Adjust composite formula weights, category taxonomy, yield floors, and semantic matching parameters.</w:t>
      </w:r>
    </w:p>
    <w:p>
      <w:pPr>
        <w:pStyle w:val="ListParagraph"/>
        <w:numPr>
          <w:ilvl w:val="0"/>
          <w:numId w:val="1"/>
        </w:numPr>
        <w:spacing w:after="80"/>
      </w:pPr>
      <w:r>
        <w:rPr>
          <w:rFonts w:ascii="Calibri" w:cs="Calibri" w:eastAsia="Calibri" w:hAnsi="Calibri"/>
          <w:sz w:val="22"/>
          <w:szCs w:val="22"/>
        </w:rPr>
        <w:t xml:space="preserve">On-Chain Operations: Deploy/manage smart contracts, execute batch settlements, monitor escrow balances.</w:t>
      </w:r>
    </w:p>
    <w:p>
      <w:pPr>
        <w:pStyle w:val="Heading2"/>
        <w:spacing w:after="150" w:before="300"/>
      </w:pPr>
      <w:r>
        <w:rPr>
          <w:rFonts w:ascii="Calibri" w:cs="Calibri" w:eastAsia="Calibri" w:hAnsi="Calibri"/>
          <w:b/>
          <w:bCs/>
          <w:color w:val="2E5C8A"/>
          <w:sz w:val="26"/>
          <w:szCs w:val="26"/>
        </w:rPr>
        <w:t xml:space="preserve">3.2 Brand Scoring Management (ADR-51)</w:t>
      </w:r>
    </w:p>
    <w:p>
      <w:pPr>
        <w:spacing w:after="150"/>
      </w:pPr>
      <w:r>
        <w:rPr>
          <w:rFonts w:ascii="Calibri" w:cs="Calibri" w:eastAsia="Calibri" w:hAnsi="Calibri"/>
          <w:sz w:val="22"/>
          <w:szCs w:val="22"/>
        </w:rPr>
        <w:t xml:space="preserve">The Operator Console provides full control over the brand scoring system:</w:t>
      </w:r>
    </w:p>
    <w:p>
      <w:pPr>
        <w:pStyle w:val="ListParagraph"/>
        <w:numPr>
          <w:ilvl w:val="0"/>
          <w:numId w:val="1"/>
        </w:numPr>
        <w:spacing w:after="80"/>
      </w:pPr>
      <w:r>
        <w:rPr>
          <w:rFonts w:ascii="Calibri" w:cs="Calibri" w:eastAsia="Calibri" w:hAnsi="Calibri"/>
          <w:sz w:val="22"/>
          <w:szCs w:val="22"/>
        </w:rPr>
        <w:t xml:space="preserve">Weights Tab: Adjustable sliders for claim rate (40%), bid fairness (30%), and escrow health (30%) — must sum to 100%.</w:t>
      </w:r>
    </w:p>
    <w:p>
      <w:pPr>
        <w:pStyle w:val="ListParagraph"/>
        <w:numPr>
          <w:ilvl w:val="0"/>
          <w:numId w:val="1"/>
        </w:numPr>
        <w:spacing w:after="80"/>
      </w:pPr>
      <w:r>
        <w:rPr>
          <w:rFonts w:ascii="Calibri" w:cs="Calibri" w:eastAsia="Calibri" w:hAnsi="Calibri"/>
          <w:sz w:val="22"/>
          <w:szCs w:val="22"/>
        </w:rPr>
        <w:t xml:space="preserve">Seasonality Tab: 8×12 editable grid with color-coded cells for category-specific monthly weights.</w:t>
      </w:r>
    </w:p>
    <w:p>
      <w:pPr>
        <w:pStyle w:val="ListParagraph"/>
        <w:numPr>
          <w:ilvl w:val="0"/>
          <w:numId w:val="1"/>
        </w:numPr>
        <w:spacing w:after="80"/>
      </w:pPr>
      <w:r>
        <w:rPr>
          <w:rFonts w:ascii="Calibri" w:cs="Calibri" w:eastAsia="Calibri" w:hAnsi="Calibri"/>
          <w:sz w:val="22"/>
          <w:szCs w:val="22"/>
        </w:rPr>
        <w:t xml:space="preserve">Cohorts Tab: Behavioral cohort definitions with required consent categories and boost values.</w:t>
      </w:r>
    </w:p>
    <w:p>
      <w:pPr>
        <w:pStyle w:val="ListParagraph"/>
        <w:numPr>
          <w:ilvl w:val="0"/>
          <w:numId w:val="1"/>
        </w:numPr>
        <w:spacing w:after="80"/>
      </w:pPr>
      <w:r>
        <w:rPr>
          <w:rFonts w:ascii="Calibri" w:cs="Calibri" w:eastAsia="Calibri" w:hAnsi="Calibri"/>
          <w:sz w:val="22"/>
          <w:szCs w:val="22"/>
        </w:rPr>
        <w:t xml:space="preserve">Badges Tab: Configurable thresholds for Trending, Seasonal Pick, Popular Nearby, and Repeat Favorite badges.</w:t>
      </w:r>
    </w:p>
    <w:p>
      <w:pPr>
        <w:pStyle w:val="Heading2"/>
        <w:spacing w:after="150" w:before="300"/>
      </w:pPr>
      <w:r>
        <w:rPr>
          <w:rFonts w:ascii="Calibri" w:cs="Calibri" w:eastAsia="Calibri" w:hAnsi="Calibri"/>
          <w:b/>
          <w:bCs/>
          <w:color w:val="2E5C8A"/>
          <w:sz w:val="26"/>
          <w:szCs w:val="26"/>
        </w:rPr>
        <w:t xml:space="preserve">3.3 Intent Integrity &amp; Anti-Gaming (ADR-55)</w:t>
      </w:r>
    </w:p>
    <w:p>
      <w:pPr>
        <w:spacing w:after="150"/>
      </w:pPr>
      <w:r>
        <w:rPr>
          <w:rFonts w:ascii="Calibri" w:cs="Calibri" w:eastAsia="Calibri" w:hAnsi="Calibri"/>
          <w:sz w:val="22"/>
          <w:szCs w:val="22"/>
        </w:rPr>
        <w:t xml:space="preserve">The operator manages the intent integrity pipeline:</w:t>
      </w:r>
    </w:p>
    <w:p>
      <w:pPr>
        <w:pStyle w:val="ListParagraph"/>
        <w:numPr>
          <w:ilvl w:val="0"/>
          <w:numId w:val="1"/>
        </w:numPr>
        <w:spacing w:after="80"/>
      </w:pPr>
      <w:r>
        <w:rPr>
          <w:rFonts w:ascii="Calibri" w:cs="Calibri" w:eastAsia="Calibri" w:hAnsi="Calibri"/>
          <w:sz w:val="22"/>
          <w:szCs w:val="22"/>
        </w:rPr>
        <w:t xml:space="preserve">Escalation Queue: Automated flags for integrity scores below 40, sudden declaration spikes, premium-only targeting, and cross-soul coordination patterns.</w:t>
      </w:r>
    </w:p>
    <w:p>
      <w:pPr>
        <w:pStyle w:val="ListParagraph"/>
        <w:numPr>
          <w:ilvl w:val="0"/>
          <w:numId w:val="1"/>
        </w:numPr>
        <w:spacing w:after="80"/>
      </w:pPr>
      <w:r>
        <w:rPr>
          <w:rFonts w:ascii="Calibri" w:cs="Calibri" w:eastAsia="Calibri" w:hAnsi="Calibri"/>
          <w:sz w:val="22"/>
          <w:szCs w:val="22"/>
        </w:rPr>
        <w:t xml:space="preserve">Operator Actions: Approve (override flag), Suspend (temporarily block declaration), Revoke Slots (reduce soul's intent allocation), Warn (educational notification).</w:t>
      </w:r>
    </w:p>
    <w:p>
      <w:pPr>
        <w:pStyle w:val="ListParagraph"/>
        <w:numPr>
          <w:ilvl w:val="0"/>
          <w:numId w:val="1"/>
        </w:numPr>
        <w:spacing w:after="80"/>
      </w:pPr>
      <w:r>
        <w:rPr>
          <w:rFonts w:ascii="Calibri" w:cs="Calibri" w:eastAsia="Calibri" w:hAnsi="Calibri"/>
          <w:sz w:val="22"/>
          <w:szCs w:val="22"/>
        </w:rPr>
        <w:t xml:space="preserve">Brand-Side Monitoring: Reputation bond tracking, cross-brand pattern detection (wallet clustering, claim pattern overlap, score synchronization).</w:t>
      </w:r>
    </w:p>
    <w:p>
      <w:pPr>
        <w:pStyle w:val="ListParagraph"/>
        <w:numPr>
          <w:ilvl w:val="0"/>
          <w:numId w:val="1"/>
        </w:numPr>
        <w:spacing w:after="80"/>
      </w:pPr>
      <w:r>
        <w:rPr>
          <w:rFonts w:ascii="Calibri" w:cs="Calibri" w:eastAsia="Calibri" w:hAnsi="Calibri"/>
          <w:sz w:val="22"/>
          <w:szCs w:val="22"/>
        </w:rPr>
        <w:t xml:space="preserve">Sensitive Category Guardrails: Review and configure which categories require elevated verification (health, fertility, financial distress, mental health, legal, addiction).</w:t>
      </w:r>
    </w:p>
    <w:p>
      <w:pPr>
        <w:pStyle w:val="Heading2"/>
        <w:spacing w:after="150" w:before="300"/>
      </w:pPr>
      <w:r>
        <w:rPr>
          <w:rFonts w:ascii="Calibri" w:cs="Calibri" w:eastAsia="Calibri" w:hAnsi="Calibri"/>
          <w:b/>
          <w:bCs/>
          <w:color w:val="2E5C8A"/>
          <w:sz w:val="26"/>
          <w:szCs w:val="26"/>
        </w:rPr>
        <w:t xml:space="preserve">3.4 North Star Metric: IACR</w:t>
      </w:r>
    </w:p>
    <w:p>
      <w:pPr>
        <w:spacing w:after="150"/>
      </w:pPr>
      <w:r>
        <w:rPr>
          <w:rFonts w:ascii="Calibri" w:cs="Calibri" w:eastAsia="Calibri" w:hAnsi="Calibri"/>
          <w:sz w:val="22"/>
          <w:szCs w:val="22"/>
        </w:rPr>
        <w:t xml:space="preserve">The Operator Console tracks the platform's primary metric — Intent-to-Action Conversion Rate (IACR):</w:t>
      </w:r>
    </w:p>
    <w:p>
      <w:pPr>
        <w:pStyle w:val="ListParagraph"/>
        <w:numPr>
          <w:ilvl w:val="0"/>
          <w:numId w:val="1"/>
        </w:numPr>
        <w:spacing w:after="80"/>
      </w:pPr>
      <w:r>
        <w:rPr>
          <w:rFonts w:ascii="Calibri" w:cs="Calibri" w:eastAsia="Calibri" w:hAnsi="Calibri"/>
          <w:sz w:val="22"/>
          <w:szCs w:val="22"/>
        </w:rPr>
        <w:t xml:space="preserve">Primary: Follow-through within declared window (30-60 days)</w:t>
      </w:r>
    </w:p>
    <w:p>
      <w:pPr>
        <w:pStyle w:val="ListParagraph"/>
        <w:numPr>
          <w:ilvl w:val="0"/>
          <w:numId w:val="1"/>
        </w:numPr>
        <w:spacing w:after="80"/>
      </w:pPr>
      <w:r>
        <w:rPr>
          <w:rFonts w:ascii="Calibri" w:cs="Calibri" w:eastAsia="Calibri" w:hAnsi="Calibri"/>
          <w:sz w:val="22"/>
          <w:szCs w:val="22"/>
        </w:rPr>
        <w:t xml:space="preserve">Extended: Follow-through within window + 30-day grace period</w:t>
      </w:r>
    </w:p>
    <w:p>
      <w:pPr>
        <w:pStyle w:val="ListParagraph"/>
        <w:numPr>
          <w:ilvl w:val="0"/>
          <w:numId w:val="1"/>
        </w:numPr>
        <w:spacing w:after="80"/>
      </w:pPr>
      <w:r>
        <w:rPr>
          <w:rFonts w:ascii="Calibri" w:cs="Calibri" w:eastAsia="Calibri" w:hAnsi="Calibri"/>
          <w:sz w:val="22"/>
          <w:szCs w:val="22"/>
        </w:rPr>
        <w:t xml:space="preserve">Engagement Rate: Verified research activity during window (store visits, comparisons, offer claims)</w:t>
      </w:r>
    </w:p>
    <w:p>
      <w:pPr>
        <w:spacing w:after="150"/>
      </w:pPr>
      <w:r>
        <w:rPr>
          <w:rFonts w:ascii="Calibri" w:cs="Calibri" w:eastAsia="Calibri" w:hAnsi="Calibri"/>
          <w:sz w:val="22"/>
          <w:szCs w:val="22"/>
        </w:rPr>
        <w:t xml:space="preserve">Target: 52% converted within window, 68% within extended window, 84% showed verified engagement.</w:t>
      </w:r>
    </w:p>
    <w:p>
      <w:pPr>
        <w:pStyle w:val="Heading1"/>
        <w:spacing w:after="200" w:before="400"/>
      </w:pPr>
      <w:r>
        <w:rPr>
          <w:rFonts w:ascii="Calibri" w:cs="Calibri" w:eastAsia="Calibri" w:hAnsi="Calibri"/>
          <w:b/>
          <w:bCs/>
          <w:color w:val="1B3A5C"/>
          <w:sz w:val="32"/>
          <w:szCs w:val="32"/>
        </w:rPr>
        <w:t xml:space="preserve">4. Intent Marketplace — Supply Meets Demand</w:t>
      </w:r>
    </w:p>
    <w:p>
      <w:pPr>
        <w:spacing w:after="150"/>
      </w:pPr>
      <w:r>
        <w:rPr>
          <w:rFonts w:ascii="Calibri" w:cs="Calibri" w:eastAsia="Calibri" w:hAnsi="Calibri"/>
          <w:sz w:val="22"/>
          <w:szCs w:val="22"/>
        </w:rPr>
        <w:t xml:space="preserve">The Intent Marketplace is PersonalOS's economic engine — the mechanism that connects soul demand signals to brand supply, with privacy-preserving matching and on-chain settlement.</w:t>
      </w:r>
    </w:p>
    <w:p>
      <w:pPr>
        <w:pStyle w:val="Heading2"/>
        <w:spacing w:after="150" w:before="300"/>
      </w:pPr>
      <w:r>
        <w:rPr>
          <w:rFonts w:ascii="Calibri" w:cs="Calibri" w:eastAsia="Calibri" w:hAnsi="Calibri"/>
          <w:b/>
          <w:bCs/>
          <w:color w:val="2E5C8A"/>
          <w:sz w:val="26"/>
          <w:szCs w:val="26"/>
        </w:rPr>
        <w:t xml:space="preserve">4.1 Three Matching Modes</w:t>
      </w:r>
    </w:p>
    <w:p>
      <w:pPr>
        <w:spacing w:after="150"/>
      </w:pPr>
      <w:r>
        <w:rPr>
          <w:rFonts w:ascii="Calibri" w:cs="Calibri" w:eastAsia="Calibri" w:hAnsi="Calibri"/>
          <w:sz w:val="22"/>
          <w:szCs w:val="22"/>
        </w:rPr>
        <w:t xml:space="preserve">The matching engine (ADR-25, ADR-49, ADR-53) operates in three modes: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pPr>
              <w:jc w:val="center"/>
            </w:pPr>
            <w:r>
              <w:rPr>
                <w:rFonts w:ascii="Calibri" w:cs="Calibri" w:eastAsia="Calibri" w:hAnsi="Calibri"/>
                <w:b/>
                <w:bCs/>
                <w:color w:val="FFFFFF"/>
                <w:sz w:val="20"/>
                <w:szCs w:val="20"/>
              </w:rPr>
              <w:t xml:space="preserve">Mode</w:t>
            </w:r>
          </w:p>
        </w:tc>
        <w:tc>
          <w:tcPr>
            <w:tcW w:type="dxa" w:w="2250"/>
            <w:shd w:fill="1B3A5C"/>
          </w:tcPr>
          <w:p>
            <w:pPr>
              <w:jc w:val="center"/>
            </w:pPr>
            <w:r>
              <w:rPr>
                <w:rFonts w:ascii="Calibri" w:cs="Calibri" w:eastAsia="Calibri" w:hAnsi="Calibri"/>
                <w:b/>
                <w:bCs/>
                <w:color w:val="FFFFFF"/>
                <w:sz w:val="20"/>
                <w:szCs w:val="20"/>
              </w:rPr>
              <w:t xml:space="preserve">Trigger</w:t>
            </w:r>
          </w:p>
        </w:tc>
        <w:tc>
          <w:tcPr>
            <w:tcW w:type="dxa" w:w="2250"/>
            <w:shd w:fill="1B3A5C"/>
          </w:tcPr>
          <w:p>
            <w:pPr>
              <w:jc w:val="center"/>
            </w:pPr>
            <w:r>
              <w:rPr>
                <w:rFonts w:ascii="Calibri" w:cs="Calibri" w:eastAsia="Calibri" w:hAnsi="Calibri"/>
                <w:b/>
                <w:bCs/>
                <w:color w:val="FFFFFF"/>
                <w:sz w:val="20"/>
                <w:szCs w:val="20"/>
              </w:rPr>
              <w:t xml:space="preserve">Formula</w:t>
            </w:r>
          </w:p>
        </w:tc>
        <w:tc>
          <w:tcPr>
            <w:tcW w:type="dxa" w:w="2250"/>
            <w:shd w:fill="1B3A5C"/>
          </w:tcPr>
          <w:p>
            <w:pPr>
              <w:jc w:val="center"/>
            </w:pPr>
            <w:r>
              <w:rPr>
                <w:rFonts w:ascii="Calibri" w:cs="Calibri" w:eastAsia="Calibri" w:hAnsi="Calibri"/>
                <w:b/>
                <w:bCs/>
                <w:color w:val="FFFFFF"/>
                <w:sz w:val="20"/>
                <w:szCs w:val="20"/>
              </w:rPr>
              <w:t xml:space="preserve">Typical Conversion</w:t>
            </w:r>
          </w:p>
        </w:tc>
      </w:tr>
      <w:tr>
        <w:tc>
          <w:tcPr>
            <w:tcW w:type="dxa" w:w="2250"/>
            <w:shd w:fill="F0F4F8"/>
          </w:tcPr>
          <w:p>
            <w:pPr>
              <w:spacing w:after="40" w:before="40"/>
            </w:pPr>
            <w:r>
              <w:rPr>
                <w:rFonts w:ascii="Calibri" w:cs="Calibri" w:eastAsia="Calibri" w:hAnsi="Calibri"/>
                <w:sz w:val="20"/>
                <w:szCs w:val="20"/>
              </w:rPr>
              <w:t xml:space="preserve">Passive Consent</w:t>
            </w:r>
          </w:p>
        </w:tc>
        <w:tc>
          <w:tcPr>
            <w:tcW w:type="dxa" w:w="2250"/>
            <w:shd w:fill="F0F4F8"/>
          </w:tcPr>
          <w:p>
            <w:pPr>
              <w:spacing w:after="40" w:before="40"/>
            </w:pPr>
            <w:r>
              <w:rPr>
                <w:rFonts w:ascii="Calibri" w:cs="Calibri" w:eastAsia="Calibri" w:hAnsi="Calibri"/>
                <w:sz w:val="20"/>
                <w:szCs w:val="20"/>
              </w:rPr>
              <w:t xml:space="preserve">Soul has Level 1 (Open) in category</w:t>
            </w:r>
          </w:p>
        </w:tc>
        <w:tc>
          <w:tcPr>
            <w:tcW w:type="dxa" w:w="2250"/>
            <w:shd w:fill="F0F4F8"/>
          </w:tcPr>
          <w:p>
            <w:pPr>
              <w:spacing w:after="40" w:before="40"/>
            </w:pPr>
            <w:r>
              <w:rPr>
                <w:rFonts w:ascii="Calibri" w:cs="Calibri" w:eastAsia="Calibri" w:hAnsi="Calibri"/>
                <w:sz w:val="20"/>
                <w:szCs w:val="20"/>
              </w:rPr>
              <w:t xml:space="preserve">Bid × Reputation × Recency × BrandScore</w:t>
            </w:r>
          </w:p>
        </w:tc>
        <w:tc>
          <w:tcPr>
            <w:tcW w:type="dxa" w:w="2250"/>
            <w:shd w:fill="F0F4F8"/>
          </w:tcPr>
          <w:p>
            <w:pPr>
              <w:spacing w:after="40" w:before="40"/>
            </w:pPr>
            <w:r>
              <w:rPr>
                <w:rFonts w:ascii="Calibri" w:cs="Calibri" w:eastAsia="Calibri" w:hAnsi="Calibri"/>
                <w:sz w:val="20"/>
                <w:szCs w:val="20"/>
              </w:rPr>
              <w:t xml:space="preserve">3-8%</w:t>
            </w:r>
          </w:p>
        </w:tc>
      </w:tr>
      <w:tr>
        <w:tc>
          <w:tcPr>
            <w:tcW w:type="dxa" w:w="2250"/>
          </w:tcPr>
          <w:p>
            <w:pPr>
              <w:spacing w:after="40" w:before="40"/>
            </w:pPr>
            <w:r>
              <w:rPr>
                <w:rFonts w:ascii="Calibri" w:cs="Calibri" w:eastAsia="Calibri" w:hAnsi="Calibri"/>
                <w:sz w:val="20"/>
                <w:szCs w:val="20"/>
              </w:rPr>
              <w:t xml:space="preserve">Scoring-Triggered</w:t>
            </w:r>
          </w:p>
        </w:tc>
        <w:tc>
          <w:tcPr>
            <w:tcW w:type="dxa" w:w="2250"/>
          </w:tcPr>
          <w:p>
            <w:pPr>
              <w:spacing w:after="40" w:before="40"/>
            </w:pPr>
            <w:r>
              <w:rPr>
                <w:rFonts w:ascii="Calibri" w:cs="Calibri" w:eastAsia="Calibri" w:hAnsi="Calibri"/>
                <w:sz w:val="20"/>
                <w:szCs w:val="20"/>
              </w:rPr>
              <w:t xml:space="preserve">Soul's depth score crosses threshold</w:t>
            </w:r>
          </w:p>
        </w:tc>
        <w:tc>
          <w:tcPr>
            <w:tcW w:type="dxa" w:w="2250"/>
          </w:tcPr>
          <w:p>
            <w:pPr>
              <w:spacing w:after="40" w:before="40"/>
            </w:pPr>
            <w:r>
              <w:rPr>
                <w:rFonts w:ascii="Calibri" w:cs="Calibri" w:eastAsia="Calibri" w:hAnsi="Calibri"/>
                <w:sz w:val="20"/>
                <w:szCs w:val="20"/>
              </w:rPr>
              <w:t xml:space="preserve">Bid × Reputation × Recency × BrandScore × DepthBonus</w:t>
            </w:r>
          </w:p>
        </w:tc>
        <w:tc>
          <w:tcPr>
            <w:tcW w:type="dxa" w:w="2250"/>
          </w:tcPr>
          <w:p>
            <w:pPr>
              <w:spacing w:after="40" w:before="40"/>
            </w:pPr>
            <w:r>
              <w:rPr>
                <w:rFonts w:ascii="Calibri" w:cs="Calibri" w:eastAsia="Calibri" w:hAnsi="Calibri"/>
                <w:sz w:val="20"/>
                <w:szCs w:val="20"/>
              </w:rPr>
              <w:t xml:space="preserve">10-15%</w:t>
            </w:r>
          </w:p>
        </w:tc>
      </w:tr>
      <w:tr>
        <w:tc>
          <w:tcPr>
            <w:tcW w:type="dxa" w:w="2250"/>
            <w:shd w:fill="F0F4F8"/>
          </w:tcPr>
          <w:p>
            <w:pPr>
              <w:spacing w:after="40" w:before="40"/>
            </w:pPr>
            <w:r>
              <w:rPr>
                <w:rFonts w:ascii="Calibri" w:cs="Calibri" w:eastAsia="Calibri" w:hAnsi="Calibri"/>
                <w:sz w:val="20"/>
                <w:szCs w:val="20"/>
              </w:rPr>
              <w:t xml:space="preserve">Intent-Declared</w:t>
            </w:r>
          </w:p>
        </w:tc>
        <w:tc>
          <w:tcPr>
            <w:tcW w:type="dxa" w:w="2250"/>
            <w:shd w:fill="F0F4F8"/>
          </w:tcPr>
          <w:p>
            <w:pPr>
              <w:spacing w:after="40" w:before="40"/>
            </w:pPr>
            <w:r>
              <w:rPr>
                <w:rFonts w:ascii="Calibri" w:cs="Calibri" w:eastAsia="Calibri" w:hAnsi="Calibri"/>
                <w:sz w:val="20"/>
                <w:szCs w:val="20"/>
              </w:rPr>
              <w:t xml:space="preserve">Soul at Level 2-3 (Exploring/Ready)</w:t>
            </w:r>
          </w:p>
        </w:tc>
        <w:tc>
          <w:tcPr>
            <w:tcW w:type="dxa" w:w="2250"/>
            <w:shd w:fill="F0F4F8"/>
          </w:tcPr>
          <w:p>
            <w:pPr>
              <w:spacing w:after="40" w:before="40"/>
            </w:pPr>
            <w:r>
              <w:rPr>
                <w:rFonts w:ascii="Calibri" w:cs="Calibri" w:eastAsia="Calibri" w:hAnsi="Calibri"/>
                <w:sz w:val="20"/>
                <w:szCs w:val="20"/>
              </w:rPr>
              <w:t xml:space="preserve">Bid × IntentPremium × Reputation × Recency × BrandScore × IntentIntegrity</w:t>
            </w:r>
          </w:p>
        </w:tc>
        <w:tc>
          <w:tcPr>
            <w:tcW w:type="dxa" w:w="2250"/>
            <w:shd w:fill="F0F4F8"/>
          </w:tcPr>
          <w:p>
            <w:pPr>
              <w:spacing w:after="40" w:before="40"/>
            </w:pPr>
            <w:r>
              <w:rPr>
                <w:rFonts w:ascii="Calibri" w:cs="Calibri" w:eastAsia="Calibri" w:hAnsi="Calibri"/>
                <w:sz w:val="20"/>
                <w:szCs w:val="20"/>
              </w:rPr>
              <w:t xml:space="preserve">40-60%</w:t>
            </w:r>
          </w:p>
        </w:tc>
      </w:tr>
    </w:tbl>
    <w:p>
      <w:pPr>
        <w:spacing w:after="100"/>
      </w:pPr>
    </w:p>
    <w:p>
      <w:pPr>
        <w:spacing w:after="150"/>
      </w:pPr>
      <w:r>
        <w:rPr>
          <w:rFonts w:ascii="Calibri" w:cs="Calibri" w:eastAsia="Calibri" w:hAnsi="Calibri"/>
          <w:sz w:val="22"/>
          <w:szCs w:val="22"/>
        </w:rPr>
        <w:t xml:space="preserve">The intent-declared mode is the premium tier. IntentPremium is a floating market rate (1.5-5x) based on supply/demand per category. IntentIntegrity (0.7-1.0) discounts suspicious declarations. Soul tier multipliers (1.0x/1.2x/1.5x) stack on top.</w:t>
      </w:r>
    </w:p>
    <w:p>
      <w:pPr>
        <w:pStyle w:val="Heading2"/>
        <w:spacing w:after="150" w:before="300"/>
      </w:pPr>
      <w:r>
        <w:rPr>
          <w:rFonts w:ascii="Calibri" w:cs="Calibri" w:eastAsia="Calibri" w:hAnsi="Calibri"/>
          <w:b/>
          <w:bCs/>
          <w:color w:val="2E5C8A"/>
          <w:sz w:val="26"/>
          <w:szCs w:val="26"/>
        </w:rPr>
        <w:t xml:space="preserve">4.2 Intent Premium Economics</w:t>
      </w:r>
    </w:p>
    <w:p>
      <w:pPr>
        <w:spacing w:after="150"/>
      </w:pPr>
      <w:r>
        <w:rPr>
          <w:rFonts w:ascii="Calibri" w:cs="Calibri" w:eastAsia="Calibri" w:hAnsi="Calibri"/>
          <w:sz w:val="22"/>
          <w:szCs w:val="22"/>
        </w:rPr>
        <w:t xml:space="preserve">The floating premium creates a genuine market: when many souls declare automotive intent but few brands are active in automotive, the premium drops (buyer's market). When brands flood a category but few souls have declared intent, the premium rises (seller's market). This dynamic pricing eliminates the fixed-CPM model that allows intermediary waste.</w:t>
      </w:r>
    </w:p>
    <w:p>
      <w:pPr>
        <w:spacing w:after="150"/>
      </w:pPr>
      <w:r>
        <w:rPr>
          <w:rFonts w:ascii="Calibri" w:cs="Calibri" w:eastAsia="Calibri" w:hAnsi="Calibri"/>
          <w:b/>
          <w:bCs/>
          <w:sz w:val="22"/>
          <w:szCs w:val="22"/>
        </w:rPr>
        <w:t xml:space="preserve">Example: </w:t>
      </w:r>
      <w:r>
        <w:rPr>
          <w:rFonts w:ascii="Calibri" w:cs="Calibri" w:eastAsia="Calibri" w:hAnsi="Calibri"/>
          <w:sz w:val="22"/>
          <w:szCs w:val="22"/>
        </w:rPr>
        <w:t xml:space="preserve">A brand bids $2/claim. A Gold-tier soul has declared Ready intent in this category. IntentPremium is 3x (moderate demand). The claim settlement: $2 × 3.0 × 1.2 (Gold) = $7.20. Soul receives 90% = $6.48. Platform fee = $0.72. Compare to the $30-80 CPA that same brand would pay through Meta or Google, with 3-8% conversion vs. 52% here.</w:t>
      </w:r>
    </w:p>
    <w:p>
      <w:pPr>
        <w:pStyle w:val="Heading2"/>
        <w:spacing w:after="150" w:before="300"/>
      </w:pPr>
      <w:r>
        <w:rPr>
          <w:rFonts w:ascii="Calibri" w:cs="Calibri" w:eastAsia="Calibri" w:hAnsi="Calibri"/>
          <w:b/>
          <w:bCs/>
          <w:color w:val="2E5C8A"/>
          <w:sz w:val="26"/>
          <w:szCs w:val="26"/>
        </w:rPr>
        <w:t xml:space="preserve">4.3 On-Chain Settlement (ADR-33, ADR-35)</w:t>
      </w:r>
    </w:p>
    <w:p>
      <w:pPr>
        <w:spacing w:after="150"/>
      </w:pPr>
      <w:r>
        <w:rPr>
          <w:rFonts w:ascii="Calibri" w:cs="Calibri" w:eastAsia="Calibri" w:hAnsi="Calibri"/>
          <w:sz w:val="22"/>
          <w:szCs w:val="22"/>
        </w:rPr>
        <w:t xml:space="preserve">All settlement happens through the BudgetEscrow smart contract on Base chain:</w:t>
      </w:r>
    </w:p>
    <w:p>
      <w:pPr>
        <w:pStyle w:val="ListParagraph"/>
        <w:numPr>
          <w:ilvl w:val="0"/>
          <w:numId w:val="1"/>
        </w:numPr>
        <w:spacing w:after="80"/>
      </w:pPr>
      <w:r>
        <w:rPr>
          <w:rFonts w:ascii="Calibri" w:cs="Calibri" w:eastAsia="Calibri" w:hAnsi="Calibri"/>
          <w:sz w:val="22"/>
          <w:szCs w:val="22"/>
        </w:rPr>
        <w:t xml:space="preserve">Brands deposit USDC into escrow when creating or funding listings.</w:t>
      </w:r>
    </w:p>
    <w:p>
      <w:pPr>
        <w:pStyle w:val="ListParagraph"/>
        <w:numPr>
          <w:ilvl w:val="0"/>
          <w:numId w:val="1"/>
        </w:numPr>
        <w:spacing w:after="80"/>
      </w:pPr>
      <w:r>
        <w:rPr>
          <w:rFonts w:ascii="Calibri" w:cs="Calibri" w:eastAsia="Calibri" w:hAnsi="Calibri"/>
          <w:sz w:val="22"/>
          <w:szCs w:val="22"/>
        </w:rPr>
        <w:t xml:space="preserve">On claim, the contract atomically splits: 90% to soul's wallet, 10% to platform fee address.</w:t>
      </w:r>
    </w:p>
    <w:p>
      <w:pPr>
        <w:pStyle w:val="ListParagraph"/>
        <w:numPr>
          <w:ilvl w:val="0"/>
          <w:numId w:val="1"/>
        </w:numPr>
        <w:spacing w:after="80"/>
      </w:pPr>
      <w:r>
        <w:rPr>
          <w:rFonts w:ascii="Calibri" w:cs="Calibri" w:eastAsia="Calibri" w:hAnsi="Calibri"/>
          <w:sz w:val="22"/>
          <w:szCs w:val="22"/>
        </w:rPr>
        <w:t xml:space="preserve">The fee split is immutable in bytecode — PersonalOS cannot redirect funds post-deployment.</w:t>
      </w:r>
    </w:p>
    <w:p>
      <w:pPr>
        <w:pStyle w:val="ListParagraph"/>
        <w:numPr>
          <w:ilvl w:val="0"/>
          <w:numId w:val="1"/>
        </w:numPr>
        <w:spacing w:after="80"/>
      </w:pPr>
      <w:r>
        <w:rPr>
          <w:rFonts w:ascii="Calibri" w:cs="Calibri" w:eastAsia="Calibri" w:hAnsi="Calibri"/>
          <w:sz w:val="22"/>
          <w:szCs w:val="22"/>
        </w:rPr>
        <w:t xml:space="preserve">All transactions are publicly verifiable on-chain via Basescan.</w:t>
      </w:r>
    </w:p>
    <w:p>
      <w:pPr>
        <w:spacing w:after="150"/>
      </w:pPr>
      <w:r>
        <w:rPr>
          <w:rFonts w:ascii="Calibri" w:cs="Calibri" w:eastAsia="Calibri" w:hAnsi="Calibri"/>
          <w:sz w:val="22"/>
          <w:szCs w:val="22"/>
        </w:rPr>
        <w:t xml:space="preserve">Source-verified contracts: BudgetEscrow.sol (0x4591...1bd80) and MockUSDC.sol (0xe32a...4537) on Base Sepolia, verified on Sourcify and Blockscout.</w:t>
      </w:r>
    </w:p>
    <w:p>
      <w:pPr>
        <w:pStyle w:val="Heading2"/>
        <w:spacing w:after="150" w:before="300"/>
      </w:pPr>
      <w:r>
        <w:rPr>
          <w:rFonts w:ascii="Calibri" w:cs="Calibri" w:eastAsia="Calibri" w:hAnsi="Calibri"/>
          <w:b/>
          <w:bCs/>
          <w:color w:val="2E5C8A"/>
          <w:sz w:val="26"/>
          <w:szCs w:val="26"/>
        </w:rPr>
        <w:t xml:space="preserve">4.4 Privacy Architecture</w:t>
      </w:r>
    </w:p>
    <w:p>
      <w:pPr>
        <w:spacing w:after="150"/>
      </w:pPr>
      <w:r>
        <w:rPr>
          <w:rFonts w:ascii="Calibri" w:cs="Calibri" w:eastAsia="Calibri" w:hAnsi="Calibri"/>
          <w:sz w:val="22"/>
          <w:szCs w:val="22"/>
        </w:rPr>
        <w:t xml:space="preserve">The marketplace's privacy guarantees are structural, not policy-based:</w:t>
      </w:r>
    </w:p>
    <w:p>
      <w:pPr>
        <w:pStyle w:val="ListParagraph"/>
        <w:numPr>
          <w:ilvl w:val="0"/>
          <w:numId w:val="1"/>
        </w:numPr>
        <w:spacing w:after="80"/>
      </w:pPr>
      <w:r>
        <w:rPr>
          <w:rFonts w:ascii="Calibri" w:cs="Calibri" w:eastAsia="Calibri" w:hAnsi="Calibri"/>
          <w:sz w:val="22"/>
          <w:szCs w:val="22"/>
        </w:rPr>
        <w:t xml:space="preserve">Raw data never leaves the device (ADR-07). On-device processing generates aggregated insight scores.</w:t>
      </w:r>
    </w:p>
    <w:p>
      <w:pPr>
        <w:pStyle w:val="ListParagraph"/>
        <w:numPr>
          <w:ilvl w:val="0"/>
          <w:numId w:val="1"/>
        </w:numPr>
        <w:spacing w:after="80"/>
      </w:pPr>
      <w:r>
        <w:rPr>
          <w:rFonts w:ascii="Calibri" w:cs="Calibri" w:eastAsia="Calibri" w:hAnsi="Calibri"/>
          <w:sz w:val="22"/>
          <w:szCs w:val="22"/>
        </w:rPr>
        <w:t xml:space="preserve">Cross-source intent alignment is computed on-device (ADR-55). Only the alignment score (0-30, a single number) leaves the device — not the raw transaction, location, or health data that produced it.</w:t>
      </w:r>
    </w:p>
    <w:p>
      <w:pPr>
        <w:pStyle w:val="ListParagraph"/>
        <w:numPr>
          <w:ilvl w:val="0"/>
          <w:numId w:val="1"/>
        </w:numPr>
        <w:spacing w:after="80"/>
      </w:pPr>
      <w:r>
        <w:rPr>
          <w:rFonts w:ascii="Calibri" w:cs="Calibri" w:eastAsia="Calibri" w:hAnsi="Calibri"/>
          <w:sz w:val="22"/>
          <w:szCs w:val="22"/>
        </w:rPr>
        <w:t xml:space="preserve">The Exchange never exposes raw transactions or unaggregated scores to brands (ADR-12). Brands see only category-level aggregate demand.</w:t>
      </w:r>
    </w:p>
    <w:p>
      <w:pPr>
        <w:pStyle w:val="ListParagraph"/>
        <w:numPr>
          <w:ilvl w:val="0"/>
          <w:numId w:val="1"/>
        </w:numPr>
        <w:spacing w:after="80"/>
      </w:pPr>
      <w:r>
        <w:rPr>
          <w:rFonts w:ascii="Calibri" w:cs="Calibri" w:eastAsia="Calibri" w:hAnsi="Calibri"/>
          <w:sz w:val="22"/>
          <w:szCs w:val="22"/>
        </w:rPr>
        <w:t xml:space="preserve">Encryption: AES-256-GCM for all data at rest (ADR-08). Passkey destruction = data deletion (ADR-09).</w:t>
      </w:r>
    </w:p>
    <w:p>
      <w:pPr>
        <w:pStyle w:val="ListParagraph"/>
        <w:numPr>
          <w:ilvl w:val="0"/>
          <w:numId w:val="1"/>
        </w:numPr>
        <w:spacing w:after="80"/>
      </w:pPr>
      <w:r>
        <w:rPr>
          <w:rFonts w:ascii="Calibri" w:cs="Calibri" w:eastAsia="Calibri" w:hAnsi="Calibri"/>
          <w:sz w:val="22"/>
          <w:szCs w:val="22"/>
        </w:rPr>
        <w:t xml:space="preserve">Differential privacy on insight scores (ADR-14). Re-identification mitigation (ADR-37).</w:t>
      </w:r>
    </w:p>
    <w:p>
      <w:pPr>
        <w:pStyle w:val="Heading1"/>
        <w:spacing w:after="200" w:before="400"/>
      </w:pPr>
      <w:r>
        <w:rPr>
          <w:rFonts w:ascii="Calibri" w:cs="Calibri" w:eastAsia="Calibri" w:hAnsi="Calibri"/>
          <w:b/>
          <w:bCs/>
          <w:color w:val="1B3A5C"/>
          <w:sz w:val="32"/>
          <w:szCs w:val="32"/>
        </w:rPr>
        <w:t xml:space="preserve">5. Brand Portal — Onboarding, Listing &amp; Scorecarding</w:t>
      </w:r>
    </w:p>
    <w:p>
      <w:pPr>
        <w:spacing w:after="150"/>
      </w:pPr>
      <w:r>
        <w:rPr>
          <w:rFonts w:ascii="Calibri" w:cs="Calibri" w:eastAsia="Calibri" w:hAnsi="Calibri"/>
          <w:sz w:val="22"/>
          <w:szCs w:val="22"/>
        </w:rPr>
        <w:t xml:space="preserve">The Brand Portal is where brands enter the PersonalOS ecosystem — from initial application through active marketplace participation.</w:t>
      </w:r>
    </w:p>
    <w:p>
      <w:pPr>
        <w:pStyle w:val="Heading2"/>
        <w:spacing w:after="150" w:before="300"/>
      </w:pPr>
      <w:r>
        <w:rPr>
          <w:rFonts w:ascii="Calibri" w:cs="Calibri" w:eastAsia="Calibri" w:hAnsi="Calibri"/>
          <w:b/>
          <w:bCs/>
          <w:color w:val="2E5C8A"/>
          <w:sz w:val="26"/>
          <w:szCs w:val="26"/>
        </w:rPr>
        <w:t xml:space="preserve">5.1 Onboarding Lifecycle (ADR-42)</w:t>
      </w:r>
    </w:p>
    <w:p>
      <w:pPr>
        <w:spacing w:after="150"/>
      </w:pPr>
      <w:r>
        <w:rPr>
          <w:rFonts w:ascii="Calibri" w:cs="Calibri" w:eastAsia="Calibri" w:hAnsi="Calibri"/>
          <w:sz w:val="22"/>
          <w:szCs w:val="22"/>
        </w:rPr>
        <w:t xml:space="preserve">Brands progress through a structured lifecycle: Application → Review → Active → Monitoring. The operator approves each brand before marketplace access. Wallet connection (Coinbase Smart Wallet via OnchainKit) and USDC deposit are required before listing creation.</w:t>
      </w:r>
    </w:p>
    <w:p>
      <w:pPr>
        <w:pStyle w:val="Heading2"/>
        <w:spacing w:after="150" w:before="300"/>
      </w:pPr>
      <w:r>
        <w:rPr>
          <w:rFonts w:ascii="Calibri" w:cs="Calibri" w:eastAsia="Calibri" w:hAnsi="Calibri"/>
          <w:b/>
          <w:bCs/>
          <w:color w:val="2E5C8A"/>
          <w:sz w:val="26"/>
          <w:szCs w:val="26"/>
        </w:rPr>
        <w:t xml:space="preserve">5.2 Listing Management</w:t>
      </w:r>
    </w:p>
    <w:p>
      <w:pPr>
        <w:spacing w:after="150"/>
      </w:pPr>
      <w:r>
        <w:rPr>
          <w:rFonts w:ascii="Calibri" w:cs="Calibri" w:eastAsia="Calibri" w:hAnsi="Calibri"/>
          <w:sz w:val="22"/>
          <w:szCs w:val="22"/>
        </w:rPr>
        <w:t xml:space="preserve">Each listing targets a category, sets a bid per claim, and deposits USDC into escrow. With ADR-53's intent system, listings now include:</w:t>
      </w:r>
    </w:p>
    <w:p>
      <w:pPr>
        <w:pStyle w:val="ListParagraph"/>
        <w:numPr>
          <w:ilvl w:val="0"/>
          <w:numId w:val="1"/>
        </w:numPr>
        <w:spacing w:after="80"/>
      </w:pPr>
      <w:r>
        <w:rPr>
          <w:rFonts w:ascii="Calibri" w:cs="Calibri" w:eastAsia="Calibri" w:hAnsi="Calibri"/>
          <w:sz w:val="22"/>
          <w:szCs w:val="22"/>
        </w:rPr>
        <w:t xml:space="preserve">Intent Premium Toggle: Opt in to participate in intent-declared matching at market premium rates.</w:t>
      </w:r>
    </w:p>
    <w:p>
      <w:pPr>
        <w:pStyle w:val="ListParagraph"/>
        <w:numPr>
          <w:ilvl w:val="0"/>
          <w:numId w:val="1"/>
        </w:numPr>
        <w:spacing w:after="80"/>
      </w:pPr>
      <w:r>
        <w:rPr>
          <w:rFonts w:ascii="Calibri" w:cs="Calibri" w:eastAsia="Calibri" w:hAnsi="Calibri"/>
          <w:sz w:val="22"/>
          <w:szCs w:val="22"/>
        </w:rPr>
        <w:t xml:space="preserve">Split Performance View: Side-by-side comparison — "Passive: 12 claims, 8% conversion | Intent: 34 claims, 52% conversion."</w:t>
      </w:r>
    </w:p>
    <w:p>
      <w:pPr>
        <w:pStyle w:val="ListParagraph"/>
        <w:numPr>
          <w:ilvl w:val="0"/>
          <w:numId w:val="1"/>
        </w:numPr>
        <w:spacing w:after="80"/>
      </w:pPr>
      <w:r>
        <w:rPr>
          <w:rFonts w:ascii="Calibri" w:cs="Calibri" w:eastAsia="Calibri" w:hAnsi="Calibri"/>
          <w:sz w:val="22"/>
          <w:szCs w:val="22"/>
        </w:rPr>
        <w:t xml:space="preserve">Aggregate Demand Dashboard (free): View verified intent volume by category, region, and engagement level before committing budget.</w:t>
      </w:r>
    </w:p>
    <w:p>
      <w:pPr>
        <w:pStyle w:val="Heading2"/>
        <w:spacing w:after="150" w:before="300"/>
      </w:pPr>
      <w:r>
        <w:rPr>
          <w:rFonts w:ascii="Calibri" w:cs="Calibri" w:eastAsia="Calibri" w:hAnsi="Calibri"/>
          <w:b/>
          <w:bCs/>
          <w:color w:val="2E5C8A"/>
          <w:sz w:val="26"/>
          <w:szCs w:val="26"/>
        </w:rPr>
        <w:t xml:space="preserve">5.3 Brand Scoring System (ADR-51)</w:t>
      </w:r>
    </w:p>
    <w:p>
      <w:pPr>
        <w:spacing w:after="150"/>
      </w:pPr>
      <w:r>
        <w:rPr>
          <w:rFonts w:ascii="Calibri" w:cs="Calibri" w:eastAsia="Calibri" w:hAnsi="Calibri"/>
          <w:sz w:val="22"/>
          <w:szCs w:val="22"/>
        </w:rPr>
        <w:t xml:space="preserve">Every brand receives a dynamic reputation score (0-100) computed from three weighted signals: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pPr>
              <w:jc w:val="center"/>
            </w:pPr>
            <w:r>
              <w:rPr>
                <w:rFonts w:ascii="Calibri" w:cs="Calibri" w:eastAsia="Calibri" w:hAnsi="Calibri"/>
                <w:b/>
                <w:bCs/>
                <w:color w:val="FFFFFF"/>
                <w:sz w:val="20"/>
                <w:szCs w:val="20"/>
              </w:rPr>
              <w:t xml:space="preserve">Signal</w:t>
            </w:r>
          </w:p>
        </w:tc>
        <w:tc>
          <w:tcPr>
            <w:tcW w:type="dxa" w:w="3000"/>
            <w:shd w:fill="1B3A5C"/>
          </w:tcPr>
          <w:p>
            <w:pPr>
              <w:jc w:val="center"/>
            </w:pPr>
            <w:r>
              <w:rPr>
                <w:rFonts w:ascii="Calibri" w:cs="Calibri" w:eastAsia="Calibri" w:hAnsi="Calibri"/>
                <w:b/>
                <w:bCs/>
                <w:color w:val="FFFFFF"/>
                <w:sz w:val="20"/>
                <w:szCs w:val="20"/>
              </w:rPr>
              <w:t xml:space="preserve">Weight</w:t>
            </w:r>
          </w:p>
        </w:tc>
        <w:tc>
          <w:tcPr>
            <w:tcW w:type="dxa" w:w="3000"/>
            <w:shd w:fill="1B3A5C"/>
          </w:tcPr>
          <w:p>
            <w:pPr>
              <w:jc w:val="center"/>
            </w:pPr>
            <w:r>
              <w:rPr>
                <w:rFonts w:ascii="Calibri" w:cs="Calibri" w:eastAsia="Calibri" w:hAnsi="Calibri"/>
                <w:b/>
                <w:bCs/>
                <w:color w:val="FFFFFF"/>
                <w:sz w:val="20"/>
                <w:szCs w:val="20"/>
              </w:rPr>
              <w:t xml:space="preserve">What It Measures</w:t>
            </w:r>
          </w:p>
        </w:tc>
      </w:tr>
      <w:tr>
        <w:tc>
          <w:tcPr>
            <w:tcW w:type="dxa" w:w="3000"/>
            <w:shd w:fill="F0F4F8"/>
          </w:tcPr>
          <w:p>
            <w:pPr>
              <w:spacing w:after="40" w:before="40"/>
            </w:pPr>
            <w:r>
              <w:rPr>
                <w:rFonts w:ascii="Calibri" w:cs="Calibri" w:eastAsia="Calibri" w:hAnsi="Calibri"/>
                <w:sz w:val="20"/>
                <w:szCs w:val="20"/>
              </w:rPr>
              <w:t xml:space="preserve">Claim Rate</w:t>
            </w:r>
          </w:p>
        </w:tc>
        <w:tc>
          <w:tcPr>
            <w:tcW w:type="dxa" w:w="3000"/>
            <w:shd w:fill="F0F4F8"/>
          </w:tcPr>
          <w:p>
            <w:pPr>
              <w:spacing w:after="40" w:before="40"/>
            </w:pPr>
            <w:r>
              <w:rPr>
                <w:rFonts w:ascii="Calibri" w:cs="Calibri" w:eastAsia="Calibri" w:hAnsi="Calibri"/>
                <w:sz w:val="20"/>
                <w:szCs w:val="20"/>
              </w:rPr>
              <w:t xml:space="preserve">40%</w:t>
            </w:r>
          </w:p>
        </w:tc>
        <w:tc>
          <w:tcPr>
            <w:tcW w:type="dxa" w:w="3000"/>
            <w:shd w:fill="F0F4F8"/>
          </w:tcPr>
          <w:p>
            <w:pPr>
              <w:spacing w:after="40" w:before="40"/>
            </w:pPr>
            <w:r>
              <w:rPr>
                <w:rFonts w:ascii="Calibri" w:cs="Calibri" w:eastAsia="Calibri" w:hAnsi="Calibri"/>
                <w:sz w:val="20"/>
                <w:szCs w:val="20"/>
              </w:rPr>
              <w:t xml:space="preserve">Claims / total offers delivered (7-day trailing)</w:t>
            </w:r>
          </w:p>
        </w:tc>
      </w:tr>
      <w:tr>
        <w:tc>
          <w:tcPr>
            <w:tcW w:type="dxa" w:w="3000"/>
          </w:tcPr>
          <w:p>
            <w:pPr>
              <w:spacing w:after="40" w:before="40"/>
            </w:pPr>
            <w:r>
              <w:rPr>
                <w:rFonts w:ascii="Calibri" w:cs="Calibri" w:eastAsia="Calibri" w:hAnsi="Calibri"/>
                <w:sz w:val="20"/>
                <w:szCs w:val="20"/>
              </w:rPr>
              <w:t xml:space="preserve">Bid Fairness</w:t>
            </w:r>
          </w:p>
        </w:tc>
        <w:tc>
          <w:tcPr>
            <w:tcW w:type="dxa" w:w="3000"/>
          </w:tcPr>
          <w:p>
            <w:pPr>
              <w:spacing w:after="40" w:before="40"/>
            </w:pPr>
            <w:r>
              <w:rPr>
                <w:rFonts w:ascii="Calibri" w:cs="Calibri" w:eastAsia="Calibri" w:hAnsi="Calibri"/>
                <w:sz w:val="20"/>
                <w:szCs w:val="20"/>
              </w:rPr>
              <w:t xml:space="preserve">30%</w:t>
            </w:r>
          </w:p>
        </w:tc>
        <w:tc>
          <w:tcPr>
            <w:tcW w:type="dxa" w:w="3000"/>
          </w:tcPr>
          <w:p>
            <w:pPr>
              <w:spacing w:after="40" w:before="40"/>
            </w:pPr>
            <w:r>
              <w:rPr>
                <w:rFonts w:ascii="Calibri" w:cs="Calibri" w:eastAsia="Calibri" w:hAnsi="Calibri"/>
                <w:sz w:val="20"/>
                <w:szCs w:val="20"/>
              </w:rPr>
              <w:t xml:space="preserve">Percentile rank of bid within category</w:t>
            </w:r>
          </w:p>
        </w:tc>
      </w:tr>
      <w:tr>
        <w:tc>
          <w:tcPr>
            <w:tcW w:type="dxa" w:w="3000"/>
            <w:shd w:fill="F0F4F8"/>
          </w:tcPr>
          <w:p>
            <w:pPr>
              <w:spacing w:after="40" w:before="40"/>
            </w:pPr>
            <w:r>
              <w:rPr>
                <w:rFonts w:ascii="Calibri" w:cs="Calibri" w:eastAsia="Calibri" w:hAnsi="Calibri"/>
                <w:sz w:val="20"/>
                <w:szCs w:val="20"/>
              </w:rPr>
              <w:t xml:space="preserve">Escrow Health</w:t>
            </w:r>
          </w:p>
        </w:tc>
        <w:tc>
          <w:tcPr>
            <w:tcW w:type="dxa" w:w="3000"/>
            <w:shd w:fill="F0F4F8"/>
          </w:tcPr>
          <w:p>
            <w:pPr>
              <w:spacing w:after="40" w:before="40"/>
            </w:pPr>
            <w:r>
              <w:rPr>
                <w:rFonts w:ascii="Calibri" w:cs="Calibri" w:eastAsia="Calibri" w:hAnsi="Calibri"/>
                <w:sz w:val="20"/>
                <w:szCs w:val="20"/>
              </w:rPr>
              <w:t xml:space="preserve">30%</w:t>
            </w:r>
          </w:p>
        </w:tc>
        <w:tc>
          <w:tcPr>
            <w:tcW w:type="dxa" w:w="3000"/>
            <w:shd w:fill="F0F4F8"/>
          </w:tcPr>
          <w:p>
            <w:pPr>
              <w:spacing w:after="40" w:before="40"/>
            </w:pPr>
            <w:r>
              <w:rPr>
                <w:rFonts w:ascii="Calibri" w:cs="Calibri" w:eastAsia="Calibri" w:hAnsi="Calibri"/>
                <w:sz w:val="20"/>
                <w:szCs w:val="20"/>
              </w:rPr>
              <w:t xml:space="preserve">Remaining runway in claims (tier-based)</w:t>
            </w:r>
          </w:p>
        </w:tc>
      </w:tr>
    </w:tbl>
    <w:p>
      <w:pPr>
        <w:spacing w:after="100"/>
      </w:pPr>
    </w:p>
    <w:p>
      <w:pPr>
        <w:spacing w:after="150"/>
      </w:pPr>
      <w:r>
        <w:rPr>
          <w:rFonts w:ascii="Calibri" w:cs="Calibri" w:eastAsia="Calibri" w:hAnsi="Calibri"/>
          <w:sz w:val="22"/>
          <w:szCs w:val="22"/>
        </w:rPr>
        <w:t xml:space="preserve">Contextual multipliers adjust for trend (0.9-1.2x), seasonality (0.8-1.2x), geography (1.0-1.1x), and cohort affinity (1.0-1.1x). Final contextual score can reach 130.</w:t>
      </w:r>
    </w:p>
    <w:p>
      <w:pPr>
        <w:pStyle w:val="Heading2"/>
        <w:spacing w:after="150" w:before="300"/>
      </w:pPr>
      <w:r>
        <w:rPr>
          <w:rFonts w:ascii="Calibri" w:cs="Calibri" w:eastAsia="Calibri" w:hAnsi="Calibri"/>
          <w:b/>
          <w:bCs/>
          <w:color w:val="2E5C8A"/>
          <w:sz w:val="26"/>
          <w:szCs w:val="26"/>
        </w:rPr>
        <w:t xml:space="preserve">5.4 Badge System</w:t>
      </w:r>
    </w:p>
    <w:p>
      <w:pPr>
        <w:spacing w:after="150"/>
      </w:pPr>
      <w:r>
        <w:rPr>
          <w:rFonts w:ascii="Calibri" w:cs="Calibri" w:eastAsia="Calibri" w:hAnsi="Calibri"/>
          <w:sz w:val="22"/>
          <w:szCs w:val="22"/>
        </w:rPr>
        <w:t xml:space="preserve">Single highest-priority badge per brand, displayed on offer cards in Soul App:</w:t>
      </w:r>
    </w:p>
    <w:p>
      <w:pPr>
        <w:pStyle w:val="ListParagraph"/>
        <w:numPr>
          <w:ilvl w:val="0"/>
          <w:numId w:val="1"/>
        </w:numPr>
        <w:spacing w:after="80"/>
      </w:pPr>
      <w:r>
        <w:rPr>
          <w:rFonts w:ascii="Calibri" w:cs="Calibri" w:eastAsia="Calibri" w:hAnsi="Calibri"/>
          <w:sz w:val="22"/>
          <w:szCs w:val="22"/>
        </w:rPr>
        <w:t xml:space="preserve">Trending (highest priority): Trend multiplier ≥ 1.10</w:t>
      </w:r>
    </w:p>
    <w:p>
      <w:pPr>
        <w:pStyle w:val="ListParagraph"/>
        <w:numPr>
          <w:ilvl w:val="0"/>
          <w:numId w:val="1"/>
        </w:numPr>
        <w:spacing w:after="80"/>
      </w:pPr>
      <w:r>
        <w:rPr>
          <w:rFonts w:ascii="Calibri" w:cs="Calibri" w:eastAsia="Calibri" w:hAnsi="Calibri"/>
          <w:sz w:val="22"/>
          <w:szCs w:val="22"/>
        </w:rPr>
        <w:t xml:space="preserve">Seasonal Pick: Seasonality multiplier ≥ 1.10</w:t>
      </w:r>
    </w:p>
    <w:p>
      <w:pPr>
        <w:pStyle w:val="ListParagraph"/>
        <w:numPr>
          <w:ilvl w:val="0"/>
          <w:numId w:val="1"/>
        </w:numPr>
        <w:spacing w:after="80"/>
      </w:pPr>
      <w:r>
        <w:rPr>
          <w:rFonts w:ascii="Calibri" w:cs="Calibri" w:eastAsia="Calibri" w:hAnsi="Calibri"/>
          <w:sz w:val="22"/>
          <w:szCs w:val="22"/>
        </w:rPr>
        <w:t xml:space="preserve">Popular Nearby: Geography match boost active</w:t>
      </w:r>
    </w:p>
    <w:p>
      <w:pPr>
        <w:pStyle w:val="ListParagraph"/>
        <w:numPr>
          <w:ilvl w:val="0"/>
          <w:numId w:val="1"/>
        </w:numPr>
        <w:spacing w:after="80"/>
      </w:pPr>
      <w:r>
        <w:rPr>
          <w:rFonts w:ascii="Calibri" w:cs="Calibri" w:eastAsia="Calibri" w:hAnsi="Calibri"/>
          <w:sz w:val="22"/>
          <w:szCs w:val="22"/>
        </w:rPr>
        <w:t xml:space="preserve">Repeat Favorite (lowest priority): Soul has 3+ prior settlements with this brand</w:t>
      </w:r>
    </w:p>
    <w:p>
      <w:pPr>
        <w:pStyle w:val="Heading2"/>
        <w:spacing w:after="150" w:before="300"/>
      </w:pPr>
      <w:r>
        <w:rPr>
          <w:rFonts w:ascii="Calibri" w:cs="Calibri" w:eastAsia="Calibri" w:hAnsi="Calibri"/>
          <w:b/>
          <w:bCs/>
          <w:color w:val="2E5C8A"/>
          <w:sz w:val="26"/>
          <w:szCs w:val="26"/>
        </w:rPr>
        <w:t xml:space="preserve">5.5 Score-Gated Engagement Access</w:t>
      </w:r>
    </w:p>
    <w:p>
      <w:pPr>
        <w:spacing w:after="150"/>
      </w:pPr>
      <w:r>
        <w:rPr>
          <w:rFonts w:ascii="Calibri" w:cs="Calibri" w:eastAsia="Calibri" w:hAnsi="Calibri"/>
          <w:sz w:val="22"/>
          <w:szCs w:val="22"/>
        </w:rPr>
        <w:t xml:space="preserve">Brand scores gate access to higher-engagement souls:</w:t>
      </w:r>
    </w:p>
    <w:p>
      <w:pPr>
        <w:pStyle w:val="ListParagraph"/>
        <w:numPr>
          <w:ilvl w:val="0"/>
          <w:numId w:val="1"/>
        </w:numPr>
        <w:spacing w:after="80"/>
      </w:pPr>
      <w:r>
        <w:rPr>
          <w:rFonts w:ascii="Calibri" w:cs="Calibri" w:eastAsia="Calibri" w:hAnsi="Calibri"/>
          <w:sz w:val="22"/>
          <w:szCs w:val="22"/>
        </w:rPr>
        <w:t xml:space="preserve">Level 1 (Open): Any active brand</w:t>
      </w:r>
    </w:p>
    <w:p>
      <w:pPr>
        <w:pStyle w:val="ListParagraph"/>
        <w:numPr>
          <w:ilvl w:val="0"/>
          <w:numId w:val="1"/>
        </w:numPr>
        <w:spacing w:after="80"/>
      </w:pPr>
      <w:r>
        <w:rPr>
          <w:rFonts w:ascii="Calibri" w:cs="Calibri" w:eastAsia="Calibri" w:hAnsi="Calibri"/>
          <w:sz w:val="22"/>
          <w:szCs w:val="22"/>
        </w:rPr>
        <w:t xml:space="preserve">Level 2 (Exploring): Brand score 50+ required</w:t>
      </w:r>
    </w:p>
    <w:p>
      <w:pPr>
        <w:pStyle w:val="ListParagraph"/>
        <w:numPr>
          <w:ilvl w:val="0"/>
          <w:numId w:val="1"/>
        </w:numPr>
        <w:spacing w:after="80"/>
      </w:pPr>
      <w:r>
        <w:rPr>
          <w:rFonts w:ascii="Calibri" w:cs="Calibri" w:eastAsia="Calibri" w:hAnsi="Calibri"/>
          <w:sz w:val="22"/>
          <w:szCs w:val="22"/>
        </w:rPr>
        <w:t xml:space="preserve">Level 3 (Ready): Brand score 70+ OR Trending badge required</w:t>
      </w:r>
    </w:p>
    <w:p>
      <w:pPr>
        <w:spacing w:after="150"/>
      </w:pPr>
      <w:r>
        <w:rPr>
          <w:rFonts w:ascii="Calibri" w:cs="Calibri" w:eastAsia="Calibri" w:hAnsi="Calibri"/>
          <w:sz w:val="22"/>
          <w:szCs w:val="22"/>
        </w:rPr>
        <w:t xml:space="preserve">This protects premium souls from low-quality brands while incentivizing brands to maintain high performance.</w:t>
      </w:r>
    </w:p>
    <w:p>
      <w:pPr>
        <w:pStyle w:val="Heading2"/>
        <w:spacing w:after="150" w:before="300"/>
      </w:pPr>
      <w:r>
        <w:rPr>
          <w:rFonts w:ascii="Calibri" w:cs="Calibri" w:eastAsia="Calibri" w:hAnsi="Calibri"/>
          <w:b/>
          <w:bCs/>
          <w:color w:val="2E5C8A"/>
          <w:sz w:val="26"/>
          <w:szCs w:val="26"/>
        </w:rPr>
        <w:t xml:space="preserve">5.6 Reputation Bond &amp; Anti-Gaming (ADR-55)</w:t>
      </w:r>
    </w:p>
    <w:p>
      <w:pPr>
        <w:spacing w:after="150"/>
      </w:pPr>
      <w:r>
        <w:rPr>
          <w:rFonts w:ascii="Calibri" w:cs="Calibri" w:eastAsia="Calibri" w:hAnsi="Calibri"/>
          <w:sz w:val="22"/>
          <w:szCs w:val="22"/>
        </w:rPr>
        <w:t xml:space="preserve">Every brand deposits a refundable USDC reputation bond ($1-5K, scaling with bid level) beyond their listing escrow. The bond is slashed on confirmed manipulation. Cross-brand pattern detection identifies wallet clustering, claim pattern overlap, score synchronization, and Platinum-only targeting anomalies.</w:t>
      </w:r>
    </w:p>
    <w:p>
      <w:pPr>
        <w:pStyle w:val="Heading1"/>
        <w:spacing w:after="200" w:before="400"/>
      </w:pPr>
      <w:r>
        <w:rPr>
          <w:rFonts w:ascii="Calibri" w:cs="Calibri" w:eastAsia="Calibri" w:hAnsi="Calibri"/>
          <w:b/>
          <w:bCs/>
          <w:color w:val="1B3A5C"/>
          <w:sz w:val="32"/>
          <w:szCs w:val="32"/>
        </w:rPr>
        <w:t xml:space="preserve">6. Why PersonalOS Wins — Structural Advantages</w:t>
      </w:r>
    </w:p>
    <w:p>
      <w:pPr>
        <w:pStyle w:val="Heading2"/>
        <w:spacing w:after="150" w:before="300"/>
      </w:pPr>
      <w:r>
        <w:rPr>
          <w:rFonts w:ascii="Calibri" w:cs="Calibri" w:eastAsia="Calibri" w:hAnsi="Calibri"/>
          <w:b/>
          <w:bCs/>
          <w:color w:val="2E5C8A"/>
          <w:sz w:val="26"/>
          <w:szCs w:val="26"/>
        </w:rPr>
        <w:t xml:space="preserve">6.1 The Cross-Source Moat</w:t>
      </w:r>
    </w:p>
    <w:p>
      <w:pPr>
        <w:spacing w:after="150"/>
      </w:pPr>
      <w:r>
        <w:rPr>
          <w:rFonts w:ascii="Calibri" w:cs="Calibri" w:eastAsia="Calibri" w:hAnsi="Calibri"/>
          <w:sz w:val="22"/>
          <w:szCs w:val="22"/>
        </w:rPr>
        <w:t xml:space="preserve">No single platform — Meta, Google, Apple, Amazon — can assemble the cross-source data synthesis needed for accurate intent prediction. Each owns only one data silo. PersonalOS can, because the user brings their own data from every source. This is not a feature advantage — it is a structural impossibility for any incumbent to replicate without becoming a neutral data platform themselves.</w:t>
      </w:r>
    </w:p>
    <w:p>
      <w:pPr>
        <w:pStyle w:val="Heading2"/>
        <w:spacing w:after="150" w:before="300"/>
      </w:pPr>
      <w:r>
        <w:rPr>
          <w:rFonts w:ascii="Calibri" w:cs="Calibri" w:eastAsia="Calibri" w:hAnsi="Calibri"/>
          <w:b/>
          <w:bCs/>
          <w:color w:val="2E5C8A"/>
          <w:sz w:val="26"/>
          <w:szCs w:val="26"/>
        </w:rPr>
        <w:t xml:space="preserve">6.2 Privacy as Architecture, Not Policy</w:t>
      </w:r>
    </w:p>
    <w:p>
      <w:pPr>
        <w:spacing w:after="150"/>
      </w:pPr>
      <w:r>
        <w:rPr>
          <w:rFonts w:ascii="Calibri" w:cs="Calibri" w:eastAsia="Calibri" w:hAnsi="Calibri"/>
          <w:sz w:val="22"/>
          <w:szCs w:val="22"/>
        </w:rPr>
        <w:t xml:space="preserve">PersonalOS's privacy guarantees are enforced by the system design, not by promises. Raw data never leaves the device — this is not a setting that can be changed, but a property of the architecture. On-chain settlement with immutable fee splits means PersonalOS cannot redirect funds even if it wanted to. Passkey destruction equals data deletion — there is no backup to resurrect.</w:t>
      </w:r>
    </w:p>
    <w:p>
      <w:pPr>
        <w:pStyle w:val="Heading2"/>
        <w:spacing w:after="150" w:before="300"/>
      </w:pPr>
      <w:r>
        <w:rPr>
          <w:rFonts w:ascii="Calibri" w:cs="Calibri" w:eastAsia="Calibri" w:hAnsi="Calibri"/>
          <w:b/>
          <w:bCs/>
          <w:color w:val="2E5C8A"/>
          <w:sz w:val="26"/>
          <w:szCs w:val="26"/>
        </w:rPr>
        <w:t xml:space="preserve">6.3 Dual-Sided Quality Flywheel</w:t>
      </w:r>
    </w:p>
    <w:p>
      <w:pPr>
        <w:spacing w:after="150"/>
      </w:pPr>
      <w:r>
        <w:rPr>
          <w:rFonts w:ascii="Calibri" w:cs="Calibri" w:eastAsia="Calibri" w:hAnsi="Calibri"/>
          <w:sz w:val="22"/>
          <w:szCs w:val="22"/>
        </w:rPr>
        <w:t xml:space="preserve">The tier system (ADR-54) and brand scoring (ADR-51) create a positive-sum flywheel: souls are motivated to connect more sources and follow through on intents (improving data quality), while brands are motivated to bid higher for proven, high-tier souls (increasing soul earnings). Quality begets quality. This is the structural antidote to the Taboola/Outbrain degradation pattern.</w:t>
      </w:r>
    </w:p>
    <w:p>
      <w:pPr>
        <w:pStyle w:val="Heading2"/>
        <w:spacing w:after="150" w:before="300"/>
      </w:pPr>
      <w:r>
        <w:rPr>
          <w:rFonts w:ascii="Calibri" w:cs="Calibri" w:eastAsia="Calibri" w:hAnsi="Calibri"/>
          <w:b/>
          <w:bCs/>
          <w:color w:val="2E5C8A"/>
          <w:sz w:val="26"/>
          <w:szCs w:val="26"/>
        </w:rPr>
        <w:t xml:space="preserve">6.4 Intent Integrity as Defensibility</w:t>
      </w:r>
    </w:p>
    <w:p>
      <w:pPr>
        <w:spacing w:after="150"/>
      </w:pPr>
      <w:r>
        <w:rPr>
          <w:rFonts w:ascii="Calibri" w:cs="Calibri" w:eastAsia="Calibri" w:hAnsi="Calibri"/>
          <w:sz w:val="22"/>
          <w:szCs w:val="22"/>
        </w:rPr>
        <w:t xml:space="preserve">The five-component intent integrity score (ADR-55) — cross-source alignment, follow-through history, category base rates, timing plausibility, soul tier bonus — creates a verification layer that cannot be gamed without sustained real-world behavior across multiple data sources. The cost of gaming exceeds the reward within 2-3 cycles.</w:t>
      </w:r>
    </w:p>
    <w:p>
      <w:pPr>
        <w:pStyle w:val="Heading1"/>
        <w:spacing w:after="200" w:before="400"/>
      </w:pPr>
      <w:r>
        <w:rPr>
          <w:rFonts w:ascii="Calibri" w:cs="Calibri" w:eastAsia="Calibri" w:hAnsi="Calibri"/>
          <w:b/>
          <w:bCs/>
          <w:color w:val="1B3A5C"/>
          <w:sz w:val="32"/>
          <w:szCs w:val="32"/>
        </w:rPr>
        <w:t xml:space="preserve">7. Architecture Decision Record Index</w:t>
      </w:r>
    </w:p>
    <w:p>
      <w:pPr>
        <w:spacing w:after="150"/>
      </w:pPr>
      <w:r>
        <w:rPr>
          <w:rFonts w:ascii="Calibri" w:cs="Calibri" w:eastAsia="Calibri" w:hAnsi="Calibri"/>
          <w:sz w:val="22"/>
          <w:szCs w:val="22"/>
        </w:rPr>
        <w:t xml:space="preserve">PersonalOS is defined by 55 ADRs spanning data harvesting, privacy, security, marketplace mechanics, on-chain settlement, and platform governance. Key clusters: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pPr>
              <w:jc w:val="center"/>
            </w:pPr>
            <w:r>
              <w:rPr>
                <w:rFonts w:ascii="Calibri" w:cs="Calibri" w:eastAsia="Calibri" w:hAnsi="Calibri"/>
                <w:b/>
                <w:bCs/>
                <w:color w:val="FFFFFF"/>
                <w:sz w:val="20"/>
                <w:szCs w:val="20"/>
              </w:rPr>
              <w:t xml:space="preserve">ADR Range</w:t>
            </w:r>
          </w:p>
        </w:tc>
        <w:tc>
          <w:tcPr>
            <w:tcW w:type="dxa" w:w="3000"/>
            <w:shd w:fill="1B3A5C"/>
          </w:tcPr>
          <w:p>
            <w:pPr>
              <w:jc w:val="center"/>
            </w:pPr>
            <w:r>
              <w:rPr>
                <w:rFonts w:ascii="Calibri" w:cs="Calibri" w:eastAsia="Calibri" w:hAnsi="Calibri"/>
                <w:b/>
                <w:bCs/>
                <w:color w:val="FFFFFF"/>
                <w:sz w:val="20"/>
                <w:szCs w:val="20"/>
              </w:rPr>
              <w:t xml:space="preserve">Domain</w:t>
            </w:r>
          </w:p>
        </w:tc>
        <w:tc>
          <w:tcPr>
            <w:tcW w:type="dxa" w:w="3000"/>
            <w:shd w:fill="1B3A5C"/>
          </w:tcPr>
          <w:p>
            <w:pPr>
              <w:jc w:val="center"/>
            </w:pPr>
            <w:r>
              <w:rPr>
                <w:rFonts w:ascii="Calibri" w:cs="Calibri" w:eastAsia="Calibri" w:hAnsi="Calibri"/>
                <w:b/>
                <w:bCs/>
                <w:color w:val="FFFFFF"/>
                <w:sz w:val="20"/>
                <w:szCs w:val="20"/>
              </w:rPr>
              <w:t xml:space="preserve">Key Decisions</w:t>
            </w:r>
          </w:p>
        </w:tc>
      </w:tr>
      <w:tr>
        <w:tc>
          <w:tcPr>
            <w:tcW w:type="dxa" w:w="3000"/>
            <w:shd w:fill="F0F4F8"/>
          </w:tcPr>
          <w:p>
            <w:pPr>
              <w:spacing w:after="40" w:before="40"/>
            </w:pPr>
            <w:r>
              <w:rPr>
                <w:rFonts w:ascii="Calibri" w:cs="Calibri" w:eastAsia="Calibri" w:hAnsi="Calibri"/>
                <w:sz w:val="20"/>
                <w:szCs w:val="20"/>
              </w:rPr>
              <w:t xml:space="preserve">01-05</w:t>
            </w:r>
          </w:p>
        </w:tc>
        <w:tc>
          <w:tcPr>
            <w:tcW w:type="dxa" w:w="3000"/>
            <w:shd w:fill="F0F4F8"/>
          </w:tcPr>
          <w:p>
            <w:pPr>
              <w:spacing w:after="40" w:before="40"/>
            </w:pPr>
            <w:r>
              <w:rPr>
                <w:rFonts w:ascii="Calibri" w:cs="Calibri" w:eastAsia="Calibri" w:hAnsi="Calibri"/>
                <w:sz w:val="20"/>
                <w:szCs w:val="20"/>
              </w:rPr>
              <w:t xml:space="preserve">Data Harvesting</w:t>
            </w:r>
          </w:p>
        </w:tc>
        <w:tc>
          <w:tcPr>
            <w:tcW w:type="dxa" w:w="3000"/>
            <w:shd w:fill="F0F4F8"/>
          </w:tcPr>
          <w:p>
            <w:pPr>
              <w:spacing w:after="40" w:before="40"/>
            </w:pPr>
            <w:r>
              <w:rPr>
                <w:rFonts w:ascii="Calibri" w:cs="Calibri" w:eastAsia="Calibri" w:hAnsi="Calibri"/>
                <w:sz w:val="20"/>
                <w:szCs w:val="20"/>
              </w:rPr>
              <w:t xml:space="preserve">Multi-source connectors, tiered onboarding</w:t>
            </w:r>
          </w:p>
        </w:tc>
      </w:tr>
      <w:tr>
        <w:tc>
          <w:tcPr>
            <w:tcW w:type="dxa" w:w="3000"/>
          </w:tcPr>
          <w:p>
            <w:pPr>
              <w:spacing w:after="40" w:before="40"/>
            </w:pPr>
            <w:r>
              <w:rPr>
                <w:rFonts w:ascii="Calibri" w:cs="Calibri" w:eastAsia="Calibri" w:hAnsi="Calibri"/>
                <w:sz w:val="20"/>
                <w:szCs w:val="20"/>
              </w:rPr>
              <w:t xml:space="preserve">06-11</w:t>
            </w:r>
          </w:p>
        </w:tc>
        <w:tc>
          <w:tcPr>
            <w:tcW w:type="dxa" w:w="3000"/>
          </w:tcPr>
          <w:p>
            <w:pPr>
              <w:spacing w:after="40" w:before="40"/>
            </w:pPr>
            <w:r>
              <w:rPr>
                <w:rFonts w:ascii="Calibri" w:cs="Calibri" w:eastAsia="Calibri" w:hAnsi="Calibri"/>
                <w:sz w:val="20"/>
                <w:szCs w:val="20"/>
              </w:rPr>
              <w:t xml:space="preserve">Insight Engine</w:t>
            </w:r>
          </w:p>
        </w:tc>
        <w:tc>
          <w:tcPr>
            <w:tcW w:type="dxa" w:w="3000"/>
          </w:tcPr>
          <w:p>
            <w:pPr>
              <w:spacing w:after="40" w:before="40"/>
            </w:pPr>
            <w:r>
              <w:rPr>
                <w:rFonts w:ascii="Calibri" w:cs="Calibri" w:eastAsia="Calibri" w:hAnsi="Calibri"/>
                <w:sz w:val="20"/>
                <w:szCs w:val="20"/>
              </w:rPr>
              <w:t xml:space="preserve">On-device processing, AES-256-GCM encryption, Arweave ledger</w:t>
            </w:r>
          </w:p>
        </w:tc>
      </w:tr>
      <w:tr>
        <w:tc>
          <w:tcPr>
            <w:tcW w:type="dxa" w:w="3000"/>
            <w:shd w:fill="F0F4F8"/>
          </w:tcPr>
          <w:p>
            <w:pPr>
              <w:spacing w:after="40" w:before="40"/>
            </w:pPr>
            <w:r>
              <w:rPr>
                <w:rFonts w:ascii="Calibri" w:cs="Calibri" w:eastAsia="Calibri" w:hAnsi="Calibri"/>
                <w:sz w:val="20"/>
                <w:szCs w:val="20"/>
              </w:rPr>
              <w:t xml:space="preserve">12-16</w:t>
            </w:r>
          </w:p>
        </w:tc>
        <w:tc>
          <w:tcPr>
            <w:tcW w:type="dxa" w:w="3000"/>
            <w:shd w:fill="F0F4F8"/>
          </w:tcPr>
          <w:p>
            <w:pPr>
              <w:spacing w:after="40" w:before="40"/>
            </w:pPr>
            <w:r>
              <w:rPr>
                <w:rFonts w:ascii="Calibri" w:cs="Calibri" w:eastAsia="Calibri" w:hAnsi="Calibri"/>
                <w:sz w:val="20"/>
                <w:szCs w:val="20"/>
              </w:rPr>
              <w:t xml:space="preserve">Privacy &amp; Exchange</w:t>
            </w:r>
          </w:p>
        </w:tc>
        <w:tc>
          <w:tcPr>
            <w:tcW w:type="dxa" w:w="3000"/>
            <w:shd w:fill="F0F4F8"/>
          </w:tcPr>
          <w:p>
            <w:pPr>
              <w:spacing w:after="40" w:before="40"/>
            </w:pPr>
            <w:r>
              <w:rPr>
                <w:rFonts w:ascii="Calibri" w:cs="Calibri" w:eastAsia="Calibri" w:hAnsi="Calibri"/>
                <w:sz w:val="20"/>
                <w:szCs w:val="20"/>
              </w:rPr>
              <w:t xml:space="preserve">Consent tokens, differential privacy, health data guardrails</w:t>
            </w:r>
          </w:p>
        </w:tc>
      </w:tr>
      <w:tr>
        <w:tc>
          <w:tcPr>
            <w:tcW w:type="dxa" w:w="3000"/>
          </w:tcPr>
          <w:p>
            <w:pPr>
              <w:spacing w:after="40" w:before="40"/>
            </w:pPr>
            <w:r>
              <w:rPr>
                <w:rFonts w:ascii="Calibri" w:cs="Calibri" w:eastAsia="Calibri" w:hAnsi="Calibri"/>
                <w:sz w:val="20"/>
                <w:szCs w:val="20"/>
              </w:rPr>
              <w:t xml:space="preserve">17-19</w:t>
            </w:r>
          </w:p>
        </w:tc>
        <w:tc>
          <w:tcPr>
            <w:tcW w:type="dxa" w:w="3000"/>
          </w:tcPr>
          <w:p>
            <w:pPr>
              <w:spacing w:after="40" w:before="40"/>
            </w:pPr>
            <w:r>
              <w:rPr>
                <w:rFonts w:ascii="Calibri" w:cs="Calibri" w:eastAsia="Calibri" w:hAnsi="Calibri"/>
                <w:sz w:val="20"/>
                <w:szCs w:val="20"/>
              </w:rPr>
              <w:t xml:space="preserve">SoulMind</w:t>
            </w:r>
          </w:p>
        </w:tc>
        <w:tc>
          <w:tcPr>
            <w:tcW w:type="dxa" w:w="3000"/>
          </w:tcPr>
          <w:p>
            <w:pPr>
              <w:spacing w:after="40" w:before="40"/>
            </w:pPr>
            <w:r>
              <w:rPr>
                <w:rFonts w:ascii="Calibri" w:cs="Calibri" w:eastAsia="Calibri" w:hAnsi="Calibri"/>
                <w:sz w:val="20"/>
                <w:szCs w:val="20"/>
              </w:rPr>
              <w:t xml:space="preserve">Two-phase model, depth score progression</w:t>
            </w:r>
          </w:p>
        </w:tc>
      </w:tr>
      <w:tr>
        <w:tc>
          <w:tcPr>
            <w:tcW w:type="dxa" w:w="3000"/>
            <w:shd w:fill="F0F4F8"/>
          </w:tcPr>
          <w:p>
            <w:pPr>
              <w:spacing w:after="40" w:before="40"/>
            </w:pPr>
            <w:r>
              <w:rPr>
                <w:rFonts w:ascii="Calibri" w:cs="Calibri" w:eastAsia="Calibri" w:hAnsi="Calibri"/>
                <w:sz w:val="20"/>
                <w:szCs w:val="20"/>
              </w:rPr>
              <w:t xml:space="preserve">20-25</w:t>
            </w:r>
          </w:p>
        </w:tc>
        <w:tc>
          <w:tcPr>
            <w:tcW w:type="dxa" w:w="3000"/>
            <w:shd w:fill="F0F4F8"/>
          </w:tcPr>
          <w:p>
            <w:pPr>
              <w:spacing w:after="40" w:before="40"/>
            </w:pPr>
            <w:r>
              <w:rPr>
                <w:rFonts w:ascii="Calibri" w:cs="Calibri" w:eastAsia="Calibri" w:hAnsi="Calibri"/>
                <w:sz w:val="20"/>
                <w:szCs w:val="20"/>
              </w:rPr>
              <w:t xml:space="preserve">Matching &amp; Consent</w:t>
            </w:r>
          </w:p>
        </w:tc>
        <w:tc>
          <w:tcPr>
            <w:tcW w:type="dxa" w:w="3000"/>
            <w:shd w:fill="F0F4F8"/>
          </w:tcPr>
          <w:p>
            <w:pPr>
              <w:spacing w:after="40" w:before="40"/>
            </w:pPr>
            <w:r>
              <w:rPr>
                <w:rFonts w:ascii="Calibri" w:cs="Calibri" w:eastAsia="Calibri" w:hAnsi="Calibri"/>
                <w:sz w:val="20"/>
                <w:szCs w:val="20"/>
              </w:rPr>
              <w:t xml:space="preserve">Four-level engagement, competitive bidding, yield scoring</w:t>
            </w:r>
          </w:p>
        </w:tc>
      </w:tr>
      <w:tr>
        <w:tc>
          <w:tcPr>
            <w:tcW w:type="dxa" w:w="3000"/>
          </w:tcPr>
          <w:p>
            <w:pPr>
              <w:spacing w:after="40" w:before="40"/>
            </w:pPr>
            <w:r>
              <w:rPr>
                <w:rFonts w:ascii="Calibri" w:cs="Calibri" w:eastAsia="Calibri" w:hAnsi="Calibri"/>
                <w:sz w:val="20"/>
                <w:szCs w:val="20"/>
              </w:rPr>
              <w:t xml:space="preserve">26-32</w:t>
            </w:r>
          </w:p>
        </w:tc>
        <w:tc>
          <w:tcPr>
            <w:tcW w:type="dxa" w:w="3000"/>
          </w:tcPr>
          <w:p>
            <w:pPr>
              <w:spacing w:after="40" w:before="40"/>
            </w:pPr>
            <w:r>
              <w:rPr>
                <w:rFonts w:ascii="Calibri" w:cs="Calibri" w:eastAsia="Calibri" w:hAnsi="Calibri"/>
                <w:sz w:val="20"/>
                <w:szCs w:val="20"/>
              </w:rPr>
              <w:t xml:space="preserve">Infrastructure</w:t>
            </w:r>
          </w:p>
        </w:tc>
        <w:tc>
          <w:tcPr>
            <w:tcW w:type="dxa" w:w="3000"/>
          </w:tcPr>
          <w:p>
            <w:pPr>
              <w:spacing w:after="40" w:before="40"/>
            </w:pPr>
            <w:r>
              <w:rPr>
                <w:rFonts w:ascii="Calibri" w:cs="Calibri" w:eastAsia="Calibri" w:hAnsi="Calibri"/>
                <w:sz w:val="20"/>
                <w:szCs w:val="20"/>
              </w:rPr>
              <w:t xml:space="preserve">PostgreSQL metadata, WebAuthn passkeys, Coinbase wallet</w:t>
            </w:r>
          </w:p>
        </w:tc>
      </w:tr>
      <w:tr>
        <w:tc>
          <w:tcPr>
            <w:tcW w:type="dxa" w:w="3000"/>
            <w:shd w:fill="F0F4F8"/>
          </w:tcPr>
          <w:p>
            <w:pPr>
              <w:spacing w:after="40" w:before="40"/>
            </w:pPr>
            <w:r>
              <w:rPr>
                <w:rFonts w:ascii="Calibri" w:cs="Calibri" w:eastAsia="Calibri" w:hAnsi="Calibri"/>
                <w:sz w:val="20"/>
                <w:szCs w:val="20"/>
              </w:rPr>
              <w:t xml:space="preserve">33-37</w:t>
            </w:r>
          </w:p>
        </w:tc>
        <w:tc>
          <w:tcPr>
            <w:tcW w:type="dxa" w:w="3000"/>
            <w:shd w:fill="F0F4F8"/>
          </w:tcPr>
          <w:p>
            <w:pPr>
              <w:spacing w:after="40" w:before="40"/>
            </w:pPr>
            <w:r>
              <w:rPr>
                <w:rFonts w:ascii="Calibri" w:cs="Calibri" w:eastAsia="Calibri" w:hAnsi="Calibri"/>
                <w:sz w:val="20"/>
                <w:szCs w:val="20"/>
              </w:rPr>
              <w:t xml:space="preserve">On-Chain Settlement</w:t>
            </w:r>
          </w:p>
        </w:tc>
        <w:tc>
          <w:tcPr>
            <w:tcW w:type="dxa" w:w="3000"/>
            <w:shd w:fill="F0F4F8"/>
          </w:tcPr>
          <w:p>
            <w:pPr>
              <w:spacing w:after="40" w:before="40"/>
            </w:pPr>
            <w:r>
              <w:rPr>
                <w:rFonts w:ascii="Calibri" w:cs="Calibri" w:eastAsia="Calibri" w:hAnsi="Calibri"/>
                <w:sz w:val="20"/>
                <w:szCs w:val="20"/>
              </w:rPr>
              <w:t xml:space="preserve">USDC escrow, fee split, re-identification mitigation</w:t>
            </w:r>
          </w:p>
        </w:tc>
      </w:tr>
      <w:tr>
        <w:tc>
          <w:tcPr>
            <w:tcW w:type="dxa" w:w="3000"/>
          </w:tcPr>
          <w:p>
            <w:pPr>
              <w:spacing w:after="40" w:before="40"/>
            </w:pPr>
            <w:r>
              <w:rPr>
                <w:rFonts w:ascii="Calibri" w:cs="Calibri" w:eastAsia="Calibri" w:hAnsi="Calibri"/>
                <w:sz w:val="20"/>
                <w:szCs w:val="20"/>
              </w:rPr>
              <w:t xml:space="preserve">38-41</w:t>
            </w:r>
          </w:p>
        </w:tc>
        <w:tc>
          <w:tcPr>
            <w:tcW w:type="dxa" w:w="3000"/>
          </w:tcPr>
          <w:p>
            <w:pPr>
              <w:spacing w:after="40" w:before="40"/>
            </w:pPr>
            <w:r>
              <w:rPr>
                <w:rFonts w:ascii="Calibri" w:cs="Calibri" w:eastAsia="Calibri" w:hAnsi="Calibri"/>
                <w:sz w:val="20"/>
                <w:szCs w:val="20"/>
              </w:rPr>
              <w:t xml:space="preserve">BYOD Connectors</w:t>
            </w:r>
          </w:p>
        </w:tc>
        <w:tc>
          <w:tcPr>
            <w:tcW w:type="dxa" w:w="3000"/>
          </w:tcPr>
          <w:p>
            <w:pPr>
              <w:spacing w:after="40" w:before="40"/>
            </w:pPr>
            <w:r>
              <w:rPr>
                <w:rFonts w:ascii="Calibri" w:cs="Calibri" w:eastAsia="Calibri" w:hAnsi="Calibri"/>
                <w:sz w:val="20"/>
                <w:szCs w:val="20"/>
              </w:rPr>
              <w:t xml:space="preserve">Amazon, Uber, Instagram exports, onboarding sequence</w:t>
            </w:r>
          </w:p>
        </w:tc>
      </w:tr>
      <w:tr>
        <w:tc>
          <w:tcPr>
            <w:tcW w:type="dxa" w:w="3000"/>
            <w:shd w:fill="F0F4F8"/>
          </w:tcPr>
          <w:p>
            <w:pPr>
              <w:spacing w:after="40" w:before="40"/>
            </w:pPr>
            <w:r>
              <w:rPr>
                <w:rFonts w:ascii="Calibri" w:cs="Calibri" w:eastAsia="Calibri" w:hAnsi="Calibri"/>
                <w:sz w:val="20"/>
                <w:szCs w:val="20"/>
              </w:rPr>
              <w:t xml:space="preserve">42-48</w:t>
            </w:r>
          </w:p>
        </w:tc>
        <w:tc>
          <w:tcPr>
            <w:tcW w:type="dxa" w:w="3000"/>
            <w:shd w:fill="F0F4F8"/>
          </w:tcPr>
          <w:p>
            <w:pPr>
              <w:spacing w:after="40" w:before="40"/>
            </w:pPr>
            <w:r>
              <w:rPr>
                <w:rFonts w:ascii="Calibri" w:cs="Calibri" w:eastAsia="Calibri" w:hAnsi="Calibri"/>
                <w:sz w:val="20"/>
                <w:szCs w:val="20"/>
              </w:rPr>
              <w:t xml:space="preserve">Platform Surfaces</w:t>
            </w:r>
          </w:p>
        </w:tc>
        <w:tc>
          <w:tcPr>
            <w:tcW w:type="dxa" w:w="3000"/>
            <w:shd w:fill="F0F4F8"/>
          </w:tcPr>
          <w:p>
            <w:pPr>
              <w:spacing w:after="40" w:before="40"/>
            </w:pPr>
            <w:r>
              <w:rPr>
                <w:rFonts w:ascii="Calibri" w:cs="Calibri" w:eastAsia="Calibri" w:hAnsi="Calibri"/>
                <w:sz w:val="20"/>
                <w:szCs w:val="20"/>
              </w:rPr>
              <w:t xml:space="preserve">Brand lifecycle, wallet withdrawal, operator console, brand portal, soul app, demo launcher</w:t>
            </w:r>
          </w:p>
        </w:tc>
      </w:tr>
      <w:tr>
        <w:tc>
          <w:tcPr>
            <w:tcW w:type="dxa" w:w="3000"/>
          </w:tcPr>
          <w:p>
            <w:pPr>
              <w:spacing w:after="40" w:before="40"/>
            </w:pPr>
            <w:r>
              <w:rPr>
                <w:rFonts w:ascii="Calibri" w:cs="Calibri" w:eastAsia="Calibri" w:hAnsi="Calibri"/>
                <w:sz w:val="20"/>
                <w:szCs w:val="20"/>
              </w:rPr>
              <w:t xml:space="preserve">49-51</w:t>
            </w:r>
          </w:p>
        </w:tc>
        <w:tc>
          <w:tcPr>
            <w:tcW w:type="dxa" w:w="3000"/>
          </w:tcPr>
          <w:p>
            <w:pPr>
              <w:spacing w:after="40" w:before="40"/>
            </w:pPr>
            <w:r>
              <w:rPr>
                <w:rFonts w:ascii="Calibri" w:cs="Calibri" w:eastAsia="Calibri" w:hAnsi="Calibri"/>
                <w:sz w:val="20"/>
                <w:szCs w:val="20"/>
              </w:rPr>
              <w:t xml:space="preserve">Matching &amp; Scoring</w:t>
            </w:r>
          </w:p>
        </w:tc>
        <w:tc>
          <w:tcPr>
            <w:tcW w:type="dxa" w:w="3000"/>
          </w:tcPr>
          <w:p>
            <w:pPr>
              <w:spacing w:after="40" w:before="40"/>
            </w:pPr>
            <w:r>
              <w:rPr>
                <w:rFonts w:ascii="Calibri" w:cs="Calibri" w:eastAsia="Calibri" w:hAnsi="Calibri"/>
                <w:sz w:val="20"/>
                <w:szCs w:val="20"/>
              </w:rPr>
              <w:t xml:space="preserve">Semantic engine, brand scoring system</w:t>
            </w:r>
          </w:p>
        </w:tc>
      </w:tr>
      <w:tr>
        <w:tc>
          <w:tcPr>
            <w:tcW w:type="dxa" w:w="3000"/>
            <w:shd w:fill="F0F4F8"/>
          </w:tcPr>
          <w:p>
            <w:pPr>
              <w:spacing w:after="40" w:before="40"/>
            </w:pPr>
            <w:r>
              <w:rPr>
                <w:rFonts w:ascii="Calibri" w:cs="Calibri" w:eastAsia="Calibri" w:hAnsi="Calibri"/>
                <w:sz w:val="20"/>
                <w:szCs w:val="20"/>
              </w:rPr>
              <w:t xml:space="preserve">53-55</w:t>
            </w:r>
          </w:p>
        </w:tc>
        <w:tc>
          <w:tcPr>
            <w:tcW w:type="dxa" w:w="3000"/>
            <w:shd w:fill="F0F4F8"/>
          </w:tcPr>
          <w:p>
            <w:pPr>
              <w:spacing w:after="40" w:before="40"/>
            </w:pPr>
            <w:r>
              <w:rPr>
                <w:rFonts w:ascii="Calibri" w:cs="Calibri" w:eastAsia="Calibri" w:hAnsi="Calibri"/>
                <w:sz w:val="20"/>
                <w:szCs w:val="20"/>
              </w:rPr>
              <w:t xml:space="preserve">Intent Marketplace</w:t>
            </w:r>
          </w:p>
        </w:tc>
        <w:tc>
          <w:tcPr>
            <w:tcW w:type="dxa" w:w="3000"/>
            <w:shd w:fill="F0F4F8"/>
          </w:tcPr>
          <w:p>
            <w:pPr>
              <w:spacing w:after="40" w:before="40"/>
            </w:pPr>
            <w:r>
              <w:rPr>
                <w:rFonts w:ascii="Calibri" w:cs="Calibri" w:eastAsia="Calibri" w:hAnsi="Calibri"/>
                <w:sz w:val="20"/>
                <w:szCs w:val="20"/>
              </w:rPr>
              <w:t xml:space="preserve">Intent declaration, soul tier system, intent integrity scoring</w:t>
            </w:r>
          </w:p>
        </w:tc>
      </w:tr>
    </w:tbl>
    <w:p>
      <w:pPr>
        <w:spacing w:after="400"/>
      </w:pPr>
    </w:p>
    <w:p>
      <w:pPr>
        <w:jc w:val="center"/>
      </w:pPr>
      <w:r>
        <w:rPr>
          <w:rFonts w:ascii="Calibri" w:cs="Calibri" w:eastAsia="Calibri" w:hAnsi="Calibri"/>
          <w:b/>
          <w:bCs/>
          <w:i/>
          <w:iCs/>
          <w:color w:val="1B3A5C"/>
          <w:sz w:val="28"/>
          <w:szCs w:val="28"/>
        </w:rPr>
        <w:t xml:space="preserve">PersonalOS — Your data. Your insight. Your yield.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2026-07-05T22:38:24.131Z</dcterms:created>
  <dcterms:modified xsi:type="dcterms:W3CDTF">2026-07-05T22:38:24.135Z</dcterms:modified>
</cp:coreProperties>
</file>

<file path=docProps/custom.xml><?xml version="1.0" encoding="utf-8"?>
<Properties xmlns="http://schemas.openxmlformats.org/officeDocument/2006/custom-properties" xmlns:vt="http://schemas.openxmlformats.org/officeDocument/2006/docPropsVTypes"/>
</file>