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200"/>
      </w:pPr>
    </w:p>
    <w:p>
      <w:pPr>
        <w:spacing w:after="200"/>
      </w:pPr>
    </w:p>
    <w:p>
      <w:pPr>
        <w:spacing w:after="200" w:line="276"/>
        <w:jc w:val="center"/>
      </w:pPr>
      <w:r>
        <w:rPr>
          <w:rFonts w:ascii="Calibri" w:cs="Calibri" w:eastAsia="Calibri" w:hAnsi="Calibri"/>
          <w:b/>
          <w:bCs/>
          <w:color w:val="1B7A4A"/>
          <w:sz w:val="72"/>
          <w:szCs w:val="72"/>
        </w:rPr>
        <w:t xml:space="preserve">PersonalOS</w:t>
      </w:r>
    </w:p>
    <w:p>
      <w:pPr>
        <w:spacing w:after="200"/>
      </w:pPr>
    </w:p>
    <w:p>
      <w:pPr>
        <w:spacing w:after="160" w:line="276"/>
        <w:jc w:val="center"/>
      </w:pPr>
      <w:r>
        <w:rPr>
          <w:rFonts w:ascii="Calibri" w:cs="Calibri" w:eastAsia="Calibri" w:hAnsi="Calibri"/>
          <w:b/>
          <w:bCs/>
          <w:sz w:val="48"/>
          <w:szCs w:val="48"/>
        </w:rPr>
        <w:t xml:space="preserve">Where Your Ad Money Actually Goes</w:t>
      </w:r>
    </w:p>
    <w:p>
      <w:pPr>
        <w:spacing w:after="200" w:line="276"/>
        <w:jc w:val="center"/>
      </w:pPr>
      <w:r>
        <w:rPr>
          <w:rFonts w:ascii="Calibri" w:cs="Calibri" w:eastAsia="Calibri" w:hAnsi="Calibri"/>
          <w:i/>
          <w:iCs/>
          <w:sz w:val="40"/>
          <w:szCs w:val="40"/>
        </w:rPr>
        <w:t xml:space="preserve">And How to Make Every Dollar Count</w:t>
      </w:r>
    </w:p>
    <w:p>
      <w:pPr>
        <w:spacing w:after="200"/>
      </w:pPr>
    </w:p>
    <w:p>
      <w:pPr>
        <w:spacing w:after="160" w:line="276"/>
        <w:jc w:val="center"/>
      </w:pPr>
      <w:r>
        <w:rPr>
          <w:rFonts w:ascii="Calibri" w:cs="Calibri" w:eastAsia="Calibri" w:hAnsi="Calibri"/>
          <w:sz w:val="28"/>
          <w:szCs w:val="28"/>
        </w:rPr>
        <w:t xml:space="preserve">A Complete Platform Analysis: Ad Waste, Structural Solution, and Product Architecture</w:t>
      </w:r>
    </w:p>
    <w:p>
      <w:pPr>
        <w:spacing w:after="200"/>
      </w:pPr>
    </w:p>
    <w:p>
      <w:pPr>
        <w:spacing w:after="120" w:line="276"/>
        <w:jc w:val="center"/>
      </w:pPr>
      <w:r>
        <w:rPr>
          <w:rFonts w:ascii="Calibri" w:cs="Calibri" w:eastAsia="Calibri" w:hAnsi="Calibri"/>
          <w:color w:val="666666"/>
          <w:sz w:val="22"/>
          <w:szCs w:val="22"/>
        </w:rPr>
        <w:t xml:space="preserve">July 2026 · PersonalOS Inc. · Confidential — For Decision Makers</w:t>
      </w:r>
    </w:p>
    <w:p>
      <w:pPr>
        <w:spacing w:after="200"/>
      </w:pPr>
    </w:p>
    <w:p>
      <w:pPr>
        <w:spacing w:after="200" w:line="276"/>
      </w:pPr>
      <w:r>
        <w:rPr>
          <w:rFonts w:ascii="Calibri" w:cs="Calibri" w:eastAsia="Calibri" w:hAnsi="Calibri"/>
          <w:b/>
          <w:bCs/>
          <w:color w:val="1B7A4A"/>
          <w:sz w:val="28"/>
          <w:szCs w:val="28"/>
        </w:rPr>
        <w:t xml:space="preserve">EXECUTIVE SUMMARY</w:t>
      </w:r>
    </w:p>
    <w:p>
      <w:pPr>
        <w:spacing w:after="120" w:line="276"/>
      </w:pPr>
      <w:r>
        <w:rPr>
          <w:rFonts w:ascii="Calibri" w:cs="Calibri" w:eastAsia="Calibri" w:hAnsi="Calibri"/>
          <w:sz w:val="22"/>
          <w:szCs w:val="22"/>
        </w:rPr>
        <w:t xml:space="preserve">The programmatic advertising industry wastes $26.8 billion annually. This isn't a guess — it's measured by the Association of National Advertisers (ANA), verified by independent auditors (ISBA, Lumen), and litigated by the U.S. Department of Justice.</w:t>
      </w:r>
    </w:p>
    <w:p>
      <w:pPr>
        <w:spacing w:after="200"/>
      </w:pPr>
    </w:p>
    <w:p>
      <w:pPr>
        <w:spacing w:after="120" w:line="276"/>
      </w:pPr>
      <w:r>
        <w:rPr>
          <w:rFonts w:ascii="Calibri" w:cs="Calibri" w:eastAsia="Calibri" w:hAnsi="Calibri"/>
          <w:sz w:val="22"/>
          <w:szCs w:val="22"/>
        </w:rPr>
        <w:t xml:space="preserve">PersonalOS is a personal data ownership platform that inverts the advertising value chain. Data stays on the user's device. Brands bid against declared and verified demand rather than inferred interest. Settlement happens atomically on-chain with immutable fee splits. The platform comprises four interconnected surfaces: the Soul App (individual empowerment and earning), the Operator Control Tower (marketplace governance), the Intent Marketplace (supply-demand matching with verified signals), and the Brand Portal (onboarding, listing management, and performance analytics).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1B7A4A" w:color="auto" w:val="clear"/>
          </w:tcPr>
          <w:p>
            <w:pPr>
              <w:spacing w:after="40"/>
            </w:pPr>
            <w:r>
              <w:rPr>
                <w:rFonts w:ascii="Calibri" w:cs="Calibri" w:eastAsia="Calibri" w:hAnsi="Calibri"/>
                <w:b/>
                <w:bCs/>
                <w:color w:val="FFFFFF"/>
                <w:sz w:val="22"/>
                <w:szCs w:val="22"/>
              </w:rPr>
              <w:t xml:space="preserve">Proof Point</w:t>
            </w:r>
          </w:p>
        </w:tc>
        <w:tc>
          <w:tcPr>
            <w:tcW w:type="dxa" w:w="3120"/>
            <w:shd w:fill="1B7A4A" w:color="auto" w:val="clear"/>
          </w:tcPr>
          <w:p>
            <w:pPr>
              <w:spacing w:after="40"/>
            </w:pPr>
            <w:r>
              <w:rPr>
                <w:rFonts w:ascii="Calibri" w:cs="Calibri" w:eastAsia="Calibri" w:hAnsi="Calibri"/>
                <w:b/>
                <w:bCs/>
                <w:color w:val="FFFFFF"/>
                <w:sz w:val="22"/>
                <w:szCs w:val="22"/>
              </w:rPr>
              <w:t xml:space="preserve">Claim</w:t>
            </w:r>
          </w:p>
        </w:tc>
        <w:tc>
          <w:tcPr>
            <w:tcW w:type="dxa" w:w="3120"/>
            <w:shd w:fill="1B7A4A" w:color="auto" w:val="clear"/>
          </w:tcPr>
          <w:p>
            <w:pPr>
              <w:spacing w:after="40"/>
            </w:pPr>
            <w:r>
              <w:rPr>
                <w:rFonts w:ascii="Calibri" w:cs="Calibri" w:eastAsia="Calibri" w:hAnsi="Calibri"/>
                <w:b/>
                <w:bCs/>
                <w:color w:val="FFFFFF"/>
                <w:sz w:val="22"/>
                <w:szCs w:val="22"/>
              </w:rPr>
              <w:t xml:space="preserve">How It's Proven</w:t>
            </w:r>
          </w:p>
        </w:tc>
      </w:tr>
      <w:tr>
        <w:trPr>
          <w:tblHeader w:val="false"/>
        </w:trPr>
        <w:tc>
          <w:tcPr>
            <w:tcW w:type="dxa" w:w="3120"/>
          </w:tcPr>
          <w:p>
            <w:pPr>
              <w:spacing w:after="40"/>
            </w:pPr>
            <w:r>
              <w:rPr>
                <w:rFonts w:ascii="Calibri" w:cs="Calibri" w:eastAsia="Calibri" w:hAnsi="Calibri"/>
                <w:sz w:val="22"/>
                <w:szCs w:val="22"/>
              </w:rPr>
              <w:t xml:space="preserve">#1 — Direct Channel</w:t>
            </w:r>
          </w:p>
        </w:tc>
        <w:tc>
          <w:tcPr>
            <w:tcW w:type="dxa" w:w="3120"/>
          </w:tcPr>
          <w:p>
            <w:pPr>
              <w:spacing w:after="40"/>
            </w:pPr>
            <w:r>
              <w:rPr>
                <w:rFonts w:ascii="Calibri" w:cs="Calibri" w:eastAsia="Calibri" w:hAnsi="Calibri"/>
                <w:sz w:val="22"/>
                <w:szCs w:val="22"/>
              </w:rPr>
              <w:t xml:space="preserve">41x more efficient than programmatic</w:t>
            </w:r>
          </w:p>
        </w:tc>
        <w:tc>
          <w:tcPr>
            <w:tcW w:type="dxa" w:w="3120"/>
          </w:tcPr>
          <w:p>
            <w:pPr>
              <w:spacing w:after="40"/>
            </w:pPr>
            <w:r>
              <w:rPr>
                <w:rFonts w:ascii="Calibri" w:cs="Calibri" w:eastAsia="Calibri" w:hAnsi="Calibri"/>
                <w:sz w:val="22"/>
                <w:szCs w:val="22"/>
              </w:rPr>
              <w:t xml:space="preserve">Smart contract math — every cent traceable on Base blockchain</w:t>
            </w:r>
          </w:p>
        </w:tc>
      </w:tr>
      <w:tr>
        <w:trPr>
          <w:tblHeader w:val="false"/>
        </w:trPr>
        <w:tc>
          <w:tcPr>
            <w:tcW w:type="dxa" w:w="3120"/>
            <w:shd w:fill="F5F5F5" w:color="auto" w:val="clear"/>
          </w:tcPr>
          <w:p>
            <w:pPr>
              <w:spacing w:after="40"/>
            </w:pPr>
            <w:r>
              <w:rPr>
                <w:rFonts w:ascii="Calibri" w:cs="Calibri" w:eastAsia="Calibri" w:hAnsi="Calibri"/>
                <w:sz w:val="22"/>
                <w:szCs w:val="22"/>
              </w:rPr>
              <w:t xml:space="preserve">#2 — Channel Optimization</w:t>
            </w:r>
          </w:p>
        </w:tc>
        <w:tc>
          <w:tcPr>
            <w:tcW w:type="dxa" w:w="3120"/>
            <w:shd w:fill="F5F5F5" w:color="auto" w:val="clear"/>
          </w:tcPr>
          <w:p>
            <w:pPr>
              <w:spacing w:after="40"/>
            </w:pPr>
            <w:r>
              <w:rPr>
                <w:rFonts w:ascii="Calibri" w:cs="Calibri" w:eastAsia="Calibri" w:hAnsi="Calibri"/>
                <w:sz w:val="22"/>
                <w:szCs w:val="22"/>
              </w:rPr>
              <w:t xml:space="preserve">3-5x improvement in Meta/Google efficiency</w:t>
            </w:r>
          </w:p>
        </w:tc>
        <w:tc>
          <w:tcPr>
            <w:tcW w:type="dxa" w:w="3120"/>
            <w:shd w:fill="F5F5F5" w:color="auto" w:val="clear"/>
          </w:tcPr>
          <w:p>
            <w:pPr>
              <w:spacing w:after="40"/>
            </w:pPr>
            <w:r>
              <w:rPr>
                <w:rFonts w:ascii="Calibri" w:cs="Calibri" w:eastAsia="Calibri" w:hAnsi="Calibri"/>
                <w:sz w:val="22"/>
                <w:szCs w:val="22"/>
              </w:rPr>
              <w:t xml:space="preserve">Aggregate demand intelligence from verified intent data</w:t>
            </w:r>
          </w:p>
        </w:tc>
      </w:tr>
      <w:tr>
        <w:trPr>
          <w:tblHeader w:val="false"/>
        </w:trPr>
        <w:tc>
          <w:tcPr>
            <w:tcW w:type="dxa" w:w="3120"/>
          </w:tcPr>
          <w:p>
            <w:pPr>
              <w:spacing w:after="40"/>
            </w:pPr>
            <w:r>
              <w:rPr>
                <w:rFonts w:ascii="Calibri" w:cs="Calibri" w:eastAsia="Calibri" w:hAnsi="Calibri"/>
                <w:sz w:val="22"/>
                <w:szCs w:val="22"/>
              </w:rPr>
              <w:t xml:space="preserve">#3 — Portfolio Effect</w:t>
            </w:r>
          </w:p>
        </w:tc>
        <w:tc>
          <w:tcPr>
            <w:tcW w:type="dxa" w:w="3120"/>
          </w:tcPr>
          <w:p>
            <w:pPr>
              <w:spacing w:after="40"/>
            </w:pPr>
            <w:r>
              <w:rPr>
                <w:rFonts w:ascii="Calibri" w:cs="Calibri" w:eastAsia="Calibri" w:hAnsi="Calibri"/>
                <w:sz w:val="22"/>
                <w:szCs w:val="22"/>
              </w:rPr>
              <w:t xml:space="preserve">8-15x blended improvement</w:t>
            </w:r>
          </w:p>
        </w:tc>
        <w:tc>
          <w:tcPr>
            <w:tcW w:type="dxa" w:w="3120"/>
          </w:tcPr>
          <w:p>
            <w:pPr>
              <w:spacing w:after="40"/>
            </w:pPr>
            <w:r>
              <w:rPr>
                <w:rFonts w:ascii="Calibri" w:cs="Calibri" w:eastAsia="Calibri" w:hAnsi="Calibri"/>
                <w:sz w:val="22"/>
                <w:szCs w:val="22"/>
              </w:rPr>
              <w:t xml:space="preserve">Combining direct channel + optimized existing spend</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left w:val="single" w:color="1B7A4A" w:sz="24"/>
            </w:tcBorders>
            <w:shd w:fill="E8F5E9" w:color="auto" w:val="clear"/>
          </w:tcPr>
          <w:p>
            <w:pPr>
              <w:spacing w:after="40"/>
            </w:pPr>
            <w:r>
              <w:rPr>
                <w:rFonts w:ascii="Calibri" w:cs="Calibri" w:eastAsia="Calibri" w:hAnsi="Calibri"/>
                <w:i/>
                <w:iCs/>
                <w:sz w:val="22"/>
                <w:szCs w:val="22"/>
              </w:rPr>
              <w:t xml:space="preserve">Important: PersonalOS does not replace YouTube, Meta, or Google. It complements them. The direct channel handles your highest-value audiences (41x efficiency). The intelligence product makes your existing campaigns smarter (3-5x). Together, they create a portfolio effect (8-15x) that grows as you shift allocation based on measured results.</w:t>
            </w:r>
          </w:p>
        </w:tc>
      </w:tr>
    </w:tbl>
    <w:p>
      <w:pPr>
        <w:spacing w:after="200"/>
      </w:pPr>
    </w:p>
    <w:p>
      <w:pPr>
        <w:spacing w:after="120" w:line="276"/>
      </w:pPr>
      <w:r>
        <w:rPr>
          <w:rFonts w:ascii="Calibri" w:cs="Calibri" w:eastAsia="Calibri" w:hAnsi="Calibri"/>
          <w:sz w:val="22"/>
          <w:szCs w:val="22"/>
        </w:rPr>
        <w:t xml:space="preserve">The core thesis: when users proactively declare future purchase intent and that intent is verified through cross-source behavioral signals — all processed on-device — conversion rates move from 3-8% (Meta lookalike audiences) to 40-60% (verified intent-declared audiences), while brand cost-per-action drops from $30-80 to $2-8.</w:t>
      </w:r>
    </w:p>
    <w:p>
      <w:pPr>
        <w:spacing w:after="200"/>
      </w:pPr>
    </w:p>
    <w:p>
      <w:pPr>
        <w:spacing w:after="200" w:line="276"/>
      </w:pPr>
      <w:r>
        <w:rPr>
          <w:rFonts w:ascii="Calibri" w:cs="Calibri" w:eastAsia="Calibri" w:hAnsi="Calibri"/>
          <w:b/>
          <w:bCs/>
          <w:color w:val="1B7A4A"/>
          <w:sz w:val="28"/>
          <w:szCs w:val="28"/>
        </w:rPr>
        <w:t xml:space="preserve">PART 1: WHERE YOUR AD MONEY ACTUALLY GOES</w:t>
      </w:r>
    </w:p>
    <w:p>
      <w:pPr>
        <w:spacing w:after="120" w:line="276"/>
      </w:pPr>
      <w:r>
        <w:rPr>
          <w:rFonts w:ascii="Calibri" w:cs="Calibri" w:eastAsia="Calibri" w:hAnsi="Calibri"/>
          <w:sz w:val="22"/>
          <w:szCs w:val="22"/>
        </w:rPr>
        <w:t xml:space="preserve">For every dollar a brand spends on programmatic advertising, research shows that only 36 cents reaches a real human who actually sees the ad. The other 64 cents disappear into a chain of intermediaries, fraud, and waste that the industry has accepted as normal.</w:t>
      </w:r>
    </w:p>
    <w:p>
      <w:pPr>
        <w:spacing w:after="200"/>
      </w:pPr>
    </w:p>
    <w:p>
      <w:pPr>
        <w:spacing w:after="160" w:line="276"/>
      </w:pPr>
      <w:r>
        <w:rPr>
          <w:rFonts w:ascii="Calibri" w:cs="Calibri" w:eastAsia="Calibri" w:hAnsi="Calibri"/>
          <w:b/>
          <w:bCs/>
          <w:color w:val="333333"/>
          <w:sz w:val="24"/>
          <w:szCs w:val="24"/>
        </w:rPr>
        <w:t xml:space="preserve">1. The Supply Chain Tax — 15¢ of Every Dollar</w:t>
      </w:r>
    </w:p>
    <w:p>
      <w:pPr>
        <w:spacing w:after="120" w:line="276"/>
      </w:pPr>
      <w:r>
        <w:rPr>
          <w:rFonts w:ascii="Calibri" w:cs="Calibri" w:eastAsia="Calibri" w:hAnsi="Calibri"/>
          <w:i/>
          <w:iCs/>
          <w:sz w:val="20"/>
          <w:szCs w:val="20"/>
        </w:rPr>
        <w:t xml:space="preserve">Source: ISBA Programmatic Supply Chain Transparency Study (2020, updated 2023); ANA Q2 2025</w:t>
      </w:r>
    </w:p>
    <w:p>
      <w:pPr>
        <w:spacing w:after="120" w:line="276"/>
        <w:ind w:left="360"/>
      </w:pPr>
      <w:r>
        <w:rPr>
          <w:rFonts w:ascii="Calibri" w:cs="Calibri" w:eastAsia="Calibri" w:hAnsi="Calibri"/>
          <w:sz w:val="22"/>
          <w:szCs w:val="22"/>
        </w:rPr>
        <w:t xml:space="preserve">Between media buy and impression, money passes through average 7.4 intermediaries</w:t>
      </w:r>
    </w:p>
    <w:p>
      <w:pPr>
        <w:spacing w:after="120" w:line="276"/>
        <w:ind w:left="360"/>
      </w:pPr>
      <w:r>
        <w:rPr>
          <w:rFonts w:ascii="Calibri" w:cs="Calibri" w:eastAsia="Calibri" w:hAnsi="Calibri"/>
          <w:sz w:val="22"/>
          <w:szCs w:val="22"/>
        </w:rPr>
        <w:t xml:space="preserve">ISBA: only 51% reaches publisher; 15% entirely unattributable</w:t>
      </w:r>
    </w:p>
    <w:p>
      <w:pPr>
        <w:spacing w:after="120" w:line="276"/>
        <w:ind w:left="360"/>
      </w:pPr>
      <w:r>
        <w:rPr>
          <w:rFonts w:ascii="Calibri" w:cs="Calibri" w:eastAsia="Calibri" w:hAnsi="Calibri"/>
          <w:sz w:val="22"/>
          <w:szCs w:val="22"/>
        </w:rPr>
        <w:t xml:space="preserve">ANA: ad tech fees consume 29-44% of programmatic spend</w:t>
      </w:r>
    </w:p>
    <w:p>
      <w:pPr>
        <w:spacing w:after="120" w:line="276"/>
        <w:ind w:left="360"/>
      </w:pPr>
      <w:r>
        <w:rPr>
          <w:rFonts w:ascii="Calibri" w:cs="Calibri" w:eastAsia="Calibri" w:hAnsi="Calibri"/>
          <w:sz w:val="22"/>
          <w:szCs w:val="22"/>
        </w:rPr>
        <w:t xml:space="preserve">PersonalOS: zero intermediaries. Brand deposits USDC into smart contract. Contract splits 90/10. Two transfers, one transaction. Fee is constant FEE_BPS = 1000 in immutable bytecode.</w:t>
      </w:r>
    </w:p>
    <w:p>
      <w:pPr>
        <w:spacing w:after="200"/>
      </w:pPr>
    </w:p>
    <w:p>
      <w:pPr>
        <w:spacing w:after="160" w:line="276"/>
      </w:pPr>
      <w:r>
        <w:rPr>
          <w:rFonts w:ascii="Calibri" w:cs="Calibri" w:eastAsia="Calibri" w:hAnsi="Calibri"/>
          <w:b/>
          <w:bCs/>
          <w:color w:val="333333"/>
          <w:sz w:val="24"/>
          <w:szCs w:val="24"/>
        </w:rPr>
        <w:t xml:space="preserve">2. Ad Fraud — $22 Billion Annually</w:t>
      </w:r>
    </w:p>
    <w:p>
      <w:pPr>
        <w:spacing w:after="120" w:line="276"/>
      </w:pPr>
      <w:r>
        <w:rPr>
          <w:rFonts w:ascii="Calibri" w:cs="Calibri" w:eastAsia="Calibri" w:hAnsi="Calibri"/>
          <w:i/>
          <w:iCs/>
          <w:sz w:val="20"/>
          <w:szCs w:val="20"/>
        </w:rPr>
        <w:t xml:space="preserve">Source: Lunio 2024/2025; Juniper Research; ANA/White Ops Bot Baseline</w:t>
      </w:r>
    </w:p>
    <w:p>
      <w:pPr>
        <w:spacing w:after="120" w:line="276"/>
        <w:ind w:left="360"/>
      </w:pPr>
      <w:r>
        <w:rPr>
          <w:rFonts w:ascii="Calibri" w:cs="Calibri" w:eastAsia="Calibri" w:hAnsi="Calibri"/>
          <w:sz w:val="22"/>
          <w:szCs w:val="22"/>
        </w:rPr>
        <w:t xml:space="preserve">7.4% invalid clicks across Google, Meta, TikTok</w:t>
      </w:r>
    </w:p>
    <w:p>
      <w:pPr>
        <w:spacing w:after="120" w:line="276"/>
        <w:ind w:left="360"/>
      </w:pPr>
      <w:r>
        <w:rPr>
          <w:rFonts w:ascii="Calibri" w:cs="Calibri" w:eastAsia="Calibri" w:hAnsi="Calibri"/>
          <w:sz w:val="22"/>
          <w:szCs w:val="22"/>
        </w:rPr>
        <w:t xml:space="preserve">Programmatic display: 12-15% invalid traffic</w:t>
      </w:r>
    </w:p>
    <w:p>
      <w:pPr>
        <w:spacing w:after="120" w:line="276"/>
        <w:ind w:left="360"/>
      </w:pPr>
      <w:r>
        <w:rPr>
          <w:rFonts w:ascii="Calibri" w:cs="Calibri" w:eastAsia="Calibri" w:hAnsi="Calibri"/>
          <w:sz w:val="22"/>
          <w:szCs w:val="22"/>
        </w:rPr>
        <w:t xml:space="preserve">Connected TV: up 69% year-over-year</w:t>
      </w:r>
    </w:p>
    <w:p>
      <w:pPr>
        <w:spacing w:after="120" w:line="276"/>
        <w:ind w:left="360"/>
      </w:pPr>
      <w:r>
        <w:rPr>
          <w:rFonts w:ascii="Calibri" w:cs="Calibri" w:eastAsia="Calibri" w:hAnsi="Calibri"/>
          <w:sz w:val="22"/>
          <w:szCs w:val="22"/>
        </w:rPr>
        <w:t xml:space="preserve">MFA sites: 21% of programmatic spend</w:t>
      </w:r>
    </w:p>
    <w:p>
      <w:pPr>
        <w:spacing w:after="120" w:line="276"/>
        <w:ind w:left="360"/>
      </w:pPr>
      <w:r>
        <w:rPr>
          <w:rFonts w:ascii="Calibri" w:cs="Calibri" w:eastAsia="Calibri" w:hAnsi="Calibri"/>
          <w:sz w:val="22"/>
          <w:szCs w:val="22"/>
        </w:rPr>
        <w:t xml:space="preserve">PersonalOS: passkey auth required. No impressions to fake, no clicks to bot. Must have verified identity, active consent, meet matching criteria.</w:t>
      </w:r>
    </w:p>
    <w:p>
      <w:pPr>
        <w:spacing w:after="200"/>
      </w:pPr>
    </w:p>
    <w:p>
      <w:pPr>
        <w:spacing w:after="160" w:line="276"/>
      </w:pPr>
      <w:r>
        <w:rPr>
          <w:rFonts w:ascii="Calibri" w:cs="Calibri" w:eastAsia="Calibri" w:hAnsi="Calibri"/>
          <w:b/>
          <w:bCs/>
          <w:color w:val="333333"/>
          <w:sz w:val="24"/>
          <w:szCs w:val="24"/>
        </w:rPr>
        <w:t xml:space="preserve">3. Non-Viewable Impressions — 30-40% of Display</w:t>
      </w:r>
    </w:p>
    <w:p>
      <w:pPr>
        <w:spacing w:after="120" w:line="276"/>
      </w:pPr>
      <w:r>
        <w:rPr>
          <w:rFonts w:ascii="Calibri" w:cs="Calibri" w:eastAsia="Calibri" w:hAnsi="Calibri"/>
          <w:i/>
          <w:iCs/>
          <w:sz w:val="20"/>
          <w:szCs w:val="20"/>
        </w:rPr>
        <w:t xml:space="preserve">Source: Lumen Research Attention Economy studies; IAS Media Quality Report</w:t>
      </w:r>
    </w:p>
    <w:p>
      <w:pPr>
        <w:spacing w:after="120" w:line="276"/>
        <w:ind w:left="360"/>
      </w:pPr>
      <w:r>
        <w:rPr>
          <w:rFonts w:ascii="Calibri" w:cs="Calibri" w:eastAsia="Calibri" w:hAnsi="Calibri"/>
          <w:sz w:val="22"/>
          <w:szCs w:val="22"/>
        </w:rPr>
        <w:t xml:space="preserve">Only 9% of served digital ads looked at for more than 1 second</w:t>
      </w:r>
    </w:p>
    <w:p>
      <w:pPr>
        <w:spacing w:after="120" w:line="276"/>
        <w:ind w:left="360"/>
      </w:pPr>
      <w:r>
        <w:rPr>
          <w:rFonts w:ascii="Calibri" w:cs="Calibri" w:eastAsia="Calibri" w:hAnsi="Calibri"/>
          <w:sz w:val="22"/>
          <w:szCs w:val="22"/>
        </w:rPr>
        <w:t xml:space="preserve">Display viewability: 60-70% meet IAB minimum — 30-40% don't</w:t>
      </w:r>
    </w:p>
    <w:p>
      <w:pPr>
        <w:spacing w:after="120" w:line="276"/>
        <w:ind w:left="360"/>
      </w:pPr>
      <w:r>
        <w:rPr>
          <w:rFonts w:ascii="Calibri" w:cs="Calibri" w:eastAsia="Calibri" w:hAnsi="Calibri"/>
          <w:sz w:val="22"/>
          <w:szCs w:val="22"/>
        </w:rPr>
        <w:t xml:space="preserve">PersonalOS: 100% viewability by design. Soul reads offer card, actively claims or dismisses. Not viewability — engagement.</w:t>
      </w:r>
    </w:p>
    <w:p>
      <w:pPr>
        <w:spacing w:after="200"/>
      </w:pPr>
    </w:p>
    <w:p>
      <w:pPr>
        <w:spacing w:after="160" w:line="276"/>
      </w:pPr>
      <w:r>
        <w:rPr>
          <w:rFonts w:ascii="Calibri" w:cs="Calibri" w:eastAsia="Calibri" w:hAnsi="Calibri"/>
          <w:b/>
          <w:bCs/>
          <w:color w:val="333333"/>
          <w:sz w:val="24"/>
          <w:szCs w:val="24"/>
        </w:rPr>
        <w:t xml:space="preserve">4. Wrong Audience — The Targeting Illusion</w:t>
      </w:r>
    </w:p>
    <w:p>
      <w:pPr>
        <w:spacing w:after="120" w:line="276"/>
      </w:pPr>
      <w:r>
        <w:rPr>
          <w:rFonts w:ascii="Calibri" w:cs="Calibri" w:eastAsia="Calibri" w:hAnsi="Calibri"/>
          <w:i/>
          <w:iCs/>
          <w:sz w:val="20"/>
          <w:szCs w:val="20"/>
        </w:rPr>
        <w:t xml:space="preserve">Source: ANA Q2 2025; Scope3; industry conversion rate benchmarks</w:t>
      </w:r>
    </w:p>
    <w:p>
      <w:pPr>
        <w:spacing w:after="120" w:line="276"/>
        <w:ind w:left="360"/>
      </w:pPr>
      <w:r>
        <w:rPr>
          <w:rFonts w:ascii="Calibri" w:cs="Calibri" w:eastAsia="Calibri" w:hAnsi="Calibri"/>
          <w:sz w:val="22"/>
          <w:szCs w:val="22"/>
        </w:rPr>
        <w:t xml:space="preserve">Average programmatic display conversion: 0.1-0.5%</w:t>
      </w:r>
    </w:p>
    <w:p>
      <w:pPr>
        <w:spacing w:after="120" w:line="276"/>
        <w:ind w:left="360"/>
      </w:pPr>
      <w:r>
        <w:rPr>
          <w:rFonts w:ascii="Calibri" w:cs="Calibri" w:eastAsia="Calibri" w:hAnsi="Calibri"/>
          <w:sz w:val="22"/>
          <w:szCs w:val="22"/>
        </w:rPr>
        <w:t xml:space="preserve">99.5-99.9% of targeted impressions reach non-converters</w:t>
      </w:r>
    </w:p>
    <w:p>
      <w:pPr>
        <w:spacing w:after="120" w:line="276"/>
        <w:ind w:left="360"/>
      </w:pPr>
      <w:r>
        <w:rPr>
          <w:rFonts w:ascii="Calibri" w:cs="Calibri" w:eastAsia="Calibri" w:hAnsi="Calibri"/>
          <w:sz w:val="22"/>
          <w:szCs w:val="22"/>
        </w:rPr>
        <w:t xml:space="preserve">Cookie deprecation reducing primary targeting signal</w:t>
      </w:r>
    </w:p>
    <w:p>
      <w:pPr>
        <w:spacing w:after="120" w:line="276"/>
        <w:ind w:left="360"/>
      </w:pPr>
      <w:r>
        <w:rPr>
          <w:rFonts w:ascii="Calibri" w:cs="Calibri" w:eastAsia="Calibri" w:hAnsi="Calibri"/>
          <w:sz w:val="22"/>
          <w:szCs w:val="22"/>
        </w:rPr>
        <w:t xml:space="preserve">Walled gardens can't see across ecosystems</w:t>
      </w:r>
    </w:p>
    <w:p>
      <w:pPr>
        <w:spacing w:after="120" w:line="276"/>
        <w:ind w:left="360"/>
      </w:pPr>
      <w:r>
        <w:rPr>
          <w:rFonts w:ascii="Calibri" w:cs="Calibri" w:eastAsia="Calibri" w:hAnsi="Calibri"/>
          <w:sz w:val="22"/>
          <w:szCs w:val="22"/>
        </w:rPr>
        <w:t xml:space="preserve">PersonalOS: consumer declares intent. Engagement levels per category. 40-60% conversion on direct channel claims.</w:t>
      </w:r>
    </w:p>
    <w:p>
      <w:pPr>
        <w:spacing w:after="200"/>
      </w:pPr>
    </w:p>
    <w:p>
      <w:pPr>
        <w:spacing w:after="160" w:line="276"/>
      </w:pPr>
      <w:r>
        <w:rPr>
          <w:rFonts w:ascii="Calibri" w:cs="Calibri" w:eastAsia="Calibri" w:hAnsi="Calibri"/>
          <w:b/>
          <w:bCs/>
          <w:color w:val="333333"/>
          <w:sz w:val="24"/>
          <w:szCs w:val="24"/>
        </w:rPr>
        <w:t xml:space="preserve">5. The Hidden Carbon Cost</w:t>
      </w:r>
    </w:p>
    <w:p>
      <w:pPr>
        <w:spacing w:after="120" w:line="276"/>
      </w:pPr>
      <w:r>
        <w:rPr>
          <w:rFonts w:ascii="Calibri" w:cs="Calibri" w:eastAsia="Calibri" w:hAnsi="Calibri"/>
          <w:i/>
          <w:iCs/>
          <w:sz w:val="20"/>
          <w:szCs w:val="20"/>
        </w:rPr>
        <w:t xml:space="preserve">Source: Scope3 (2023-2025); Good-Loop &amp; Cedara; GroupM</w:t>
      </w:r>
    </w:p>
    <w:p>
      <w:pPr>
        <w:spacing w:after="120" w:line="276"/>
        <w:ind w:left="360"/>
      </w:pPr>
      <w:r>
        <w:rPr>
          <w:rFonts w:ascii="Calibri" w:cs="Calibri" w:eastAsia="Calibri" w:hAnsi="Calibri"/>
          <w:sz w:val="22"/>
          <w:szCs w:val="22"/>
        </w:rPr>
        <w:t xml:space="preserve">1 million programmatic impressions ≈ 5.4 tonnes CO₂</w:t>
      </w:r>
    </w:p>
    <w:p>
      <w:pPr>
        <w:spacing w:after="120" w:line="276"/>
        <w:ind w:left="360"/>
      </w:pPr>
      <w:r>
        <w:rPr>
          <w:rFonts w:ascii="Calibri" w:cs="Calibri" w:eastAsia="Calibri" w:hAnsi="Calibri"/>
          <w:sz w:val="22"/>
          <w:szCs w:val="22"/>
        </w:rPr>
        <w:t xml:space="preserve">MFA sites 26% more carbon per impression</w:t>
      </w:r>
    </w:p>
    <w:p>
      <w:pPr>
        <w:spacing w:after="120" w:line="276"/>
        <w:ind w:left="360"/>
      </w:pPr>
      <w:r>
        <w:rPr>
          <w:rFonts w:ascii="Calibri" w:cs="Calibri" w:eastAsia="Calibri" w:hAnsi="Calibri"/>
          <w:sz w:val="22"/>
          <w:szCs w:val="22"/>
        </w:rPr>
        <w:t xml:space="preserve">PersonalOS: near-zero. One match, one claim, one on-chain settlement.</w:t>
      </w:r>
    </w:p>
    <w:p>
      <w:pPr>
        <w:spacing w:after="200"/>
      </w:pPr>
    </w:p>
    <w:p>
      <w:pPr>
        <w:spacing w:after="160" w:line="276"/>
      </w:pPr>
      <w:r>
        <w:rPr>
          <w:rFonts w:ascii="Calibri" w:cs="Calibri" w:eastAsia="Calibri" w:hAnsi="Calibri"/>
          <w:b/>
          <w:bCs/>
          <w:color w:val="333333"/>
          <w:sz w:val="24"/>
          <w:szCs w:val="24"/>
        </w:rPr>
        <w:t xml:space="preserve">6. Data Leakage &amp; Privacy Violations</w:t>
      </w:r>
    </w:p>
    <w:p>
      <w:pPr>
        <w:spacing w:after="120" w:line="276"/>
      </w:pPr>
      <w:r>
        <w:rPr>
          <w:rFonts w:ascii="Calibri" w:cs="Calibri" w:eastAsia="Calibri" w:hAnsi="Calibri"/>
          <w:i/>
          <w:iCs/>
          <w:sz w:val="20"/>
          <w:szCs w:val="20"/>
        </w:rPr>
        <w:t xml:space="preserve">Source: DOJ v. Google (2020-2025); GDPR enforcement (€4.1B total); WFA</w:t>
      </w:r>
    </w:p>
    <w:p>
      <w:pPr>
        <w:spacing w:after="120" w:line="276"/>
        <w:ind w:left="360"/>
      </w:pPr>
      <w:r>
        <w:rPr>
          <w:rFonts w:ascii="Calibri" w:cs="Calibri" w:eastAsia="Calibri" w:hAnsi="Calibri"/>
          <w:sz w:val="22"/>
          <w:szCs w:val="22"/>
        </w:rPr>
        <w:t xml:space="preserve">DOJ found Google maintained illegal monopoly</w:t>
      </w:r>
    </w:p>
    <w:p>
      <w:pPr>
        <w:spacing w:after="120" w:line="276"/>
        <w:ind w:left="360"/>
      </w:pPr>
      <w:r>
        <w:rPr>
          <w:rFonts w:ascii="Calibri" w:cs="Calibri" w:eastAsia="Calibri" w:hAnsi="Calibri"/>
          <w:sz w:val="22"/>
          <w:szCs w:val="22"/>
        </w:rPr>
        <w:t xml:space="preserve">Meta fined €1.2B, Amazon €746M, Google €150M</w:t>
      </w:r>
    </w:p>
    <w:p>
      <w:pPr>
        <w:spacing w:after="120" w:line="276"/>
        <w:ind w:left="360"/>
      </w:pPr>
      <w:r>
        <w:rPr>
          <w:rFonts w:ascii="Calibri" w:cs="Calibri" w:eastAsia="Calibri" w:hAnsi="Calibri"/>
          <w:sz w:val="22"/>
          <w:szCs w:val="22"/>
        </w:rPr>
        <w:t xml:space="preserve">Bidstream broadcasts user data to dozens of non-winning bidders</w:t>
      </w:r>
    </w:p>
    <w:p>
      <w:pPr>
        <w:spacing w:after="120" w:line="276"/>
        <w:ind w:left="360"/>
      </w:pPr>
      <w:r>
        <w:rPr>
          <w:rFonts w:ascii="Calibri" w:cs="Calibri" w:eastAsia="Calibri" w:hAnsi="Calibri"/>
          <w:sz w:val="22"/>
          <w:szCs w:val="22"/>
        </w:rPr>
        <w:t xml:space="preserve">PersonalOS: all raw data on user's device. No bidstream, no tracking pixels, no data broker. Platform earns when user earns — structurally incentivized to protect.</w:t>
      </w:r>
    </w:p>
    <w:p>
      <w:pPr>
        <w:spacing w:after="200"/>
      </w:pPr>
    </w:p>
    <w:p>
      <w:pPr>
        <w:spacing w:after="160" w:line="276"/>
      </w:pPr>
      <w:r>
        <w:rPr>
          <w:rFonts w:ascii="Calibri" w:cs="Calibri" w:eastAsia="Calibri" w:hAnsi="Calibri"/>
          <w:b/>
          <w:bCs/>
          <w:color w:val="333333"/>
          <w:sz w:val="24"/>
          <w:szCs w:val="24"/>
        </w:rPr>
        <w:t xml:space="preserve">7. The Measurement Gap</w:t>
      </w:r>
    </w:p>
    <w:p>
      <w:pPr>
        <w:spacing w:after="120" w:line="276"/>
      </w:pPr>
      <w:r>
        <w:rPr>
          <w:rFonts w:ascii="Calibri" w:cs="Calibri" w:eastAsia="Calibri" w:hAnsi="Calibri"/>
          <w:i/>
          <w:iCs/>
          <w:sz w:val="20"/>
          <w:szCs w:val="20"/>
        </w:rPr>
        <w:t xml:space="preserve">Source: WFA Cross-Media Measurement; ANA; Nielsen</w:t>
      </w:r>
    </w:p>
    <w:p>
      <w:pPr>
        <w:spacing w:after="120" w:line="276"/>
        <w:ind w:left="360"/>
      </w:pPr>
      <w:r>
        <w:rPr>
          <w:rFonts w:ascii="Calibri" w:cs="Calibri" w:eastAsia="Calibri" w:hAnsi="Calibri"/>
          <w:sz w:val="22"/>
          <w:szCs w:val="22"/>
        </w:rPr>
        <w:t xml:space="preserve">No standard cross-channel attribution method</w:t>
      </w:r>
    </w:p>
    <w:p>
      <w:pPr>
        <w:spacing w:after="120" w:line="276"/>
        <w:ind w:left="360"/>
      </w:pPr>
      <w:r>
        <w:rPr>
          <w:rFonts w:ascii="Calibri" w:cs="Calibri" w:eastAsia="Calibri" w:hAnsi="Calibri"/>
          <w:sz w:val="22"/>
          <w:szCs w:val="22"/>
        </w:rPr>
        <w:t xml:space="preserve">Walled garden opacity: Meta reports Meta, Google reports Google</w:t>
      </w:r>
    </w:p>
    <w:p>
      <w:pPr>
        <w:spacing w:after="120" w:line="276"/>
        <w:ind w:left="360"/>
      </w:pPr>
      <w:r>
        <w:rPr>
          <w:rFonts w:ascii="Calibri" w:cs="Calibri" w:eastAsia="Calibri" w:hAnsi="Calibri"/>
          <w:sz w:val="22"/>
          <w:szCs w:val="22"/>
        </w:rPr>
        <w:t xml:space="preserve">PersonalOS: complete auditable measurement. Every claim on Base blockchain. Scale+ brands get conversion attribution.</w:t>
      </w:r>
    </w:p>
    <w:p>
      <w:pPr>
        <w:spacing w:after="200"/>
      </w:pPr>
    </w:p>
    <w:p>
      <w:pPr>
        <w:spacing w:after="200" w:line="276"/>
      </w:pPr>
      <w:r>
        <w:rPr>
          <w:rFonts w:ascii="Calibri" w:cs="Calibri" w:eastAsia="Calibri" w:hAnsi="Calibri"/>
          <w:b/>
          <w:bCs/>
          <w:color w:val="1B7A4A"/>
          <w:sz w:val="28"/>
          <w:szCs w:val="28"/>
        </w:rPr>
        <w:t xml:space="preserve">PART 2: THE PERSONALOS PLATFORM</w:t>
      </w:r>
    </w:p>
    <w:p>
      <w:pPr>
        <w:spacing w:after="120" w:line="276"/>
      </w:pPr>
      <w:r>
        <w:rPr>
          <w:rFonts w:ascii="Calibri" w:cs="Calibri" w:eastAsia="Calibri" w:hAnsi="Calibri"/>
          <w:sz w:val="22"/>
          <w:szCs w:val="22"/>
        </w:rPr>
        <w:t xml:space="preserve">PersonalOS comprises four interconnected surfaces unified by 62 Architecture Decision Records that define every aspect of the system.</w:t>
      </w:r>
    </w:p>
    <w:p>
      <w:pPr>
        <w:spacing w:after="200"/>
      </w:pPr>
    </w:p>
    <w:p>
      <w:pPr>
        <w:spacing w:after="160" w:line="276"/>
      </w:pPr>
      <w:r>
        <w:rPr>
          <w:rFonts w:ascii="Calibri" w:cs="Calibri" w:eastAsia="Calibri" w:hAnsi="Calibri"/>
          <w:b/>
          <w:bCs/>
          <w:color w:val="333333"/>
          <w:sz w:val="24"/>
          <w:szCs w:val="24"/>
        </w:rPr>
        <w:t xml:space="preserve">2.1 Soul App — The Individual's Interface</w:t>
      </w:r>
    </w:p>
    <w:p>
      <w:pPr>
        <w:spacing w:after="120" w:line="276"/>
      </w:pPr>
      <w:r>
        <w:rPr>
          <w:rFonts w:ascii="Calibri" w:cs="Calibri" w:eastAsia="Calibri" w:hAnsi="Calibri"/>
          <w:sz w:val="22"/>
          <w:szCs w:val="22"/>
        </w:rPr>
        <w:t xml:space="preserve">The Soul App is where individuals manage their data, understand their digital footprint, set engagement-level preferences, receive and claim offers, and earn yield.</w:t>
      </w:r>
    </w:p>
    <w:p>
      <w:pPr>
        <w:spacing w:after="200"/>
      </w:pPr>
    </w:p>
    <w:p>
      <w:pPr>
        <w:spacing w:after="120" w:line="276"/>
      </w:pPr>
      <w:r>
        <w:rPr>
          <w:rFonts w:ascii="Calibri" w:cs="Calibri" w:eastAsia="Calibri" w:hAnsi="Calibri"/>
          <w:b/>
          <w:bCs/>
          <w:sz w:val="22"/>
          <w:szCs w:val="22"/>
        </w:rPr>
        <w:t xml:space="preserve">Trust Messaging Trinity</w:t>
      </w:r>
    </w:p>
    <w:p>
      <w:pPr>
        <w:spacing w:after="120" w:line="276"/>
        <w:ind w:left="360"/>
      </w:pPr>
      <w:r>
        <w:rPr>
          <w:rFonts w:ascii="Calibri" w:cs="Calibri" w:eastAsia="Calibri" w:hAnsi="Calibri"/>
          <w:sz w:val="22"/>
          <w:szCs w:val="22"/>
        </w:rPr>
        <w:t xml:space="preserve">"Is it safe?" → Your data stays on your phone. Raw data never leaves your device.</w:t>
      </w:r>
    </w:p>
    <w:p>
      <w:pPr>
        <w:spacing w:after="120" w:line="276"/>
        <w:ind w:left="360"/>
      </w:pPr>
      <w:r>
        <w:rPr>
          <w:rFonts w:ascii="Calibri" w:cs="Calibri" w:eastAsia="Calibri" w:hAnsi="Calibri"/>
          <w:sz w:val="22"/>
          <w:szCs w:val="22"/>
        </w:rPr>
        <w:t xml:space="preserve">"What's in it for me?" → Know Yourself cards reveal spending, health, and lifestyle patterns.</w:t>
      </w:r>
    </w:p>
    <w:p>
      <w:pPr>
        <w:spacing w:after="120" w:line="276"/>
        <w:ind w:left="360"/>
      </w:pPr>
      <w:r>
        <w:rPr>
          <w:rFonts w:ascii="Calibri" w:cs="Calibri" w:eastAsia="Calibri" w:hAnsi="Calibri"/>
          <w:sz w:val="22"/>
          <w:szCs w:val="22"/>
        </w:rPr>
        <w:t xml:space="preserve">"How do I earn?" → Brands pay you based on your needs and demands.</w:t>
      </w:r>
    </w:p>
    <w:p>
      <w:pPr>
        <w:spacing w:after="200"/>
      </w:pPr>
    </w:p>
    <w:p>
      <w:pPr>
        <w:spacing w:after="120" w:line="276"/>
      </w:pPr>
      <w:r>
        <w:rPr>
          <w:rFonts w:ascii="Calibri" w:cs="Calibri" w:eastAsia="Calibri" w:hAnsi="Calibri"/>
          <w:b/>
          <w:bCs/>
          <w:sz w:val="22"/>
          <w:szCs w:val="22"/>
        </w:rPr>
        <w:t xml:space="preserve">Data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1B7A4A" w:color="auto" w:val="clear"/>
          </w:tcPr>
          <w:p>
            <w:pPr>
              <w:spacing w:after="40"/>
            </w:pPr>
            <w:r>
              <w:rPr>
                <w:rFonts w:ascii="Calibri" w:cs="Calibri" w:eastAsia="Calibri" w:hAnsi="Calibri"/>
                <w:b/>
                <w:bCs/>
                <w:color w:val="FFFFFF"/>
                <w:sz w:val="22"/>
                <w:szCs w:val="22"/>
              </w:rPr>
              <w:t xml:space="preserve">Source</w:t>
            </w:r>
          </w:p>
        </w:tc>
        <w:tc>
          <w:tcPr>
            <w:tcW w:type="dxa" w:w="3120"/>
            <w:shd w:fill="1B7A4A" w:color="auto" w:val="clear"/>
          </w:tcPr>
          <w:p>
            <w:pPr>
              <w:spacing w:after="40"/>
            </w:pPr>
            <w:r>
              <w:rPr>
                <w:rFonts w:ascii="Calibri" w:cs="Calibri" w:eastAsia="Calibri" w:hAnsi="Calibri"/>
                <w:b/>
                <w:bCs/>
                <w:color w:val="FFFFFF"/>
                <w:sz w:val="22"/>
                <w:szCs w:val="22"/>
              </w:rPr>
              <w:t xml:space="preserve">Data Type</w:t>
            </w:r>
          </w:p>
        </w:tc>
        <w:tc>
          <w:tcPr>
            <w:tcW w:type="dxa" w:w="3120"/>
            <w:shd w:fill="1B7A4A" w:color="auto" w:val="clear"/>
          </w:tcPr>
          <w:p>
            <w:pPr>
              <w:spacing w:after="40"/>
            </w:pPr>
            <w:r>
              <w:rPr>
                <w:rFonts w:ascii="Calibri" w:cs="Calibri" w:eastAsia="Calibri" w:hAnsi="Calibri"/>
                <w:b/>
                <w:bCs/>
                <w:color w:val="FFFFFF"/>
                <w:sz w:val="22"/>
                <w:szCs w:val="22"/>
              </w:rPr>
              <w:t xml:space="preserve">Connection</w:t>
            </w:r>
          </w:p>
        </w:tc>
      </w:tr>
      <w:tr>
        <w:trPr>
          <w:tblHeader w:val="false"/>
        </w:trPr>
        <w:tc>
          <w:tcPr>
            <w:tcW w:type="dxa" w:w="3120"/>
          </w:tcPr>
          <w:p>
            <w:pPr>
              <w:spacing w:after="40"/>
            </w:pPr>
            <w:r>
              <w:rPr>
                <w:rFonts w:ascii="Calibri" w:cs="Calibri" w:eastAsia="Calibri" w:hAnsi="Calibri"/>
                <w:sz w:val="22"/>
                <w:szCs w:val="22"/>
              </w:rPr>
              <w:t xml:space="preserve">Plaid (US Banks)</w:t>
            </w:r>
          </w:p>
        </w:tc>
        <w:tc>
          <w:tcPr>
            <w:tcW w:type="dxa" w:w="3120"/>
          </w:tcPr>
          <w:p>
            <w:pPr>
              <w:spacing w:after="40"/>
            </w:pPr>
            <w:r>
              <w:rPr>
                <w:rFonts w:ascii="Calibri" w:cs="Calibri" w:eastAsia="Calibri" w:hAnsi="Calibri"/>
                <w:sz w:val="22"/>
                <w:szCs w:val="22"/>
              </w:rPr>
              <w:t xml:space="preserve">Financial transactions, balances</w:t>
            </w:r>
          </w:p>
        </w:tc>
        <w:tc>
          <w:tcPr>
            <w:tcW w:type="dxa" w:w="3120"/>
          </w:tcPr>
          <w:p>
            <w:pPr>
              <w:spacing w:after="40"/>
            </w:pPr>
            <w:r>
              <w:rPr>
                <w:rFonts w:ascii="Calibri" w:cs="Calibri" w:eastAsia="Calibri" w:hAnsi="Calibri"/>
                <w:sz w:val="22"/>
                <w:szCs w:val="22"/>
              </w:rPr>
              <w:t xml:space="preserve">OAuth bank link</w:t>
            </w:r>
          </w:p>
        </w:tc>
      </w:tr>
      <w:tr>
        <w:trPr>
          <w:tblHeader w:val="false"/>
        </w:trPr>
        <w:tc>
          <w:tcPr>
            <w:tcW w:type="dxa" w:w="3120"/>
            <w:shd w:fill="F5F5F5" w:color="auto" w:val="clear"/>
          </w:tcPr>
          <w:p>
            <w:pPr>
              <w:spacing w:after="40"/>
            </w:pPr>
            <w:r>
              <w:rPr>
                <w:rFonts w:ascii="Calibri" w:cs="Calibri" w:eastAsia="Calibri" w:hAnsi="Calibri"/>
                <w:sz w:val="22"/>
                <w:szCs w:val="22"/>
              </w:rPr>
              <w:t xml:space="preserve">Setu Account Aggregator</w:t>
            </w:r>
          </w:p>
        </w:tc>
        <w:tc>
          <w:tcPr>
            <w:tcW w:type="dxa" w:w="3120"/>
            <w:shd w:fill="F5F5F5" w:color="auto" w:val="clear"/>
          </w:tcPr>
          <w:p>
            <w:pPr>
              <w:spacing w:after="40"/>
            </w:pPr>
            <w:r>
              <w:rPr>
                <w:rFonts w:ascii="Calibri" w:cs="Calibri" w:eastAsia="Calibri" w:hAnsi="Calibri"/>
                <w:sz w:val="22"/>
                <w:szCs w:val="22"/>
              </w:rPr>
              <w:t xml:space="preserve">Indian bank accounts</w:t>
            </w:r>
          </w:p>
        </w:tc>
        <w:tc>
          <w:tcPr>
            <w:tcW w:type="dxa" w:w="3120"/>
            <w:shd w:fill="F5F5F5" w:color="auto" w:val="clear"/>
          </w:tcPr>
          <w:p>
            <w:pPr>
              <w:spacing w:after="40"/>
            </w:pPr>
            <w:r>
              <w:rPr>
                <w:rFonts w:ascii="Calibri" w:cs="Calibri" w:eastAsia="Calibri" w:hAnsi="Calibri"/>
                <w:sz w:val="22"/>
                <w:szCs w:val="22"/>
              </w:rPr>
              <w:t xml:space="preserve">AA consent framework</w:t>
            </w:r>
          </w:p>
        </w:tc>
      </w:tr>
      <w:tr>
        <w:trPr>
          <w:tblHeader w:val="false"/>
        </w:trPr>
        <w:tc>
          <w:tcPr>
            <w:tcW w:type="dxa" w:w="3120"/>
          </w:tcPr>
          <w:p>
            <w:pPr>
              <w:spacing w:after="40"/>
            </w:pPr>
            <w:r>
              <w:rPr>
                <w:rFonts w:ascii="Calibri" w:cs="Calibri" w:eastAsia="Calibri" w:hAnsi="Calibri"/>
                <w:sz w:val="22"/>
                <w:szCs w:val="22"/>
              </w:rPr>
              <w:t xml:space="preserve">Google Data Portability</w:t>
            </w:r>
          </w:p>
        </w:tc>
        <w:tc>
          <w:tcPr>
            <w:tcW w:type="dxa" w:w="3120"/>
          </w:tcPr>
          <w:p>
            <w:pPr>
              <w:spacing w:after="40"/>
            </w:pPr>
            <w:r>
              <w:rPr>
                <w:rFonts w:ascii="Calibri" w:cs="Calibri" w:eastAsia="Calibri" w:hAnsi="Calibri"/>
                <w:sz w:val="22"/>
                <w:szCs w:val="22"/>
              </w:rPr>
              <w:t xml:space="preserve">Activity, search, YouTube</w:t>
            </w:r>
          </w:p>
        </w:tc>
        <w:tc>
          <w:tcPr>
            <w:tcW w:type="dxa" w:w="3120"/>
          </w:tcPr>
          <w:p>
            <w:pPr>
              <w:spacing w:after="40"/>
            </w:pPr>
            <w:r>
              <w:rPr>
                <w:rFonts w:ascii="Calibri" w:cs="Calibri" w:eastAsia="Calibri" w:hAnsi="Calibri"/>
                <w:sz w:val="22"/>
                <w:szCs w:val="22"/>
              </w:rPr>
              <w:t xml:space="preserve">DPA API</w:t>
            </w:r>
          </w:p>
        </w:tc>
      </w:tr>
      <w:tr>
        <w:trPr>
          <w:tblHeader w:val="false"/>
        </w:trPr>
        <w:tc>
          <w:tcPr>
            <w:tcW w:type="dxa" w:w="3120"/>
            <w:shd w:fill="F5F5F5" w:color="auto" w:val="clear"/>
          </w:tcPr>
          <w:p>
            <w:pPr>
              <w:spacing w:after="40"/>
            </w:pPr>
            <w:r>
              <w:rPr>
                <w:rFonts w:ascii="Calibri" w:cs="Calibri" w:eastAsia="Calibri" w:hAnsi="Calibri"/>
                <w:sz w:val="22"/>
                <w:szCs w:val="22"/>
              </w:rPr>
              <w:t xml:space="preserve">Apple Health</w:t>
            </w:r>
          </w:p>
        </w:tc>
        <w:tc>
          <w:tcPr>
            <w:tcW w:type="dxa" w:w="3120"/>
            <w:shd w:fill="F5F5F5" w:color="auto" w:val="clear"/>
          </w:tcPr>
          <w:p>
            <w:pPr>
              <w:spacing w:after="40"/>
            </w:pPr>
            <w:r>
              <w:rPr>
                <w:rFonts w:ascii="Calibri" w:cs="Calibri" w:eastAsia="Calibri" w:hAnsi="Calibri"/>
                <w:sz w:val="22"/>
                <w:szCs w:val="22"/>
              </w:rPr>
              <w:t xml:space="preserve">Steps, heart rate, sleep, workouts</w:t>
            </w:r>
          </w:p>
        </w:tc>
        <w:tc>
          <w:tcPr>
            <w:tcW w:type="dxa" w:w="3120"/>
            <w:shd w:fill="F5F5F5" w:color="auto" w:val="clear"/>
          </w:tcPr>
          <w:p>
            <w:pPr>
              <w:spacing w:after="40"/>
            </w:pPr>
            <w:r>
              <w:rPr>
                <w:rFonts w:ascii="Calibri" w:cs="Calibri" w:eastAsia="Calibri" w:hAnsi="Calibri"/>
                <w:sz w:val="22"/>
                <w:szCs w:val="22"/>
              </w:rPr>
              <w:t xml:space="preserve">FHIR export</w:t>
            </w:r>
          </w:p>
        </w:tc>
      </w:tr>
      <w:tr>
        <w:trPr>
          <w:tblHeader w:val="false"/>
        </w:trPr>
        <w:tc>
          <w:tcPr>
            <w:tcW w:type="dxa" w:w="3120"/>
          </w:tcPr>
          <w:p>
            <w:pPr>
              <w:spacing w:after="40"/>
            </w:pPr>
            <w:r>
              <w:rPr>
                <w:rFonts w:ascii="Calibri" w:cs="Calibri" w:eastAsia="Calibri" w:hAnsi="Calibri"/>
                <w:sz w:val="22"/>
                <w:szCs w:val="22"/>
              </w:rPr>
              <w:t xml:space="preserve">Amazon</w:t>
            </w:r>
          </w:p>
        </w:tc>
        <w:tc>
          <w:tcPr>
            <w:tcW w:type="dxa" w:w="3120"/>
          </w:tcPr>
          <w:p>
            <w:pPr>
              <w:spacing w:after="40"/>
            </w:pPr>
            <w:r>
              <w:rPr>
                <w:rFonts w:ascii="Calibri" w:cs="Calibri" w:eastAsia="Calibri" w:hAnsi="Calibri"/>
                <w:sz w:val="22"/>
                <w:szCs w:val="22"/>
              </w:rPr>
              <w:t xml:space="preserve">Purchase history, wishlists</w:t>
            </w:r>
          </w:p>
        </w:tc>
        <w:tc>
          <w:tcPr>
            <w:tcW w:type="dxa" w:w="3120"/>
          </w:tcPr>
          <w:p>
            <w:pPr>
              <w:spacing w:after="40"/>
            </w:pPr>
            <w:r>
              <w:rPr>
                <w:rFonts w:ascii="Calibri" w:cs="Calibri" w:eastAsia="Calibri" w:hAnsi="Calibri"/>
                <w:sz w:val="22"/>
                <w:szCs w:val="22"/>
              </w:rPr>
              <w:t xml:space="preserve">BYOD CSV upload</w:t>
            </w:r>
          </w:p>
        </w:tc>
      </w:tr>
      <w:tr>
        <w:trPr>
          <w:tblHeader w:val="false"/>
        </w:trPr>
        <w:tc>
          <w:tcPr>
            <w:tcW w:type="dxa" w:w="3120"/>
            <w:shd w:fill="F5F5F5" w:color="auto" w:val="clear"/>
          </w:tcPr>
          <w:p>
            <w:pPr>
              <w:spacing w:after="40"/>
            </w:pPr>
            <w:r>
              <w:rPr>
                <w:rFonts w:ascii="Calibri" w:cs="Calibri" w:eastAsia="Calibri" w:hAnsi="Calibri"/>
                <w:sz w:val="22"/>
                <w:szCs w:val="22"/>
              </w:rPr>
              <w:t xml:space="preserve">Uber</w:t>
            </w:r>
          </w:p>
        </w:tc>
        <w:tc>
          <w:tcPr>
            <w:tcW w:type="dxa" w:w="3120"/>
            <w:shd w:fill="F5F5F5" w:color="auto" w:val="clear"/>
          </w:tcPr>
          <w:p>
            <w:pPr>
              <w:spacing w:after="40"/>
            </w:pPr>
            <w:r>
              <w:rPr>
                <w:rFonts w:ascii="Calibri" w:cs="Calibri" w:eastAsia="Calibri" w:hAnsi="Calibri"/>
                <w:sz w:val="22"/>
                <w:szCs w:val="22"/>
              </w:rPr>
              <w:t xml:space="preserve">Trip history, spending</w:t>
            </w:r>
          </w:p>
        </w:tc>
        <w:tc>
          <w:tcPr>
            <w:tcW w:type="dxa" w:w="3120"/>
            <w:shd w:fill="F5F5F5" w:color="auto" w:val="clear"/>
          </w:tcPr>
          <w:p>
            <w:pPr>
              <w:spacing w:after="40"/>
            </w:pPr>
            <w:r>
              <w:rPr>
                <w:rFonts w:ascii="Calibri" w:cs="Calibri" w:eastAsia="Calibri" w:hAnsi="Calibri"/>
                <w:sz w:val="22"/>
                <w:szCs w:val="22"/>
              </w:rPr>
              <w:t xml:space="preserve">BYOD CSV upload</w:t>
            </w:r>
          </w:p>
        </w:tc>
      </w:tr>
      <w:tr>
        <w:trPr>
          <w:tblHeader w:val="false"/>
        </w:trPr>
        <w:tc>
          <w:tcPr>
            <w:tcW w:type="dxa" w:w="3120"/>
          </w:tcPr>
          <w:p>
            <w:pPr>
              <w:spacing w:after="40"/>
            </w:pPr>
            <w:r>
              <w:rPr>
                <w:rFonts w:ascii="Calibri" w:cs="Calibri" w:eastAsia="Calibri" w:hAnsi="Calibri"/>
                <w:sz w:val="22"/>
                <w:szCs w:val="22"/>
              </w:rPr>
              <w:t xml:space="preserve">Instagram</w:t>
            </w:r>
          </w:p>
        </w:tc>
        <w:tc>
          <w:tcPr>
            <w:tcW w:type="dxa" w:w="3120"/>
          </w:tcPr>
          <w:p>
            <w:pPr>
              <w:spacing w:after="40"/>
            </w:pPr>
            <w:r>
              <w:rPr>
                <w:rFonts w:ascii="Calibri" w:cs="Calibri" w:eastAsia="Calibri" w:hAnsi="Calibri"/>
                <w:sz w:val="22"/>
                <w:szCs w:val="22"/>
              </w:rPr>
              <w:t xml:space="preserve">Content engagement, interests</w:t>
            </w:r>
          </w:p>
        </w:tc>
        <w:tc>
          <w:tcPr>
            <w:tcW w:type="dxa" w:w="3120"/>
          </w:tcPr>
          <w:p>
            <w:pPr>
              <w:spacing w:after="40"/>
            </w:pPr>
            <w:r>
              <w:rPr>
                <w:rFonts w:ascii="Calibri" w:cs="Calibri" w:eastAsia="Calibri" w:hAnsi="Calibri"/>
                <w:sz w:val="22"/>
                <w:szCs w:val="22"/>
              </w:rPr>
              <w:t xml:space="preserve">BYOD export</w:t>
            </w:r>
          </w:p>
        </w:tc>
      </w:tr>
    </w:tbl>
    <w:p>
      <w:pPr>
        <w:spacing w:after="200"/>
      </w:pPr>
    </w:p>
    <w:p>
      <w:pPr>
        <w:spacing w:after="120" w:line="276"/>
      </w:pPr>
      <w:r>
        <w:rPr>
          <w:rFonts w:ascii="Calibri" w:cs="Calibri" w:eastAsia="Calibri" w:hAnsi="Calibri"/>
          <w:sz w:val="22"/>
          <w:szCs w:val="22"/>
        </w:rPr>
        <w:t xml:space="preserve">All raw data is processed entirely on-device (ADR-07). No raw transaction data — not even encrypted — is transmitted to PersonalOS servers.</w:t>
      </w:r>
    </w:p>
    <w:p>
      <w:pPr>
        <w:spacing w:after="200"/>
      </w:pPr>
    </w:p>
    <w:p>
      <w:pPr>
        <w:spacing w:after="120" w:line="276"/>
      </w:pPr>
      <w:r>
        <w:rPr>
          <w:rFonts w:ascii="Calibri" w:cs="Calibri" w:eastAsia="Calibri" w:hAnsi="Calibri"/>
          <w:b/>
          <w:bCs/>
          <w:sz w:val="22"/>
          <w:szCs w:val="22"/>
        </w:rPr>
        <w:t xml:space="preserve">Know Yourself — AI-Powered Self-Knowledge</w:t>
      </w:r>
    </w:p>
    <w:p>
      <w:pPr>
        <w:spacing w:after="120" w:line="276"/>
        <w:ind w:left="360"/>
      </w:pPr>
      <w:r>
        <w:rPr>
          <w:rFonts w:ascii="Calibri" w:cs="Calibri" w:eastAsia="Calibri" w:hAnsi="Calibri"/>
          <w:sz w:val="22"/>
          <w:szCs w:val="22"/>
        </w:rPr>
        <w:t xml:space="preserve">5 Insight Cards: cross-source synthesis showing spending, health, mobility, shopping, engagement</w:t>
      </w:r>
    </w:p>
    <w:p>
      <w:pPr>
        <w:spacing w:after="120" w:line="276"/>
        <w:ind w:left="360"/>
      </w:pPr>
      <w:r>
        <w:rPr>
          <w:rFonts w:ascii="Calibri" w:cs="Calibri" w:eastAsia="Calibri" w:hAnsi="Calibri"/>
          <w:sz w:val="22"/>
          <w:szCs w:val="22"/>
        </w:rPr>
        <w:t xml:space="preserve">Weekly AI Digest: personalized summary of digital footprint</w:t>
      </w:r>
    </w:p>
    <w:p>
      <w:pPr>
        <w:spacing w:after="120" w:line="276"/>
        <w:ind w:left="360"/>
      </w:pPr>
      <w:r>
        <w:rPr>
          <w:rFonts w:ascii="Calibri" w:cs="Calibri" w:eastAsia="Calibri" w:hAnsi="Calibri"/>
          <w:sz w:val="22"/>
          <w:szCs w:val="22"/>
        </w:rPr>
        <w:t xml:space="preserve">Mainnet Gate: 3+ sources, 5 cards, first digest = prerequisite for marketplace</w:t>
      </w:r>
    </w:p>
    <w:p>
      <w:pPr>
        <w:spacing w:after="200"/>
      </w:pPr>
    </w:p>
    <w:p>
      <w:pPr>
        <w:spacing w:after="120" w:line="276"/>
      </w:pPr>
      <w:r>
        <w:rPr>
          <w:rFonts w:ascii="Calibri" w:cs="Calibri" w:eastAsia="Calibri" w:hAnsi="Calibri"/>
          <w:b/>
          <w:bCs/>
          <w:sz w:val="22"/>
          <w:szCs w:val="22"/>
        </w:rPr>
        <w:t xml:space="preserve">Four-Level Engagement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2560"/>
        <w:gridCol w:w="2400"/>
        <w:gridCol w:w="1800"/>
      </w:tblGrid>
      <w:tr>
        <w:trPr>
          <w:tblHeader/>
        </w:trPr>
        <w:tc>
          <w:tcPr>
            <w:tcW w:type="dxa" w:w="1200"/>
            <w:shd w:fill="1B7A4A" w:color="auto" w:val="clear"/>
          </w:tcPr>
          <w:p>
            <w:pPr>
              <w:spacing w:after="40"/>
            </w:pPr>
            <w:r>
              <w:rPr>
                <w:rFonts w:ascii="Calibri" w:cs="Calibri" w:eastAsia="Calibri" w:hAnsi="Calibri"/>
                <w:b/>
                <w:bCs/>
                <w:color w:val="FFFFFF"/>
                <w:sz w:val="22"/>
                <w:szCs w:val="22"/>
              </w:rPr>
              <w:t xml:space="preserve">Level</w:t>
            </w:r>
          </w:p>
        </w:tc>
        <w:tc>
          <w:tcPr>
            <w:tcW w:type="dxa" w:w="1400"/>
            <w:shd w:fill="1B7A4A" w:color="auto" w:val="clear"/>
          </w:tcPr>
          <w:p>
            <w:pPr>
              <w:spacing w:after="40"/>
            </w:pPr>
            <w:r>
              <w:rPr>
                <w:rFonts w:ascii="Calibri" w:cs="Calibri" w:eastAsia="Calibri" w:hAnsi="Calibri"/>
                <w:b/>
                <w:bCs/>
                <w:color w:val="FFFFFF"/>
                <w:sz w:val="22"/>
                <w:szCs w:val="22"/>
              </w:rPr>
              <w:t xml:space="preserve">Name</w:t>
            </w:r>
          </w:p>
        </w:tc>
        <w:tc>
          <w:tcPr>
            <w:tcW w:type="dxa" w:w="2560"/>
            <w:shd w:fill="1B7A4A" w:color="auto" w:val="clear"/>
          </w:tcPr>
          <w:p>
            <w:pPr>
              <w:spacing w:after="40"/>
            </w:pPr>
            <w:r>
              <w:rPr>
                <w:rFonts w:ascii="Calibri" w:cs="Calibri" w:eastAsia="Calibri" w:hAnsi="Calibri"/>
                <w:b/>
                <w:bCs/>
                <w:color w:val="FFFFFF"/>
                <w:sz w:val="22"/>
                <w:szCs w:val="22"/>
              </w:rPr>
              <w:t xml:space="preserve">Meaning</w:t>
            </w:r>
          </w:p>
        </w:tc>
        <w:tc>
          <w:tcPr>
            <w:tcW w:type="dxa" w:w="2400"/>
            <w:shd w:fill="1B7A4A" w:color="auto" w:val="clear"/>
          </w:tcPr>
          <w:p>
            <w:pPr>
              <w:spacing w:after="40"/>
            </w:pPr>
            <w:r>
              <w:rPr>
                <w:rFonts w:ascii="Calibri" w:cs="Calibri" w:eastAsia="Calibri" w:hAnsi="Calibri"/>
                <w:b/>
                <w:bCs/>
                <w:color w:val="FFFFFF"/>
                <w:sz w:val="22"/>
                <w:szCs w:val="22"/>
              </w:rPr>
              <w:t xml:space="preserve">Brand Access</w:t>
            </w:r>
          </w:p>
        </w:tc>
        <w:tc>
          <w:tcPr>
            <w:tcW w:type="dxa" w:w="1800"/>
            <w:shd w:fill="1B7A4A" w:color="auto" w:val="clear"/>
          </w:tcPr>
          <w:p>
            <w:pPr>
              <w:spacing w:after="40"/>
            </w:pPr>
            <w:r>
              <w:rPr>
                <w:rFonts w:ascii="Calibri" w:cs="Calibri" w:eastAsia="Calibri" w:hAnsi="Calibri"/>
                <w:b/>
                <w:bCs/>
                <w:color w:val="FFFFFF"/>
                <w:sz w:val="22"/>
                <w:szCs w:val="22"/>
              </w:rPr>
              <w:t xml:space="preserve">Bid Multiplier</w:t>
            </w:r>
          </w:p>
        </w:tc>
      </w:tr>
      <w:tr>
        <w:trPr>
          <w:tblHeader w:val="false"/>
        </w:trPr>
        <w:tc>
          <w:tcPr>
            <w:tcW w:type="dxa" w:w="1200"/>
          </w:tcPr>
          <w:p>
            <w:pPr>
              <w:spacing w:after="40"/>
            </w:pPr>
            <w:r>
              <w:rPr>
                <w:rFonts w:ascii="Calibri" w:cs="Calibri" w:eastAsia="Calibri" w:hAnsi="Calibri"/>
                <w:sz w:val="22"/>
                <w:szCs w:val="22"/>
              </w:rPr>
              <w:t xml:space="preserve">0</w:t>
            </w:r>
          </w:p>
        </w:tc>
        <w:tc>
          <w:tcPr>
            <w:tcW w:type="dxa" w:w="1400"/>
          </w:tcPr>
          <w:p>
            <w:pPr>
              <w:spacing w:after="40"/>
            </w:pPr>
            <w:r>
              <w:rPr>
                <w:rFonts w:ascii="Calibri" w:cs="Calibri" w:eastAsia="Calibri" w:hAnsi="Calibri"/>
                <w:sz w:val="22"/>
                <w:szCs w:val="22"/>
              </w:rPr>
              <w:t xml:space="preserve">Off</w:t>
            </w:r>
          </w:p>
        </w:tc>
        <w:tc>
          <w:tcPr>
            <w:tcW w:type="dxa" w:w="2560"/>
          </w:tcPr>
          <w:p>
            <w:pPr>
              <w:spacing w:after="40"/>
            </w:pPr>
            <w:r>
              <w:rPr>
                <w:rFonts w:ascii="Calibri" w:cs="Calibri" w:eastAsia="Calibri" w:hAnsi="Calibri"/>
                <w:sz w:val="22"/>
                <w:szCs w:val="22"/>
              </w:rPr>
              <w:t xml:space="preserve">No engagement</w:t>
            </w:r>
          </w:p>
        </w:tc>
        <w:tc>
          <w:tcPr>
            <w:tcW w:type="dxa" w:w="2400"/>
          </w:tcPr>
          <w:p>
            <w:pPr>
              <w:spacing w:after="40"/>
            </w:pPr>
            <w:r>
              <w:rPr>
                <w:rFonts w:ascii="Calibri" w:cs="Calibri" w:eastAsia="Calibri" w:hAnsi="Calibri"/>
                <w:sz w:val="22"/>
                <w:szCs w:val="22"/>
              </w:rPr>
              <w:t xml:space="preserve">Invisible to brands</w:t>
            </w:r>
          </w:p>
        </w:tc>
        <w:tc>
          <w:tcPr>
            <w:tcW w:type="dxa" w:w="1800"/>
          </w:tcPr>
          <w:p>
            <w:pPr>
              <w:spacing w:after="40"/>
            </w:pPr>
            <w:r>
              <w:rPr>
                <w:rFonts w:ascii="Calibri" w:cs="Calibri" w:eastAsia="Calibri" w:hAnsi="Calibri"/>
                <w:sz w:val="22"/>
                <w:szCs w:val="22"/>
              </w:rPr>
              <w:t xml:space="preserve">None</w:t>
            </w:r>
          </w:p>
        </w:tc>
      </w:tr>
      <w:tr>
        <w:trPr>
          <w:tblHeader w:val="false"/>
        </w:trPr>
        <w:tc>
          <w:tcPr>
            <w:tcW w:type="dxa" w:w="1200"/>
            <w:shd w:fill="F5F5F5" w:color="auto" w:val="clear"/>
          </w:tcPr>
          <w:p>
            <w:pPr>
              <w:spacing w:after="40"/>
            </w:pPr>
            <w:r>
              <w:rPr>
                <w:rFonts w:ascii="Calibri" w:cs="Calibri" w:eastAsia="Calibri" w:hAnsi="Calibri"/>
                <w:sz w:val="22"/>
                <w:szCs w:val="22"/>
              </w:rPr>
              <w:t xml:space="preserve">1</w:t>
            </w:r>
          </w:p>
        </w:tc>
        <w:tc>
          <w:tcPr>
            <w:tcW w:type="dxa" w:w="1400"/>
            <w:shd w:fill="F5F5F5" w:color="auto" w:val="clear"/>
          </w:tcPr>
          <w:p>
            <w:pPr>
              <w:spacing w:after="40"/>
            </w:pPr>
            <w:r>
              <w:rPr>
                <w:rFonts w:ascii="Calibri" w:cs="Calibri" w:eastAsia="Calibri" w:hAnsi="Calibri"/>
                <w:sz w:val="22"/>
                <w:szCs w:val="22"/>
              </w:rPr>
              <w:t xml:space="preserve">Open</w:t>
            </w:r>
          </w:p>
        </w:tc>
        <w:tc>
          <w:tcPr>
            <w:tcW w:type="dxa" w:w="2560"/>
            <w:shd w:fill="F5F5F5" w:color="auto" w:val="clear"/>
          </w:tcPr>
          <w:p>
            <w:pPr>
              <w:spacing w:after="40"/>
            </w:pPr>
            <w:r>
              <w:rPr>
                <w:rFonts w:ascii="Calibri" w:cs="Calibri" w:eastAsia="Calibri" w:hAnsi="Calibri"/>
                <w:sz w:val="22"/>
                <w:szCs w:val="22"/>
              </w:rPr>
              <w:t xml:space="preserve">Open to hearing from brands</w:t>
            </w:r>
          </w:p>
        </w:tc>
        <w:tc>
          <w:tcPr>
            <w:tcW w:type="dxa" w:w="2400"/>
            <w:shd w:fill="F5F5F5" w:color="auto" w:val="clear"/>
          </w:tcPr>
          <w:p>
            <w:pPr>
              <w:spacing w:after="40"/>
            </w:pPr>
            <w:r>
              <w:rPr>
                <w:rFonts w:ascii="Calibri" w:cs="Calibri" w:eastAsia="Calibri" w:hAnsi="Calibri"/>
                <w:sz w:val="22"/>
                <w:szCs w:val="22"/>
              </w:rPr>
              <w:t xml:space="preserve">Any active brand</w:t>
            </w:r>
          </w:p>
        </w:tc>
        <w:tc>
          <w:tcPr>
            <w:tcW w:type="dxa" w:w="1800"/>
            <w:shd w:fill="F5F5F5" w:color="auto" w:val="clear"/>
          </w:tcPr>
          <w:p>
            <w:pPr>
              <w:spacing w:after="40"/>
            </w:pPr>
            <w:r>
              <w:rPr>
                <w:rFonts w:ascii="Calibri" w:cs="Calibri" w:eastAsia="Calibri" w:hAnsi="Calibri"/>
                <w:sz w:val="22"/>
                <w:szCs w:val="22"/>
              </w:rPr>
              <w:t xml:space="preserve">1.0x</w:t>
            </w:r>
          </w:p>
        </w:tc>
      </w:tr>
      <w:tr>
        <w:trPr>
          <w:tblHeader w:val="false"/>
        </w:trPr>
        <w:tc>
          <w:tcPr>
            <w:tcW w:type="dxa" w:w="1200"/>
          </w:tcPr>
          <w:p>
            <w:pPr>
              <w:spacing w:after="40"/>
            </w:pPr>
            <w:r>
              <w:rPr>
                <w:rFonts w:ascii="Calibri" w:cs="Calibri" w:eastAsia="Calibri" w:hAnsi="Calibri"/>
                <w:sz w:val="22"/>
                <w:szCs w:val="22"/>
              </w:rPr>
              <w:t xml:space="preserve">2</w:t>
            </w:r>
          </w:p>
        </w:tc>
        <w:tc>
          <w:tcPr>
            <w:tcW w:type="dxa" w:w="1400"/>
          </w:tcPr>
          <w:p>
            <w:pPr>
              <w:spacing w:after="40"/>
            </w:pPr>
            <w:r>
              <w:rPr>
                <w:rFonts w:ascii="Calibri" w:cs="Calibri" w:eastAsia="Calibri" w:hAnsi="Calibri"/>
                <w:sz w:val="22"/>
                <w:szCs w:val="22"/>
              </w:rPr>
              <w:t xml:space="preserve">Exploring</w:t>
            </w:r>
          </w:p>
        </w:tc>
        <w:tc>
          <w:tcPr>
            <w:tcW w:type="dxa" w:w="2560"/>
          </w:tcPr>
          <w:p>
            <w:pPr>
              <w:spacing w:after="40"/>
            </w:pPr>
            <w:r>
              <w:rPr>
                <w:rFonts w:ascii="Calibri" w:cs="Calibri" w:eastAsia="Calibri" w:hAnsi="Calibri"/>
                <w:sz w:val="22"/>
                <w:szCs w:val="22"/>
              </w:rPr>
              <w:t xml:space="preserve">Actively researching</w:t>
            </w:r>
          </w:p>
        </w:tc>
        <w:tc>
          <w:tcPr>
            <w:tcW w:type="dxa" w:w="2400"/>
          </w:tcPr>
          <w:p>
            <w:pPr>
              <w:spacing w:after="40"/>
            </w:pPr>
            <w:r>
              <w:rPr>
                <w:rFonts w:ascii="Calibri" w:cs="Calibri" w:eastAsia="Calibri" w:hAnsi="Calibri"/>
                <w:sz w:val="22"/>
                <w:szCs w:val="22"/>
              </w:rPr>
              <w:t xml:space="preserve">Brands with score 50+</w:t>
            </w:r>
          </w:p>
        </w:tc>
        <w:tc>
          <w:tcPr>
            <w:tcW w:type="dxa" w:w="1800"/>
          </w:tcPr>
          <w:p>
            <w:pPr>
              <w:spacing w:after="40"/>
            </w:pPr>
            <w:r>
              <w:rPr>
                <w:rFonts w:ascii="Calibri" w:cs="Calibri" w:eastAsia="Calibri" w:hAnsi="Calibri"/>
                <w:sz w:val="22"/>
                <w:szCs w:val="22"/>
              </w:rPr>
              <w:t xml:space="preserve">1.5-2x</w:t>
            </w:r>
          </w:p>
        </w:tc>
      </w:tr>
      <w:tr>
        <w:trPr>
          <w:tblHeader w:val="false"/>
        </w:trPr>
        <w:tc>
          <w:tcPr>
            <w:tcW w:type="dxa" w:w="1200"/>
            <w:shd w:fill="F5F5F5" w:color="auto" w:val="clear"/>
          </w:tcPr>
          <w:p>
            <w:pPr>
              <w:spacing w:after="40"/>
            </w:pPr>
            <w:r>
              <w:rPr>
                <w:rFonts w:ascii="Calibri" w:cs="Calibri" w:eastAsia="Calibri" w:hAnsi="Calibri"/>
                <w:sz w:val="22"/>
                <w:szCs w:val="22"/>
              </w:rPr>
              <w:t xml:space="preserve">3</w:t>
            </w:r>
          </w:p>
        </w:tc>
        <w:tc>
          <w:tcPr>
            <w:tcW w:type="dxa" w:w="1400"/>
            <w:shd w:fill="F5F5F5" w:color="auto" w:val="clear"/>
          </w:tcPr>
          <w:p>
            <w:pPr>
              <w:spacing w:after="40"/>
            </w:pPr>
            <w:r>
              <w:rPr>
                <w:rFonts w:ascii="Calibri" w:cs="Calibri" w:eastAsia="Calibri" w:hAnsi="Calibri"/>
                <w:sz w:val="22"/>
                <w:szCs w:val="22"/>
              </w:rPr>
              <w:t xml:space="preserve">Ready</w:t>
            </w:r>
          </w:p>
        </w:tc>
        <w:tc>
          <w:tcPr>
            <w:tcW w:type="dxa" w:w="2560"/>
            <w:shd w:fill="F5F5F5" w:color="auto" w:val="clear"/>
          </w:tcPr>
          <w:p>
            <w:pPr>
              <w:spacing w:after="40"/>
            </w:pPr>
            <w:r>
              <w:rPr>
                <w:rFonts w:ascii="Calibri" w:cs="Calibri" w:eastAsia="Calibri" w:hAnsi="Calibri"/>
                <w:sz w:val="22"/>
                <w:szCs w:val="22"/>
              </w:rPr>
              <w:t xml:space="preserve">Planning to act in 30-60 days</w:t>
            </w:r>
          </w:p>
        </w:tc>
        <w:tc>
          <w:tcPr>
            <w:tcW w:type="dxa" w:w="2400"/>
            <w:shd w:fill="F5F5F5" w:color="auto" w:val="clear"/>
          </w:tcPr>
          <w:p>
            <w:pPr>
              <w:spacing w:after="40"/>
            </w:pPr>
            <w:r>
              <w:rPr>
                <w:rFonts w:ascii="Calibri" w:cs="Calibri" w:eastAsia="Calibri" w:hAnsi="Calibri"/>
                <w:sz w:val="22"/>
                <w:szCs w:val="22"/>
              </w:rPr>
              <w:t xml:space="preserve">Brands with score 70+</w:t>
            </w:r>
          </w:p>
        </w:tc>
        <w:tc>
          <w:tcPr>
            <w:tcW w:type="dxa" w:w="1800"/>
            <w:shd w:fill="F5F5F5" w:color="auto" w:val="clear"/>
          </w:tcPr>
          <w:p>
            <w:pPr>
              <w:spacing w:after="40"/>
            </w:pPr>
            <w:r>
              <w:rPr>
                <w:rFonts w:ascii="Calibri" w:cs="Calibri" w:eastAsia="Calibri" w:hAnsi="Calibri"/>
                <w:sz w:val="22"/>
                <w:szCs w:val="22"/>
              </w:rPr>
              <w:t xml:space="preserve">2-5x floating</w:t>
            </w:r>
          </w:p>
        </w:tc>
      </w:tr>
    </w:tbl>
    <w:p>
      <w:pPr>
        <w:spacing w:after="200"/>
      </w:pPr>
    </w:p>
    <w:p>
      <w:pPr>
        <w:spacing w:after="120" w:line="276"/>
      </w:pPr>
      <w:r>
        <w:rPr>
          <w:rFonts w:ascii="Calibri" w:cs="Calibri" w:eastAsia="Calibri" w:hAnsi="Calibri"/>
          <w:b/>
          <w:bCs/>
          <w:sz w:val="22"/>
          <w:szCs w:val="22"/>
        </w:rPr>
        <w:t xml:space="preserve">Soul Tier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3240"/>
        <w:gridCol w:w="1800"/>
      </w:tblGrid>
      <w:tr>
        <w:trPr>
          <w:tblHeader/>
        </w:trPr>
        <w:tc>
          <w:tcPr>
            <w:tcW w:type="dxa" w:w="1800"/>
            <w:shd w:fill="1B7A4A" w:color="auto" w:val="clear"/>
          </w:tcPr>
          <w:p>
            <w:pPr>
              <w:spacing w:after="40"/>
            </w:pPr>
            <w:r>
              <w:rPr>
                <w:rFonts w:ascii="Calibri" w:cs="Calibri" w:eastAsia="Calibri" w:hAnsi="Calibri"/>
                <w:b/>
                <w:bCs/>
                <w:color w:val="FFFFFF"/>
                <w:sz w:val="22"/>
                <w:szCs w:val="22"/>
              </w:rPr>
              <w:t xml:space="preserve">Tier</w:t>
            </w:r>
          </w:p>
        </w:tc>
        <w:tc>
          <w:tcPr>
            <w:tcW w:type="dxa" w:w="2520"/>
            <w:shd w:fill="1B7A4A" w:color="auto" w:val="clear"/>
          </w:tcPr>
          <w:p>
            <w:pPr>
              <w:spacing w:after="40"/>
            </w:pPr>
            <w:r>
              <w:rPr>
                <w:rFonts w:ascii="Calibri" w:cs="Calibri" w:eastAsia="Calibri" w:hAnsi="Calibri"/>
                <w:b/>
                <w:bCs/>
                <w:color w:val="FFFFFF"/>
                <w:sz w:val="22"/>
                <w:szCs w:val="22"/>
              </w:rPr>
              <w:t xml:space="preserve">Population</w:t>
            </w:r>
          </w:p>
        </w:tc>
        <w:tc>
          <w:tcPr>
            <w:tcW w:type="dxa" w:w="3240"/>
            <w:shd w:fill="1B7A4A" w:color="auto" w:val="clear"/>
          </w:tcPr>
          <w:p>
            <w:pPr>
              <w:spacing w:after="40"/>
            </w:pPr>
            <w:r>
              <w:rPr>
                <w:rFonts w:ascii="Calibri" w:cs="Calibri" w:eastAsia="Calibri" w:hAnsi="Calibri"/>
                <w:b/>
                <w:bCs/>
                <w:color w:val="FFFFFF"/>
                <w:sz w:val="22"/>
                <w:szCs w:val="22"/>
              </w:rPr>
              <w:t xml:space="preserve">Composite Score</w:t>
            </w:r>
          </w:p>
        </w:tc>
        <w:tc>
          <w:tcPr>
            <w:tcW w:type="dxa" w:w="1800"/>
            <w:shd w:fill="1B7A4A" w:color="auto" w:val="clear"/>
          </w:tcPr>
          <w:p>
            <w:pPr>
              <w:spacing w:after="40"/>
            </w:pPr>
            <w:r>
              <w:rPr>
                <w:rFonts w:ascii="Calibri" w:cs="Calibri" w:eastAsia="Calibri" w:hAnsi="Calibri"/>
                <w:b/>
                <w:bCs/>
                <w:color w:val="FFFFFF"/>
                <w:sz w:val="22"/>
                <w:szCs w:val="22"/>
              </w:rPr>
              <w:t xml:space="preserve">Premium Multiplier</w:t>
            </w:r>
          </w:p>
        </w:tc>
      </w:tr>
      <w:tr>
        <w:trPr>
          <w:tblHeader w:val="false"/>
        </w:trPr>
        <w:tc>
          <w:tcPr>
            <w:tcW w:type="dxa" w:w="1800"/>
          </w:tcPr>
          <w:p>
            <w:pPr>
              <w:spacing w:after="40"/>
            </w:pPr>
            <w:r>
              <w:rPr>
                <w:rFonts w:ascii="Calibri" w:cs="Calibri" w:eastAsia="Calibri" w:hAnsi="Calibri"/>
                <w:sz w:val="22"/>
                <w:szCs w:val="22"/>
              </w:rPr>
              <w:t xml:space="preserve">Standard</w:t>
            </w:r>
          </w:p>
        </w:tc>
        <w:tc>
          <w:tcPr>
            <w:tcW w:type="dxa" w:w="2520"/>
          </w:tcPr>
          <w:p>
            <w:pPr>
              <w:spacing w:after="40"/>
            </w:pPr>
            <w:r>
              <w:rPr>
                <w:rFonts w:ascii="Calibri" w:cs="Calibri" w:eastAsia="Calibri" w:hAnsi="Calibri"/>
                <w:sz w:val="22"/>
                <w:szCs w:val="22"/>
              </w:rPr>
              <w:t xml:space="preserve">~60% of active souls</w:t>
            </w:r>
          </w:p>
        </w:tc>
        <w:tc>
          <w:tcPr>
            <w:tcW w:type="dxa" w:w="3240"/>
          </w:tcPr>
          <w:p>
            <w:pPr>
              <w:spacing w:after="40"/>
            </w:pPr>
            <w:r>
              <w:rPr>
                <w:rFonts w:ascii="Calibri" w:cs="Calibri" w:eastAsia="Calibri" w:hAnsi="Calibri"/>
                <w:sz w:val="22"/>
                <w:szCs w:val="22"/>
              </w:rPr>
              <w:t xml:space="preserve">Everyone starts here</w:t>
            </w:r>
          </w:p>
        </w:tc>
        <w:tc>
          <w:tcPr>
            <w:tcW w:type="dxa" w:w="1800"/>
          </w:tcPr>
          <w:p>
            <w:pPr>
              <w:spacing w:after="40"/>
            </w:pPr>
            <w:r>
              <w:rPr>
                <w:rFonts w:ascii="Calibri" w:cs="Calibri" w:eastAsia="Calibri" w:hAnsi="Calibri"/>
                <w:sz w:val="22"/>
                <w:szCs w:val="22"/>
              </w:rPr>
              <w:t xml:space="preserve">1.0x</w:t>
            </w:r>
          </w:p>
        </w:tc>
      </w:tr>
      <w:tr>
        <w:trPr>
          <w:tblHeader w:val="false"/>
        </w:trPr>
        <w:tc>
          <w:tcPr>
            <w:tcW w:type="dxa" w:w="1800"/>
            <w:shd w:fill="F5F5F5" w:color="auto" w:val="clear"/>
          </w:tcPr>
          <w:p>
            <w:pPr>
              <w:spacing w:after="40"/>
            </w:pPr>
            <w:r>
              <w:rPr>
                <w:rFonts w:ascii="Calibri" w:cs="Calibri" w:eastAsia="Calibri" w:hAnsi="Calibri"/>
                <w:sz w:val="22"/>
                <w:szCs w:val="22"/>
              </w:rPr>
              <w:t xml:space="preserve">Gold</w:t>
            </w:r>
          </w:p>
        </w:tc>
        <w:tc>
          <w:tcPr>
            <w:tcW w:type="dxa" w:w="2520"/>
            <w:shd w:fill="F5F5F5" w:color="auto" w:val="clear"/>
          </w:tcPr>
          <w:p>
            <w:pPr>
              <w:spacing w:after="40"/>
            </w:pPr>
            <w:r>
              <w:rPr>
                <w:rFonts w:ascii="Calibri" w:cs="Calibri" w:eastAsia="Calibri" w:hAnsi="Calibri"/>
                <w:sz w:val="22"/>
                <w:szCs w:val="22"/>
              </w:rPr>
              <w:t xml:space="preserve">~25% of active souls</w:t>
            </w:r>
          </w:p>
        </w:tc>
        <w:tc>
          <w:tcPr>
            <w:tcW w:type="dxa" w:w="3240"/>
            <w:shd w:fill="F5F5F5" w:color="auto" w:val="clear"/>
          </w:tcPr>
          <w:p>
            <w:pPr>
              <w:spacing w:after="40"/>
            </w:pPr>
            <w:r>
              <w:rPr>
                <w:rFonts w:ascii="Calibri" w:cs="Calibri" w:eastAsia="Calibri" w:hAnsi="Calibri"/>
                <w:sz w:val="22"/>
                <w:szCs w:val="22"/>
              </w:rPr>
              <w:t xml:space="preserve">Top 30% composite</w:t>
            </w:r>
          </w:p>
        </w:tc>
        <w:tc>
          <w:tcPr>
            <w:tcW w:type="dxa" w:w="1800"/>
            <w:shd w:fill="F5F5F5" w:color="auto" w:val="clear"/>
          </w:tcPr>
          <w:p>
            <w:pPr>
              <w:spacing w:after="40"/>
            </w:pPr>
            <w:r>
              <w:rPr>
                <w:rFonts w:ascii="Calibri" w:cs="Calibri" w:eastAsia="Calibri" w:hAnsi="Calibri"/>
                <w:sz w:val="22"/>
                <w:szCs w:val="22"/>
              </w:rPr>
              <w:t xml:space="preserve">1.2x</w:t>
            </w:r>
          </w:p>
        </w:tc>
      </w:tr>
      <w:tr>
        <w:trPr>
          <w:tblHeader w:val="false"/>
        </w:trPr>
        <w:tc>
          <w:tcPr>
            <w:tcW w:type="dxa" w:w="1800"/>
          </w:tcPr>
          <w:p>
            <w:pPr>
              <w:spacing w:after="40"/>
            </w:pPr>
            <w:r>
              <w:rPr>
                <w:rFonts w:ascii="Calibri" w:cs="Calibri" w:eastAsia="Calibri" w:hAnsi="Calibri"/>
                <w:sz w:val="22"/>
                <w:szCs w:val="22"/>
              </w:rPr>
              <w:t xml:space="preserve">Platinum</w:t>
            </w:r>
          </w:p>
        </w:tc>
        <w:tc>
          <w:tcPr>
            <w:tcW w:type="dxa" w:w="2520"/>
          </w:tcPr>
          <w:p>
            <w:pPr>
              <w:spacing w:after="40"/>
            </w:pPr>
            <w:r>
              <w:rPr>
                <w:rFonts w:ascii="Calibri" w:cs="Calibri" w:eastAsia="Calibri" w:hAnsi="Calibri"/>
                <w:sz w:val="22"/>
                <w:szCs w:val="22"/>
              </w:rPr>
              <w:t xml:space="preserve">~10% of active souls</w:t>
            </w:r>
          </w:p>
        </w:tc>
        <w:tc>
          <w:tcPr>
            <w:tcW w:type="dxa" w:w="3240"/>
          </w:tcPr>
          <w:p>
            <w:pPr>
              <w:spacing w:after="40"/>
            </w:pPr>
            <w:r>
              <w:rPr>
                <w:rFonts w:ascii="Calibri" w:cs="Calibri" w:eastAsia="Calibri" w:hAnsi="Calibri"/>
                <w:sz w:val="22"/>
                <w:szCs w:val="22"/>
              </w:rPr>
              <w:t xml:space="preserve">Top 10% composite</w:t>
            </w:r>
          </w:p>
        </w:tc>
        <w:tc>
          <w:tcPr>
            <w:tcW w:type="dxa" w:w="1800"/>
          </w:tcPr>
          <w:p>
            <w:pPr>
              <w:spacing w:after="40"/>
            </w:pPr>
            <w:r>
              <w:rPr>
                <w:rFonts w:ascii="Calibri" w:cs="Calibri" w:eastAsia="Calibri" w:hAnsi="Calibri"/>
                <w:sz w:val="22"/>
                <w:szCs w:val="22"/>
              </w:rPr>
              <w:t xml:space="preserve">1.5x</w:t>
            </w:r>
          </w:p>
        </w:tc>
      </w:tr>
    </w:tbl>
    <w:p>
      <w:pPr>
        <w:spacing w:after="200"/>
      </w:pPr>
    </w:p>
    <w:p>
      <w:pPr>
        <w:spacing w:after="120" w:line="276"/>
      </w:pPr>
      <w:r>
        <w:rPr>
          <w:rFonts w:ascii="Calibri" w:cs="Calibri" w:eastAsia="Calibri" w:hAnsi="Calibri"/>
          <w:sz w:val="22"/>
          <w:szCs w:val="22"/>
        </w:rPr>
        <w:t xml:space="preserve">Composite score weights: follow-through rate (40%), data richness (30%), tenure + consistency (20%), settlement history (10%).</w:t>
      </w:r>
    </w:p>
    <w:p>
      <w:pPr>
        <w:spacing w:after="200"/>
      </w:pPr>
    </w:p>
    <w:p>
      <w:pPr>
        <w:spacing w:after="160" w:line="276"/>
      </w:pPr>
      <w:r>
        <w:rPr>
          <w:rFonts w:ascii="Calibri" w:cs="Calibri" w:eastAsia="Calibri" w:hAnsi="Calibri"/>
          <w:b/>
          <w:bCs/>
          <w:color w:val="333333"/>
          <w:sz w:val="24"/>
          <w:szCs w:val="24"/>
        </w:rPr>
        <w:t xml:space="preserve">2.2 Operator Control Tower</w:t>
      </w:r>
    </w:p>
    <w:p>
      <w:pPr>
        <w:spacing w:after="120" w:line="276"/>
      </w:pPr>
      <w:r>
        <w:rPr>
          <w:rFonts w:ascii="Calibri" w:cs="Calibri" w:eastAsia="Calibri" w:hAnsi="Calibri"/>
          <w:sz w:val="22"/>
          <w:szCs w:val="22"/>
        </w:rPr>
        <w:t xml:space="preserve">The Operator Console is the nerve center — a single-tenant dashboard for marketplace configuration, monitoring, and governance.</w:t>
      </w:r>
    </w:p>
    <w:p>
      <w:pPr>
        <w:spacing w:after="120" w:line="276"/>
        <w:ind w:left="360"/>
      </w:pPr>
      <w:r>
        <w:rPr>
          <w:rFonts w:ascii="Calibri" w:cs="Calibri" w:eastAsia="Calibri" w:hAnsi="Calibri"/>
          <w:sz w:val="22"/>
          <w:szCs w:val="22"/>
        </w:rPr>
        <w:t xml:space="preserve">Dashboard: real-time metrics — total souls, active brands, pending claims, USDC volume, IACR</w:t>
      </w:r>
    </w:p>
    <w:p>
      <w:pPr>
        <w:spacing w:after="120" w:line="276"/>
        <w:ind w:left="360"/>
      </w:pPr>
      <w:r>
        <w:rPr>
          <w:rFonts w:ascii="Calibri" w:cs="Calibri" w:eastAsia="Calibri" w:hAnsi="Calibri"/>
          <w:sz w:val="22"/>
          <w:szCs w:val="22"/>
        </w:rPr>
        <w:t xml:space="preserve">Brand Management: approve/reject applications, monitor listing lifecycle, trigger settlements</w:t>
      </w:r>
    </w:p>
    <w:p>
      <w:pPr>
        <w:spacing w:after="120" w:line="276"/>
        <w:ind w:left="360"/>
      </w:pPr>
      <w:r>
        <w:rPr>
          <w:rFonts w:ascii="Calibri" w:cs="Calibri" w:eastAsia="Calibri" w:hAnsi="Calibri"/>
          <w:sz w:val="22"/>
          <w:szCs w:val="22"/>
        </w:rPr>
        <w:t xml:space="preserve">Soul Oversight: aggregate engagement patterns, tier distributions, flag review queues</w:t>
      </w:r>
    </w:p>
    <w:p>
      <w:pPr>
        <w:spacing w:after="120" w:line="276"/>
        <w:ind w:left="360"/>
      </w:pPr>
      <w:r>
        <w:rPr>
          <w:rFonts w:ascii="Calibri" w:cs="Calibri" w:eastAsia="Calibri" w:hAnsi="Calibri"/>
          <w:sz w:val="22"/>
          <w:szCs w:val="22"/>
        </w:rPr>
        <w:t xml:space="preserve">Matching Engine Configuration: formula weights, category taxonomy, yield floors</w:t>
      </w:r>
    </w:p>
    <w:p>
      <w:pPr>
        <w:spacing w:after="120" w:line="276"/>
        <w:ind w:left="360"/>
      </w:pPr>
      <w:r>
        <w:rPr>
          <w:rFonts w:ascii="Calibri" w:cs="Calibri" w:eastAsia="Calibri" w:hAnsi="Calibri"/>
          <w:sz w:val="22"/>
          <w:szCs w:val="22"/>
        </w:rPr>
        <w:t xml:space="preserve">On-Chain Operations: deploy/manage contracts, batch settlements, monitor escrow</w:t>
      </w:r>
    </w:p>
    <w:p>
      <w:pPr>
        <w:spacing w:after="200"/>
      </w:pPr>
    </w:p>
    <w:p>
      <w:pPr>
        <w:spacing w:after="120" w:line="276"/>
      </w:pPr>
      <w:r>
        <w:rPr>
          <w:rFonts w:ascii="Calibri" w:cs="Calibri" w:eastAsia="Calibri" w:hAnsi="Calibri"/>
          <w:b/>
          <w:bCs/>
          <w:sz w:val="22"/>
          <w:szCs w:val="22"/>
        </w:rPr>
        <w:t xml:space="preserve">North Star Metric: IACR</w:t>
      </w:r>
    </w:p>
    <w:p>
      <w:pPr>
        <w:spacing w:after="120" w:line="276"/>
        <w:ind w:left="360"/>
      </w:pPr>
      <w:r>
        <w:rPr>
          <w:rFonts w:ascii="Calibri" w:cs="Calibri" w:eastAsia="Calibri" w:hAnsi="Calibri"/>
          <w:sz w:val="22"/>
          <w:szCs w:val="22"/>
        </w:rPr>
        <w:t xml:space="preserve">Primary: follow-through within declared window (30-60 days) — target 52%</w:t>
      </w:r>
    </w:p>
    <w:p>
      <w:pPr>
        <w:spacing w:after="120" w:line="276"/>
        <w:ind w:left="360"/>
      </w:pPr>
      <w:r>
        <w:rPr>
          <w:rFonts w:ascii="Calibri" w:cs="Calibri" w:eastAsia="Calibri" w:hAnsi="Calibri"/>
          <w:sz w:val="22"/>
          <w:szCs w:val="22"/>
        </w:rPr>
        <w:t xml:space="preserve">Extended: follow-through within window + 30-day grace — target 68%</w:t>
      </w:r>
    </w:p>
    <w:p>
      <w:pPr>
        <w:spacing w:after="120" w:line="276"/>
        <w:ind w:left="360"/>
      </w:pPr>
      <w:r>
        <w:rPr>
          <w:rFonts w:ascii="Calibri" w:cs="Calibri" w:eastAsia="Calibri" w:hAnsi="Calibri"/>
          <w:sz w:val="22"/>
          <w:szCs w:val="22"/>
        </w:rPr>
        <w:t xml:space="preserve">Engagement: verified research activity during window — target 84%</w:t>
      </w:r>
    </w:p>
    <w:p>
      <w:pPr>
        <w:spacing w:after="200"/>
      </w:pPr>
    </w:p>
    <w:p>
      <w:pPr>
        <w:spacing w:after="160" w:line="276"/>
      </w:pPr>
      <w:r>
        <w:rPr>
          <w:rFonts w:ascii="Calibri" w:cs="Calibri" w:eastAsia="Calibri" w:hAnsi="Calibri"/>
          <w:b/>
          <w:bCs/>
          <w:color w:val="333333"/>
          <w:sz w:val="24"/>
          <w:szCs w:val="24"/>
        </w:rPr>
        <w:t xml:space="preserve">2.3 Intent Marketplace</w:t>
      </w:r>
    </w:p>
    <w:p>
      <w:pPr>
        <w:spacing w:after="120" w:line="276"/>
      </w:pPr>
      <w:r>
        <w:rPr>
          <w:rFonts w:ascii="Calibri" w:cs="Calibri" w:eastAsia="Calibri" w:hAnsi="Calibri"/>
          <w:b/>
          <w:bCs/>
          <w:sz w:val="22"/>
          <w:szCs w:val="22"/>
        </w:rPr>
        <w:t xml:space="preserve">Three Matching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60"/>
        <w:gridCol w:w="3200"/>
        <w:gridCol w:w="1600"/>
      </w:tblGrid>
      <w:tr>
        <w:trPr>
          <w:tblHeader/>
        </w:trPr>
        <w:tc>
          <w:tcPr>
            <w:tcW w:type="dxa" w:w="2000"/>
            <w:shd w:fill="1B7A4A" w:color="auto" w:val="clear"/>
          </w:tcPr>
          <w:p>
            <w:pPr>
              <w:spacing w:after="40"/>
            </w:pPr>
            <w:r>
              <w:rPr>
                <w:rFonts w:ascii="Calibri" w:cs="Calibri" w:eastAsia="Calibri" w:hAnsi="Calibri"/>
                <w:b/>
                <w:bCs/>
                <w:color w:val="FFFFFF"/>
                <w:sz w:val="22"/>
                <w:szCs w:val="22"/>
              </w:rPr>
              <w:t xml:space="preserve">Mode</w:t>
            </w:r>
          </w:p>
        </w:tc>
        <w:tc>
          <w:tcPr>
            <w:tcW w:type="dxa" w:w="2560"/>
            <w:shd w:fill="1B7A4A" w:color="auto" w:val="clear"/>
          </w:tcPr>
          <w:p>
            <w:pPr>
              <w:spacing w:after="40"/>
            </w:pPr>
            <w:r>
              <w:rPr>
                <w:rFonts w:ascii="Calibri" w:cs="Calibri" w:eastAsia="Calibri" w:hAnsi="Calibri"/>
                <w:b/>
                <w:bCs/>
                <w:color w:val="FFFFFF"/>
                <w:sz w:val="22"/>
                <w:szCs w:val="22"/>
              </w:rPr>
              <w:t xml:space="preserve">Trigger</w:t>
            </w:r>
          </w:p>
        </w:tc>
        <w:tc>
          <w:tcPr>
            <w:tcW w:type="dxa" w:w="3200"/>
            <w:shd w:fill="1B7A4A" w:color="auto" w:val="clear"/>
          </w:tcPr>
          <w:p>
            <w:pPr>
              <w:spacing w:after="40"/>
            </w:pPr>
            <w:r>
              <w:rPr>
                <w:rFonts w:ascii="Calibri" w:cs="Calibri" w:eastAsia="Calibri" w:hAnsi="Calibri"/>
                <w:b/>
                <w:bCs/>
                <w:color w:val="FFFFFF"/>
                <w:sz w:val="22"/>
                <w:szCs w:val="22"/>
              </w:rPr>
              <w:t xml:space="preserve">Formula</w:t>
            </w:r>
          </w:p>
        </w:tc>
        <w:tc>
          <w:tcPr>
            <w:tcW w:type="dxa" w:w="1600"/>
            <w:shd w:fill="1B7A4A" w:color="auto" w:val="clear"/>
          </w:tcPr>
          <w:p>
            <w:pPr>
              <w:spacing w:after="40"/>
            </w:pPr>
            <w:r>
              <w:rPr>
                <w:rFonts w:ascii="Calibri" w:cs="Calibri" w:eastAsia="Calibri" w:hAnsi="Calibri"/>
                <w:b/>
                <w:bCs/>
                <w:color w:val="FFFFFF"/>
                <w:sz w:val="22"/>
                <w:szCs w:val="22"/>
              </w:rPr>
              <w:t xml:space="preserve">Conversion</w:t>
            </w:r>
          </w:p>
        </w:tc>
      </w:tr>
      <w:tr>
        <w:trPr>
          <w:tblHeader w:val="false"/>
        </w:trPr>
        <w:tc>
          <w:tcPr>
            <w:tcW w:type="dxa" w:w="2000"/>
          </w:tcPr>
          <w:p>
            <w:pPr>
              <w:spacing w:after="40"/>
            </w:pPr>
            <w:r>
              <w:rPr>
                <w:rFonts w:ascii="Calibri" w:cs="Calibri" w:eastAsia="Calibri" w:hAnsi="Calibri"/>
                <w:sz w:val="22"/>
                <w:szCs w:val="22"/>
              </w:rPr>
              <w:t xml:space="preserve">Passive Consent</w:t>
            </w:r>
          </w:p>
        </w:tc>
        <w:tc>
          <w:tcPr>
            <w:tcW w:type="dxa" w:w="2560"/>
          </w:tcPr>
          <w:p>
            <w:pPr>
              <w:spacing w:after="40"/>
            </w:pPr>
            <w:r>
              <w:rPr>
                <w:rFonts w:ascii="Calibri" w:cs="Calibri" w:eastAsia="Calibri" w:hAnsi="Calibri"/>
                <w:sz w:val="22"/>
                <w:szCs w:val="22"/>
              </w:rPr>
              <w:t xml:space="preserve">Level 1 (Open)</w:t>
            </w:r>
          </w:p>
        </w:tc>
        <w:tc>
          <w:tcPr>
            <w:tcW w:type="dxa" w:w="3200"/>
          </w:tcPr>
          <w:p>
            <w:pPr>
              <w:spacing w:after="40"/>
            </w:pPr>
            <w:r>
              <w:rPr>
                <w:rFonts w:ascii="Calibri" w:cs="Calibri" w:eastAsia="Calibri" w:hAnsi="Calibri"/>
                <w:sz w:val="22"/>
                <w:szCs w:val="22"/>
              </w:rPr>
              <w:t xml:space="preserve">Bid × Reputation × Recency × BrandScore</w:t>
            </w:r>
          </w:p>
        </w:tc>
        <w:tc>
          <w:tcPr>
            <w:tcW w:type="dxa" w:w="1600"/>
          </w:tcPr>
          <w:p>
            <w:pPr>
              <w:spacing w:after="40"/>
            </w:pPr>
            <w:r>
              <w:rPr>
                <w:rFonts w:ascii="Calibri" w:cs="Calibri" w:eastAsia="Calibri" w:hAnsi="Calibri"/>
                <w:sz w:val="22"/>
                <w:szCs w:val="22"/>
              </w:rPr>
              <w:t xml:space="preserve">3-8%</w:t>
            </w:r>
          </w:p>
        </w:tc>
      </w:tr>
      <w:tr>
        <w:trPr>
          <w:tblHeader w:val="false"/>
        </w:trPr>
        <w:tc>
          <w:tcPr>
            <w:tcW w:type="dxa" w:w="2000"/>
            <w:shd w:fill="F5F5F5" w:color="auto" w:val="clear"/>
          </w:tcPr>
          <w:p>
            <w:pPr>
              <w:spacing w:after="40"/>
            </w:pPr>
            <w:r>
              <w:rPr>
                <w:rFonts w:ascii="Calibri" w:cs="Calibri" w:eastAsia="Calibri" w:hAnsi="Calibri"/>
                <w:sz w:val="22"/>
                <w:szCs w:val="22"/>
              </w:rPr>
              <w:t xml:space="preserve">Scoring-Triggered</w:t>
            </w:r>
          </w:p>
        </w:tc>
        <w:tc>
          <w:tcPr>
            <w:tcW w:type="dxa" w:w="2560"/>
            <w:shd w:fill="F5F5F5" w:color="auto" w:val="clear"/>
          </w:tcPr>
          <w:p>
            <w:pPr>
              <w:spacing w:after="40"/>
            </w:pPr>
            <w:r>
              <w:rPr>
                <w:rFonts w:ascii="Calibri" w:cs="Calibri" w:eastAsia="Calibri" w:hAnsi="Calibri"/>
                <w:sz w:val="22"/>
                <w:szCs w:val="22"/>
              </w:rPr>
              <w:t xml:space="preserve">Depth score crosses threshold</w:t>
            </w:r>
          </w:p>
        </w:tc>
        <w:tc>
          <w:tcPr>
            <w:tcW w:type="dxa" w:w="3200"/>
            <w:shd w:fill="F5F5F5" w:color="auto" w:val="clear"/>
          </w:tcPr>
          <w:p>
            <w:pPr>
              <w:spacing w:after="40"/>
            </w:pPr>
            <w:r>
              <w:rPr>
                <w:rFonts w:ascii="Calibri" w:cs="Calibri" w:eastAsia="Calibri" w:hAnsi="Calibri"/>
                <w:sz w:val="22"/>
                <w:szCs w:val="22"/>
              </w:rPr>
              <w:t xml:space="preserve">+ DepthBonus</w:t>
            </w:r>
          </w:p>
        </w:tc>
        <w:tc>
          <w:tcPr>
            <w:tcW w:type="dxa" w:w="1600"/>
            <w:shd w:fill="F5F5F5" w:color="auto" w:val="clear"/>
          </w:tcPr>
          <w:p>
            <w:pPr>
              <w:spacing w:after="40"/>
            </w:pPr>
            <w:r>
              <w:rPr>
                <w:rFonts w:ascii="Calibri" w:cs="Calibri" w:eastAsia="Calibri" w:hAnsi="Calibri"/>
                <w:sz w:val="22"/>
                <w:szCs w:val="22"/>
              </w:rPr>
              <w:t xml:space="preserve">10-15%</w:t>
            </w:r>
          </w:p>
        </w:tc>
      </w:tr>
      <w:tr>
        <w:trPr>
          <w:tblHeader w:val="false"/>
        </w:trPr>
        <w:tc>
          <w:tcPr>
            <w:tcW w:type="dxa" w:w="2000"/>
          </w:tcPr>
          <w:p>
            <w:pPr>
              <w:spacing w:after="40"/>
            </w:pPr>
            <w:r>
              <w:rPr>
                <w:rFonts w:ascii="Calibri" w:cs="Calibri" w:eastAsia="Calibri" w:hAnsi="Calibri"/>
                <w:sz w:val="22"/>
                <w:szCs w:val="22"/>
              </w:rPr>
              <w:t xml:space="preserve">Intent-Declared</w:t>
            </w:r>
          </w:p>
        </w:tc>
        <w:tc>
          <w:tcPr>
            <w:tcW w:type="dxa" w:w="2560"/>
          </w:tcPr>
          <w:p>
            <w:pPr>
              <w:spacing w:after="40"/>
            </w:pPr>
            <w:r>
              <w:rPr>
                <w:rFonts w:ascii="Calibri" w:cs="Calibri" w:eastAsia="Calibri" w:hAnsi="Calibri"/>
                <w:sz w:val="22"/>
                <w:szCs w:val="22"/>
              </w:rPr>
              <w:t xml:space="preserve">Level 2-3 (Exploring/Ready)</w:t>
            </w:r>
          </w:p>
        </w:tc>
        <w:tc>
          <w:tcPr>
            <w:tcW w:type="dxa" w:w="3200"/>
          </w:tcPr>
          <w:p>
            <w:pPr>
              <w:spacing w:after="40"/>
            </w:pPr>
            <w:r>
              <w:rPr>
                <w:rFonts w:ascii="Calibri" w:cs="Calibri" w:eastAsia="Calibri" w:hAnsi="Calibri"/>
                <w:sz w:val="22"/>
                <w:szCs w:val="22"/>
              </w:rPr>
              <w:t xml:space="preserve">+ IntentPremium × IntentIntegrity</w:t>
            </w:r>
          </w:p>
        </w:tc>
        <w:tc>
          <w:tcPr>
            <w:tcW w:type="dxa" w:w="1600"/>
          </w:tcPr>
          <w:p>
            <w:pPr>
              <w:spacing w:after="40"/>
            </w:pPr>
            <w:r>
              <w:rPr>
                <w:rFonts w:ascii="Calibri" w:cs="Calibri" w:eastAsia="Calibri" w:hAnsi="Calibri"/>
                <w:sz w:val="22"/>
                <w:szCs w:val="22"/>
              </w:rPr>
              <w:t xml:space="preserve">40-60%</w:t>
            </w:r>
          </w:p>
        </w:tc>
      </w:tr>
    </w:tbl>
    <w:p>
      <w:pPr>
        <w:spacing w:after="200"/>
      </w:pPr>
    </w:p>
    <w:p>
      <w:pPr>
        <w:spacing w:after="120" w:line="276"/>
      </w:pPr>
      <w:r>
        <w:rPr>
          <w:rFonts w:ascii="Calibri" w:cs="Calibri" w:eastAsia="Calibri" w:hAnsi="Calibri"/>
          <w:b/>
          <w:bCs/>
          <w:sz w:val="22"/>
          <w:szCs w:val="22"/>
        </w:rPr>
        <w:t xml:space="preserve">Intent Premium Economics</w:t>
      </w:r>
    </w:p>
    <w:p>
      <w:pPr>
        <w:spacing w:after="120" w:line="276"/>
      </w:pPr>
      <w:r>
        <w:rPr>
          <w:rFonts w:ascii="Calibri" w:cs="Calibri" w:eastAsia="Calibri" w:hAnsi="Calibri"/>
          <w:sz w:val="22"/>
          <w:szCs w:val="22"/>
        </w:rPr>
        <w:t xml:space="preserve">Example: A brand bids $2/claim. A Gold-tier soul has declared Ready intent. IntentPremium is 3x (moderate demand). Claim settlement: $2 × 3.0 × 1.2 (Gold) = $7.20. Soul receives 90% = $6.48. Platform fee = $0.72. Compare to $30-80 CPA through Meta or Google, with 3-8% conversion vs. 52% here.</w:t>
      </w:r>
    </w:p>
    <w:p>
      <w:pPr>
        <w:spacing w:after="200"/>
      </w:pPr>
    </w:p>
    <w:p>
      <w:pPr>
        <w:spacing w:after="120" w:line="276"/>
      </w:pPr>
      <w:r>
        <w:rPr>
          <w:rFonts w:ascii="Calibri" w:cs="Calibri" w:eastAsia="Calibri" w:hAnsi="Calibri"/>
          <w:b/>
          <w:bCs/>
          <w:sz w:val="22"/>
          <w:szCs w:val="22"/>
        </w:rPr>
        <w:t xml:space="preserve">Privacy Architecture</w:t>
      </w:r>
    </w:p>
    <w:p>
      <w:pPr>
        <w:spacing w:after="120" w:line="276"/>
        <w:ind w:left="360"/>
      </w:pPr>
      <w:r>
        <w:rPr>
          <w:rFonts w:ascii="Calibri" w:cs="Calibri" w:eastAsia="Calibri" w:hAnsi="Calibri"/>
          <w:sz w:val="22"/>
          <w:szCs w:val="22"/>
        </w:rPr>
        <w:t xml:space="preserve">Raw data never leaves the device (ADR-07)</w:t>
      </w:r>
    </w:p>
    <w:p>
      <w:pPr>
        <w:spacing w:after="120" w:line="276"/>
        <w:ind w:left="360"/>
      </w:pPr>
      <w:r>
        <w:rPr>
          <w:rFonts w:ascii="Calibri" w:cs="Calibri" w:eastAsia="Calibri" w:hAnsi="Calibri"/>
          <w:sz w:val="22"/>
          <w:szCs w:val="22"/>
        </w:rPr>
        <w:t xml:space="preserve">Cross-source alignment computed on-device; only the score leaves (ADR-55)</w:t>
      </w:r>
    </w:p>
    <w:p>
      <w:pPr>
        <w:spacing w:after="120" w:line="276"/>
        <w:ind w:left="360"/>
      </w:pPr>
      <w:r>
        <w:rPr>
          <w:rFonts w:ascii="Calibri" w:cs="Calibri" w:eastAsia="Calibri" w:hAnsi="Calibri"/>
          <w:sz w:val="22"/>
          <w:szCs w:val="22"/>
        </w:rPr>
        <w:t xml:space="preserve">Brands see only category-level aggregate demand (ADR-12)</w:t>
      </w:r>
    </w:p>
    <w:p>
      <w:pPr>
        <w:spacing w:after="120" w:line="276"/>
        <w:ind w:left="360"/>
      </w:pPr>
      <w:r>
        <w:rPr>
          <w:rFonts w:ascii="Calibri" w:cs="Calibri" w:eastAsia="Calibri" w:hAnsi="Calibri"/>
          <w:sz w:val="22"/>
          <w:szCs w:val="22"/>
        </w:rPr>
        <w:t xml:space="preserve">AES-256-GCM encryption at rest (ADR-08); passkey destruction = deletion (ADR-09)</w:t>
      </w:r>
    </w:p>
    <w:p>
      <w:pPr>
        <w:spacing w:after="120" w:line="276"/>
        <w:ind w:left="360"/>
      </w:pPr>
      <w:r>
        <w:rPr>
          <w:rFonts w:ascii="Calibri" w:cs="Calibri" w:eastAsia="Calibri" w:hAnsi="Calibri"/>
          <w:sz w:val="22"/>
          <w:szCs w:val="22"/>
        </w:rPr>
        <w:t xml:space="preserve">Differential privacy on insight scores (ADR-14); k≥50 floor (ADR-37)</w:t>
      </w:r>
    </w:p>
    <w:p>
      <w:pPr>
        <w:spacing w:after="200"/>
      </w:pPr>
    </w:p>
    <w:p>
      <w:pPr>
        <w:spacing w:after="160" w:line="276"/>
      </w:pPr>
      <w:r>
        <w:rPr>
          <w:rFonts w:ascii="Calibri" w:cs="Calibri" w:eastAsia="Calibri" w:hAnsi="Calibri"/>
          <w:b/>
          <w:bCs/>
          <w:color w:val="333333"/>
          <w:sz w:val="24"/>
          <w:szCs w:val="24"/>
        </w:rPr>
        <w:t xml:space="preserve">2.4 Brand Portal</w:t>
      </w:r>
    </w:p>
    <w:p>
      <w:pPr>
        <w:spacing w:after="120" w:line="276"/>
      </w:pPr>
      <w:r>
        <w:rPr>
          <w:rFonts w:ascii="Calibri" w:cs="Calibri" w:eastAsia="Calibri" w:hAnsi="Calibri"/>
          <w:sz w:val="22"/>
          <w:szCs w:val="22"/>
        </w:rPr>
        <w:t xml:space="preserve">The Brand Portal is where brands enter the ecosystem — from application through active marketplace participation.</w:t>
      </w:r>
    </w:p>
    <w:p>
      <w:pPr>
        <w:spacing w:after="200"/>
      </w:pPr>
    </w:p>
    <w:p>
      <w:pPr>
        <w:spacing w:after="120" w:line="276"/>
      </w:pPr>
      <w:r>
        <w:rPr>
          <w:rFonts w:ascii="Calibri" w:cs="Calibri" w:eastAsia="Calibri" w:hAnsi="Calibri"/>
          <w:b/>
          <w:bCs/>
          <w:sz w:val="22"/>
          <w:szCs w:val="22"/>
        </w:rPr>
        <w:t xml:space="preserve">Brand Scoring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1B7A4A" w:color="auto" w:val="clear"/>
          </w:tcPr>
          <w:p>
            <w:pPr>
              <w:spacing w:after="40"/>
            </w:pPr>
            <w:r>
              <w:rPr>
                <w:rFonts w:ascii="Calibri" w:cs="Calibri" w:eastAsia="Calibri" w:hAnsi="Calibri"/>
                <w:b/>
                <w:bCs/>
                <w:color w:val="FFFFFF"/>
                <w:sz w:val="22"/>
                <w:szCs w:val="22"/>
              </w:rPr>
              <w:t xml:space="preserve">Signal</w:t>
            </w:r>
          </w:p>
        </w:tc>
        <w:tc>
          <w:tcPr>
            <w:tcW w:type="dxa" w:w="3120"/>
            <w:shd w:fill="1B7A4A" w:color="auto" w:val="clear"/>
          </w:tcPr>
          <w:p>
            <w:pPr>
              <w:spacing w:after="40"/>
            </w:pPr>
            <w:r>
              <w:rPr>
                <w:rFonts w:ascii="Calibri" w:cs="Calibri" w:eastAsia="Calibri" w:hAnsi="Calibri"/>
                <w:b/>
                <w:bCs/>
                <w:color w:val="FFFFFF"/>
                <w:sz w:val="22"/>
                <w:szCs w:val="22"/>
              </w:rPr>
              <w:t xml:space="preserve">Weight</w:t>
            </w:r>
          </w:p>
        </w:tc>
        <w:tc>
          <w:tcPr>
            <w:tcW w:type="dxa" w:w="3120"/>
            <w:shd w:fill="1B7A4A" w:color="auto" w:val="clear"/>
          </w:tcPr>
          <w:p>
            <w:pPr>
              <w:spacing w:after="40"/>
            </w:pPr>
            <w:r>
              <w:rPr>
                <w:rFonts w:ascii="Calibri" w:cs="Calibri" w:eastAsia="Calibri" w:hAnsi="Calibri"/>
                <w:b/>
                <w:bCs/>
                <w:color w:val="FFFFFF"/>
                <w:sz w:val="22"/>
                <w:szCs w:val="22"/>
              </w:rPr>
              <w:t xml:space="preserve">What It Measures</w:t>
            </w:r>
          </w:p>
        </w:tc>
      </w:tr>
      <w:tr>
        <w:trPr>
          <w:tblHeader w:val="false"/>
        </w:trPr>
        <w:tc>
          <w:tcPr>
            <w:tcW w:type="dxa" w:w="3120"/>
          </w:tcPr>
          <w:p>
            <w:pPr>
              <w:spacing w:after="40"/>
            </w:pPr>
            <w:r>
              <w:rPr>
                <w:rFonts w:ascii="Calibri" w:cs="Calibri" w:eastAsia="Calibri" w:hAnsi="Calibri"/>
                <w:sz w:val="22"/>
                <w:szCs w:val="22"/>
              </w:rPr>
              <w:t xml:space="preserve">Claim Rate</w:t>
            </w:r>
          </w:p>
        </w:tc>
        <w:tc>
          <w:tcPr>
            <w:tcW w:type="dxa" w:w="3120"/>
          </w:tcPr>
          <w:p>
            <w:pPr>
              <w:spacing w:after="40"/>
            </w:pPr>
            <w:r>
              <w:rPr>
                <w:rFonts w:ascii="Calibri" w:cs="Calibri" w:eastAsia="Calibri" w:hAnsi="Calibri"/>
                <w:sz w:val="22"/>
                <w:szCs w:val="22"/>
              </w:rPr>
              <w:t xml:space="preserve">40%</w:t>
            </w:r>
          </w:p>
        </w:tc>
        <w:tc>
          <w:tcPr>
            <w:tcW w:type="dxa" w:w="3120"/>
          </w:tcPr>
          <w:p>
            <w:pPr>
              <w:spacing w:after="40"/>
            </w:pPr>
            <w:r>
              <w:rPr>
                <w:rFonts w:ascii="Calibri" w:cs="Calibri" w:eastAsia="Calibri" w:hAnsi="Calibri"/>
                <w:sz w:val="22"/>
                <w:szCs w:val="22"/>
              </w:rPr>
              <w:t xml:space="preserve">Claims / total offers delivered (7-day trailing)</w:t>
            </w:r>
          </w:p>
        </w:tc>
      </w:tr>
      <w:tr>
        <w:trPr>
          <w:tblHeader w:val="false"/>
        </w:trPr>
        <w:tc>
          <w:tcPr>
            <w:tcW w:type="dxa" w:w="3120"/>
            <w:shd w:fill="F5F5F5" w:color="auto" w:val="clear"/>
          </w:tcPr>
          <w:p>
            <w:pPr>
              <w:spacing w:after="40"/>
            </w:pPr>
            <w:r>
              <w:rPr>
                <w:rFonts w:ascii="Calibri" w:cs="Calibri" w:eastAsia="Calibri" w:hAnsi="Calibri"/>
                <w:sz w:val="22"/>
                <w:szCs w:val="22"/>
              </w:rPr>
              <w:t xml:space="preserve">Bid Fairness</w:t>
            </w:r>
          </w:p>
        </w:tc>
        <w:tc>
          <w:tcPr>
            <w:tcW w:type="dxa" w:w="3120"/>
            <w:shd w:fill="F5F5F5" w:color="auto" w:val="clear"/>
          </w:tcPr>
          <w:p>
            <w:pPr>
              <w:spacing w:after="40"/>
            </w:pPr>
            <w:r>
              <w:rPr>
                <w:rFonts w:ascii="Calibri" w:cs="Calibri" w:eastAsia="Calibri" w:hAnsi="Calibri"/>
                <w:sz w:val="22"/>
                <w:szCs w:val="22"/>
              </w:rPr>
              <w:t xml:space="preserve">30%</w:t>
            </w:r>
          </w:p>
        </w:tc>
        <w:tc>
          <w:tcPr>
            <w:tcW w:type="dxa" w:w="3120"/>
            <w:shd w:fill="F5F5F5" w:color="auto" w:val="clear"/>
          </w:tcPr>
          <w:p>
            <w:pPr>
              <w:spacing w:after="40"/>
            </w:pPr>
            <w:r>
              <w:rPr>
                <w:rFonts w:ascii="Calibri" w:cs="Calibri" w:eastAsia="Calibri" w:hAnsi="Calibri"/>
                <w:sz w:val="22"/>
                <w:szCs w:val="22"/>
              </w:rPr>
              <w:t xml:space="preserve">Percentile rank of bid within category</w:t>
            </w:r>
          </w:p>
        </w:tc>
      </w:tr>
      <w:tr>
        <w:trPr>
          <w:tblHeader w:val="false"/>
        </w:trPr>
        <w:tc>
          <w:tcPr>
            <w:tcW w:type="dxa" w:w="3120"/>
          </w:tcPr>
          <w:p>
            <w:pPr>
              <w:spacing w:after="40"/>
            </w:pPr>
            <w:r>
              <w:rPr>
                <w:rFonts w:ascii="Calibri" w:cs="Calibri" w:eastAsia="Calibri" w:hAnsi="Calibri"/>
                <w:sz w:val="22"/>
                <w:szCs w:val="22"/>
              </w:rPr>
              <w:t xml:space="preserve">Escrow Health</w:t>
            </w:r>
          </w:p>
        </w:tc>
        <w:tc>
          <w:tcPr>
            <w:tcW w:type="dxa" w:w="3120"/>
          </w:tcPr>
          <w:p>
            <w:pPr>
              <w:spacing w:after="40"/>
            </w:pPr>
            <w:r>
              <w:rPr>
                <w:rFonts w:ascii="Calibri" w:cs="Calibri" w:eastAsia="Calibri" w:hAnsi="Calibri"/>
                <w:sz w:val="22"/>
                <w:szCs w:val="22"/>
              </w:rPr>
              <w:t xml:space="preserve">30%</w:t>
            </w:r>
          </w:p>
        </w:tc>
        <w:tc>
          <w:tcPr>
            <w:tcW w:type="dxa" w:w="3120"/>
          </w:tcPr>
          <w:p>
            <w:pPr>
              <w:spacing w:after="40"/>
            </w:pPr>
            <w:r>
              <w:rPr>
                <w:rFonts w:ascii="Calibri" w:cs="Calibri" w:eastAsia="Calibri" w:hAnsi="Calibri"/>
                <w:sz w:val="22"/>
                <w:szCs w:val="22"/>
              </w:rPr>
              <w:t xml:space="preserve">Remaining runway in claims</w:t>
            </w:r>
          </w:p>
        </w:tc>
      </w:tr>
    </w:tbl>
    <w:p>
      <w:pPr>
        <w:spacing w:after="200"/>
      </w:pPr>
    </w:p>
    <w:p>
      <w:pPr>
        <w:spacing w:after="120" w:line="276"/>
      </w:pPr>
      <w:r>
        <w:rPr>
          <w:rFonts w:ascii="Calibri" w:cs="Calibri" w:eastAsia="Calibri" w:hAnsi="Calibri"/>
          <w:b/>
          <w:bCs/>
          <w:sz w:val="22"/>
          <w:szCs w:val="22"/>
        </w:rPr>
        <w:t xml:space="preserve">Badge System</w:t>
      </w:r>
    </w:p>
    <w:p>
      <w:pPr>
        <w:spacing w:after="120" w:line="276"/>
        <w:ind w:left="360"/>
      </w:pPr>
      <w:r>
        <w:rPr>
          <w:rFonts w:ascii="Calibri" w:cs="Calibri" w:eastAsia="Calibri" w:hAnsi="Calibri"/>
          <w:sz w:val="22"/>
          <w:szCs w:val="22"/>
        </w:rPr>
        <w:t xml:space="preserve">Trending (highest priority): Trend multiplier ≥ 1.10</w:t>
      </w:r>
    </w:p>
    <w:p>
      <w:pPr>
        <w:spacing w:after="120" w:line="276"/>
        <w:ind w:left="360"/>
      </w:pPr>
      <w:r>
        <w:rPr>
          <w:rFonts w:ascii="Calibri" w:cs="Calibri" w:eastAsia="Calibri" w:hAnsi="Calibri"/>
          <w:sz w:val="22"/>
          <w:szCs w:val="22"/>
        </w:rPr>
        <w:t xml:space="preserve">Seasonal Pick: Seasonality multiplier ≥ 1.10</w:t>
      </w:r>
    </w:p>
    <w:p>
      <w:pPr>
        <w:spacing w:after="120" w:line="276"/>
        <w:ind w:left="360"/>
      </w:pPr>
      <w:r>
        <w:rPr>
          <w:rFonts w:ascii="Calibri" w:cs="Calibri" w:eastAsia="Calibri" w:hAnsi="Calibri"/>
          <w:sz w:val="22"/>
          <w:szCs w:val="22"/>
        </w:rPr>
        <w:t xml:space="preserve">Popular Nearby: Geography match boost active</w:t>
      </w:r>
    </w:p>
    <w:p>
      <w:pPr>
        <w:spacing w:after="120" w:line="276"/>
        <w:ind w:left="360"/>
      </w:pPr>
      <w:r>
        <w:rPr>
          <w:rFonts w:ascii="Calibri" w:cs="Calibri" w:eastAsia="Calibri" w:hAnsi="Calibri"/>
          <w:sz w:val="22"/>
          <w:szCs w:val="22"/>
        </w:rPr>
        <w:t xml:space="preserve">Repeat Favorite: Soul has 3+ prior settlements with brand</w:t>
      </w:r>
    </w:p>
    <w:p>
      <w:pPr>
        <w:spacing w:after="200"/>
      </w:pPr>
    </w:p>
    <w:p>
      <w:pPr>
        <w:spacing w:after="120" w:line="276"/>
      </w:pPr>
      <w:r>
        <w:rPr>
          <w:rFonts w:ascii="Calibri" w:cs="Calibri" w:eastAsia="Calibri" w:hAnsi="Calibri"/>
          <w:b/>
          <w:bCs/>
          <w:sz w:val="22"/>
          <w:szCs w:val="22"/>
        </w:rPr>
        <w:t xml:space="preserve">Score-Gated Engagement Access</w:t>
      </w:r>
    </w:p>
    <w:p>
      <w:pPr>
        <w:spacing w:after="120" w:line="276"/>
        <w:ind w:left="360"/>
      </w:pPr>
      <w:r>
        <w:rPr>
          <w:rFonts w:ascii="Calibri" w:cs="Calibri" w:eastAsia="Calibri" w:hAnsi="Calibri"/>
          <w:sz w:val="22"/>
          <w:szCs w:val="22"/>
        </w:rPr>
        <w:t xml:space="preserve">Level 1 (Open): Any active brand</w:t>
      </w:r>
    </w:p>
    <w:p>
      <w:pPr>
        <w:spacing w:after="120" w:line="276"/>
        <w:ind w:left="360"/>
      </w:pPr>
      <w:r>
        <w:rPr>
          <w:rFonts w:ascii="Calibri" w:cs="Calibri" w:eastAsia="Calibri" w:hAnsi="Calibri"/>
          <w:sz w:val="22"/>
          <w:szCs w:val="22"/>
        </w:rPr>
        <w:t xml:space="preserve">Level 2 (Exploring): Brand score 50+ required</w:t>
      </w:r>
    </w:p>
    <w:p>
      <w:pPr>
        <w:spacing w:after="120" w:line="276"/>
        <w:ind w:left="360"/>
      </w:pPr>
      <w:r>
        <w:rPr>
          <w:rFonts w:ascii="Calibri" w:cs="Calibri" w:eastAsia="Calibri" w:hAnsi="Calibri"/>
          <w:sz w:val="22"/>
          <w:szCs w:val="22"/>
        </w:rPr>
        <w:t xml:space="preserve">Level 3 (Ready): Brand score 70+ OR Trending badge required</w:t>
      </w:r>
    </w:p>
    <w:p>
      <w:pPr>
        <w:spacing w:after="200"/>
      </w:pPr>
    </w:p>
    <w:p>
      <w:pPr>
        <w:spacing w:after="200" w:line="276"/>
      </w:pPr>
      <w:r>
        <w:rPr>
          <w:rFonts w:ascii="Calibri" w:cs="Calibri" w:eastAsia="Calibri" w:hAnsi="Calibri"/>
          <w:b/>
          <w:bCs/>
          <w:color w:val="1B7A4A"/>
          <w:sz w:val="28"/>
          <w:szCs w:val="28"/>
        </w:rPr>
        <w:t xml:space="preserve">PART 3: THREE PROOF POINTS</w:t>
      </w:r>
    </w:p>
    <w:p>
      <w:pPr>
        <w:spacing w:after="160" w:line="276"/>
      </w:pPr>
      <w:r>
        <w:rPr>
          <w:rFonts w:ascii="Calibri" w:cs="Calibri" w:eastAsia="Calibri" w:hAnsi="Calibri"/>
          <w:b/>
          <w:bCs/>
          <w:color w:val="333333"/>
          <w:sz w:val="24"/>
          <w:szCs w:val="24"/>
        </w:rPr>
        <w:t xml:space="preserve">Proof Point #1 — Direct Channel: 41x More Efficient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1B7A4A" w:color="auto" w:val="clear"/>
          </w:tcPr>
          <w:p>
            <w:pPr>
              <w:spacing w:after="40"/>
            </w:pPr>
            <w:r>
              <w:rPr>
                <w:rFonts w:ascii="Calibri" w:cs="Calibri" w:eastAsia="Calibri" w:hAnsi="Calibri"/>
                <w:b/>
                <w:bCs/>
                <w:color w:val="FFFFFF"/>
                <w:sz w:val="22"/>
                <w:szCs w:val="22"/>
              </w:rPr>
              <w:t xml:space="preserve">Cost Component</w:t>
            </w:r>
          </w:p>
        </w:tc>
        <w:tc>
          <w:tcPr>
            <w:tcW w:type="dxa" w:w="3120"/>
            <w:shd w:fill="1B7A4A" w:color="auto" w:val="clear"/>
          </w:tcPr>
          <w:p>
            <w:pPr>
              <w:spacing w:after="40"/>
            </w:pPr>
            <w:r>
              <w:rPr>
                <w:rFonts w:ascii="Calibri" w:cs="Calibri" w:eastAsia="Calibri" w:hAnsi="Calibri"/>
                <w:b/>
                <w:bCs/>
                <w:color w:val="FFFFFF"/>
                <w:sz w:val="22"/>
                <w:szCs w:val="22"/>
              </w:rPr>
              <w:t xml:space="preserve">Programmatic</w:t>
            </w:r>
          </w:p>
        </w:tc>
        <w:tc>
          <w:tcPr>
            <w:tcW w:type="dxa" w:w="3120"/>
            <w:shd w:fill="1B7A4A" w:color="auto" w:val="clear"/>
          </w:tcPr>
          <w:p>
            <w:pPr>
              <w:spacing w:after="40"/>
            </w:pPr>
            <w:r>
              <w:rPr>
                <w:rFonts w:ascii="Calibri" w:cs="Calibri" w:eastAsia="Calibri" w:hAnsi="Calibri"/>
                <w:b/>
                <w:bCs/>
                <w:color w:val="FFFFFF"/>
                <w:sz w:val="22"/>
                <w:szCs w:val="22"/>
              </w:rPr>
              <w:t xml:space="preserve">PersonalOS Direct</w:t>
            </w:r>
          </w:p>
        </w:tc>
      </w:tr>
      <w:tr>
        <w:trPr>
          <w:tblHeader w:val="false"/>
        </w:trPr>
        <w:tc>
          <w:tcPr>
            <w:tcW w:type="dxa" w:w="3120"/>
          </w:tcPr>
          <w:p>
            <w:pPr>
              <w:spacing w:after="40"/>
            </w:pPr>
            <w:r>
              <w:rPr>
                <w:rFonts w:ascii="Calibri" w:cs="Calibri" w:eastAsia="Calibri" w:hAnsi="Calibri"/>
                <w:sz w:val="22"/>
                <w:szCs w:val="22"/>
              </w:rPr>
              <w:t xml:space="preserve">Ad tech fees</w:t>
            </w:r>
          </w:p>
        </w:tc>
        <w:tc>
          <w:tcPr>
            <w:tcW w:type="dxa" w:w="3120"/>
          </w:tcPr>
          <w:p>
            <w:pPr>
              <w:spacing w:after="40"/>
            </w:pPr>
            <w:r>
              <w:rPr>
                <w:rFonts w:ascii="Calibri" w:cs="Calibri" w:eastAsia="Calibri" w:hAnsi="Calibri"/>
                <w:sz w:val="22"/>
                <w:szCs w:val="22"/>
              </w:rPr>
              <w:t xml:space="preserve">29-44%</w:t>
            </w:r>
          </w:p>
        </w:tc>
        <w:tc>
          <w:tcPr>
            <w:tcW w:type="dxa" w:w="3120"/>
          </w:tcPr>
          <w:p>
            <w:pPr>
              <w:spacing w:after="40"/>
            </w:pPr>
            <w:r>
              <w:rPr>
                <w:rFonts w:ascii="Calibri" w:cs="Calibri" w:eastAsia="Calibri" w:hAnsi="Calibri"/>
                <w:sz w:val="22"/>
                <w:szCs w:val="22"/>
              </w:rPr>
              <w:t xml:space="preserve">0% — no intermediaries</w:t>
            </w:r>
          </w:p>
        </w:tc>
      </w:tr>
      <w:tr>
        <w:trPr>
          <w:tblHeader w:val="false"/>
        </w:trPr>
        <w:tc>
          <w:tcPr>
            <w:tcW w:type="dxa" w:w="3120"/>
            <w:shd w:fill="F5F5F5" w:color="auto" w:val="clear"/>
          </w:tcPr>
          <w:p>
            <w:pPr>
              <w:spacing w:after="40"/>
            </w:pPr>
            <w:r>
              <w:rPr>
                <w:rFonts w:ascii="Calibri" w:cs="Calibri" w:eastAsia="Calibri" w:hAnsi="Calibri"/>
                <w:sz w:val="22"/>
                <w:szCs w:val="22"/>
              </w:rPr>
              <w:t xml:space="preserve">Fraud / invalid traffic</w:t>
            </w:r>
          </w:p>
        </w:tc>
        <w:tc>
          <w:tcPr>
            <w:tcW w:type="dxa" w:w="3120"/>
            <w:shd w:fill="F5F5F5" w:color="auto" w:val="clear"/>
          </w:tcPr>
          <w:p>
            <w:pPr>
              <w:spacing w:after="40"/>
            </w:pPr>
            <w:r>
              <w:rPr>
                <w:rFonts w:ascii="Calibri" w:cs="Calibri" w:eastAsia="Calibri" w:hAnsi="Calibri"/>
                <w:sz w:val="22"/>
                <w:szCs w:val="22"/>
              </w:rPr>
              <w:t xml:space="preserve">7-12%</w:t>
            </w:r>
          </w:p>
        </w:tc>
        <w:tc>
          <w:tcPr>
            <w:tcW w:type="dxa" w:w="3120"/>
            <w:shd w:fill="F5F5F5" w:color="auto" w:val="clear"/>
          </w:tcPr>
          <w:p>
            <w:pPr>
              <w:spacing w:after="40"/>
            </w:pPr>
            <w:r>
              <w:rPr>
                <w:rFonts w:ascii="Calibri" w:cs="Calibri" w:eastAsia="Calibri" w:hAnsi="Calibri"/>
                <w:sz w:val="22"/>
                <w:szCs w:val="22"/>
              </w:rPr>
              <w:t xml:space="preserve">0% — passkey auth</w:t>
            </w:r>
          </w:p>
        </w:tc>
      </w:tr>
      <w:tr>
        <w:trPr>
          <w:tblHeader w:val="false"/>
        </w:trPr>
        <w:tc>
          <w:tcPr>
            <w:tcW w:type="dxa" w:w="3120"/>
          </w:tcPr>
          <w:p>
            <w:pPr>
              <w:spacing w:after="40"/>
            </w:pPr>
            <w:r>
              <w:rPr>
                <w:rFonts w:ascii="Calibri" w:cs="Calibri" w:eastAsia="Calibri" w:hAnsi="Calibri"/>
                <w:sz w:val="22"/>
                <w:szCs w:val="22"/>
              </w:rPr>
              <w:t xml:space="preserve">Non-viewable impressions</w:t>
            </w:r>
          </w:p>
        </w:tc>
        <w:tc>
          <w:tcPr>
            <w:tcW w:type="dxa" w:w="3120"/>
          </w:tcPr>
          <w:p>
            <w:pPr>
              <w:spacing w:after="40"/>
            </w:pPr>
            <w:r>
              <w:rPr>
                <w:rFonts w:ascii="Calibri" w:cs="Calibri" w:eastAsia="Calibri" w:hAnsi="Calibri"/>
                <w:sz w:val="22"/>
                <w:szCs w:val="22"/>
              </w:rPr>
              <w:t xml:space="preserve">30-40%</w:t>
            </w:r>
          </w:p>
        </w:tc>
        <w:tc>
          <w:tcPr>
            <w:tcW w:type="dxa" w:w="3120"/>
          </w:tcPr>
          <w:p>
            <w:pPr>
              <w:spacing w:after="40"/>
            </w:pPr>
            <w:r>
              <w:rPr>
                <w:rFonts w:ascii="Calibri" w:cs="Calibri" w:eastAsia="Calibri" w:hAnsi="Calibri"/>
                <w:sz w:val="22"/>
                <w:szCs w:val="22"/>
              </w:rPr>
              <w:t xml:space="preserve">0% — active claim</w:t>
            </w:r>
          </w:p>
        </w:tc>
      </w:tr>
      <w:tr>
        <w:trPr>
          <w:tblHeader w:val="false"/>
        </w:trPr>
        <w:tc>
          <w:tcPr>
            <w:tcW w:type="dxa" w:w="3120"/>
            <w:shd w:fill="F5F5F5" w:color="auto" w:val="clear"/>
          </w:tcPr>
          <w:p>
            <w:pPr>
              <w:spacing w:after="40"/>
            </w:pPr>
            <w:r>
              <w:rPr>
                <w:rFonts w:ascii="Calibri" w:cs="Calibri" w:eastAsia="Calibri" w:hAnsi="Calibri"/>
                <w:sz w:val="22"/>
                <w:szCs w:val="22"/>
              </w:rPr>
              <w:t xml:space="preserve">Wrong audience</w:t>
            </w:r>
          </w:p>
        </w:tc>
        <w:tc>
          <w:tcPr>
            <w:tcW w:type="dxa" w:w="3120"/>
            <w:shd w:fill="F5F5F5" w:color="auto" w:val="clear"/>
          </w:tcPr>
          <w:p>
            <w:pPr>
              <w:spacing w:after="40"/>
            </w:pPr>
            <w:r>
              <w:rPr>
                <w:rFonts w:ascii="Calibri" w:cs="Calibri" w:eastAsia="Calibri" w:hAnsi="Calibri"/>
                <w:sz w:val="22"/>
                <w:szCs w:val="22"/>
              </w:rPr>
              <w:t xml:space="preserve">99.5%+ waste</w:t>
            </w:r>
          </w:p>
        </w:tc>
        <w:tc>
          <w:tcPr>
            <w:tcW w:type="dxa" w:w="3120"/>
            <w:shd w:fill="F5F5F5" w:color="auto" w:val="clear"/>
          </w:tcPr>
          <w:p>
            <w:pPr>
              <w:spacing w:after="40"/>
            </w:pPr>
            <w:r>
              <w:rPr>
                <w:rFonts w:ascii="Calibri" w:cs="Calibri" w:eastAsia="Calibri" w:hAnsi="Calibri"/>
                <w:sz w:val="22"/>
                <w:szCs w:val="22"/>
              </w:rPr>
              <w:t xml:space="preserve">40-60% conversion</w:t>
            </w:r>
          </w:p>
        </w:tc>
      </w:tr>
      <w:tr>
        <w:trPr>
          <w:tblHeader w:val="false"/>
        </w:trPr>
        <w:tc>
          <w:tcPr>
            <w:tcW w:type="dxa" w:w="3120"/>
          </w:tcPr>
          <w:p>
            <w:pPr>
              <w:spacing w:after="40"/>
            </w:pPr>
            <w:r>
              <w:rPr>
                <w:rFonts w:ascii="Calibri" w:cs="Calibri" w:eastAsia="Calibri" w:hAnsi="Calibri"/>
                <w:sz w:val="22"/>
                <w:szCs w:val="22"/>
              </w:rPr>
              <w:t xml:space="preserve">Platform fee</w:t>
            </w:r>
          </w:p>
        </w:tc>
        <w:tc>
          <w:tcPr>
            <w:tcW w:type="dxa" w:w="3120"/>
          </w:tcPr>
          <w:p>
            <w:pPr>
              <w:spacing w:after="40"/>
            </w:pPr>
            <w:r>
              <w:rPr>
                <w:rFonts w:ascii="Calibri" w:cs="Calibri" w:eastAsia="Calibri" w:hAnsi="Calibri"/>
                <w:sz w:val="22"/>
                <w:szCs w:val="22"/>
              </w:rPr>
              <w:t xml:space="preserve">Included above</w:t>
            </w:r>
          </w:p>
        </w:tc>
        <w:tc>
          <w:tcPr>
            <w:tcW w:type="dxa" w:w="3120"/>
          </w:tcPr>
          <w:p>
            <w:pPr>
              <w:spacing w:after="40"/>
            </w:pPr>
            <w:r>
              <w:rPr>
                <w:rFonts w:ascii="Calibri" w:cs="Calibri" w:eastAsia="Calibri" w:hAnsi="Calibri"/>
                <w:sz w:val="22"/>
                <w:szCs w:val="22"/>
              </w:rPr>
              <w:t xml:space="preserve">10% (immutable, on-chain)</w:t>
            </w:r>
          </w:p>
        </w:tc>
      </w:tr>
      <w:tr>
        <w:trPr>
          <w:tblHeader w:val="false"/>
        </w:trPr>
        <w:tc>
          <w:tcPr>
            <w:tcW w:type="dxa" w:w="3120"/>
            <w:shd w:fill="F5F5F5" w:color="auto" w:val="clear"/>
          </w:tcPr>
          <w:p>
            <w:pPr>
              <w:spacing w:after="40"/>
            </w:pPr>
            <w:r>
              <w:rPr>
                <w:rFonts w:ascii="Calibri" w:cs="Calibri" w:eastAsia="Calibri" w:hAnsi="Calibri"/>
                <w:sz w:val="22"/>
                <w:szCs w:val="22"/>
              </w:rPr>
              <w:t xml:space="preserve">To the consumer</w:t>
            </w:r>
          </w:p>
        </w:tc>
        <w:tc>
          <w:tcPr>
            <w:tcW w:type="dxa" w:w="3120"/>
            <w:shd w:fill="F5F5F5" w:color="auto" w:val="clear"/>
          </w:tcPr>
          <w:p>
            <w:pPr>
              <w:spacing w:after="40"/>
            </w:pPr>
            <w:r>
              <w:rPr>
                <w:rFonts w:ascii="Calibri" w:cs="Calibri" w:eastAsia="Calibri" w:hAnsi="Calibri"/>
                <w:sz w:val="22"/>
                <w:szCs w:val="22"/>
              </w:rPr>
              <w:t xml:space="preserve">~$0</w:t>
            </w:r>
          </w:p>
        </w:tc>
        <w:tc>
          <w:tcPr>
            <w:tcW w:type="dxa" w:w="3120"/>
            <w:shd w:fill="F5F5F5" w:color="auto" w:val="clear"/>
          </w:tcPr>
          <w:p>
            <w:pPr>
              <w:spacing w:after="40"/>
            </w:pPr>
            <w:r>
              <w:rPr>
                <w:rFonts w:ascii="Calibri" w:cs="Calibri" w:eastAsia="Calibri" w:hAnsi="Calibri"/>
                <w:sz w:val="22"/>
                <w:szCs w:val="22"/>
              </w:rPr>
              <w:t xml:space="preserve">$0.90 of every $1.00</w:t>
            </w:r>
          </w:p>
        </w:tc>
      </w:tr>
    </w:tbl>
    <w:p>
      <w:pPr>
        <w:spacing w:after="200"/>
      </w:pPr>
    </w:p>
    <w:p>
      <w:pPr>
        <w:spacing w:after="120" w:line="276"/>
      </w:pPr>
      <w:r>
        <w:rPr>
          <w:rFonts w:ascii="Calibri" w:cs="Calibri" w:eastAsia="Calibri" w:hAnsi="Calibri"/>
          <w:b/>
          <w:bCs/>
          <w:sz w:val="22"/>
          <w:szCs w:val="22"/>
        </w:rPr>
        <w:t xml:space="preserve">The Math</w:t>
      </w:r>
    </w:p>
    <w:p>
      <w:pPr>
        <w:spacing w:after="120" w:line="276"/>
        <w:ind w:left="360"/>
      </w:pPr>
      <w:r>
        <w:rPr>
          <w:rFonts w:ascii="Calibri" w:cs="Calibri" w:eastAsia="Calibri" w:hAnsi="Calibri"/>
          <w:sz w:val="22"/>
          <w:szCs w:val="22"/>
        </w:rPr>
        <w:t xml:space="preserve">Industry: $1.00 → $0.022 consumer value (2.2% effective rate)</w:t>
      </w:r>
    </w:p>
    <w:p>
      <w:pPr>
        <w:spacing w:after="120" w:line="276"/>
        <w:ind w:left="360"/>
      </w:pPr>
      <w:r>
        <w:rPr>
          <w:rFonts w:ascii="Calibri" w:cs="Calibri" w:eastAsia="Calibri" w:hAnsi="Calibri"/>
          <w:sz w:val="22"/>
          <w:szCs w:val="22"/>
        </w:rPr>
        <w:t xml:space="preserve">PersonalOS: $1.00 → $0.90 to consumer (90% effective rate)</w:t>
      </w:r>
    </w:p>
    <w:p>
      <w:pPr>
        <w:spacing w:after="120" w:line="276"/>
      </w:pPr>
      <w:r>
        <w:rPr>
          <w:rFonts w:ascii="Calibri" w:cs="Calibri" w:eastAsia="Calibri" w:hAnsi="Calibri"/>
          <w:b/>
          <w:bCs/>
          <w:color w:val="1B7A4A"/>
          <w:sz w:val="22"/>
          <w:szCs w:val="22"/>
        </w:rPr>
        <w:t xml:space="preserve">Efficiency ratio: 90% ÷ 2.2% = 41x.</w:t>
      </w:r>
    </w:p>
    <w:p>
      <w:pPr>
        <w:spacing w:after="200"/>
      </w:pPr>
    </w:p>
    <w:p>
      <w:pPr>
        <w:spacing w:after="120" w:line="276"/>
      </w:pPr>
      <w:r>
        <w:rPr>
          <w:rFonts w:ascii="Calibri" w:cs="Calibri" w:eastAsia="Calibri" w:hAnsi="Calibri"/>
          <w:b/>
          <w:bCs/>
          <w:sz w:val="22"/>
          <w:szCs w:val="22"/>
        </w:rPr>
        <w:t xml:space="preserve">How It's Proven — Code You Can Audit</w:t>
      </w:r>
    </w:p>
    <w:p>
      <w:pPr>
        <w:spacing w:after="120" w:line="276"/>
        <w:ind w:left="360"/>
      </w:pPr>
      <w:r>
        <w:rPr>
          <w:rFonts w:ascii="Calibri" w:cs="Calibri" w:eastAsia="Calibri" w:hAnsi="Calibri"/>
          <w:sz w:val="22"/>
          <w:szCs w:val="22"/>
        </w:rPr>
        <w:t xml:space="preserve">Contract: BudgetEscrow.sol on Base Sepolia (0x4591…1bd80)</w:t>
      </w:r>
    </w:p>
    <w:p>
      <w:pPr>
        <w:spacing w:after="120" w:line="276"/>
        <w:ind w:left="360"/>
      </w:pPr>
      <w:r>
        <w:rPr>
          <w:rFonts w:ascii="Calibri" w:cs="Calibri" w:eastAsia="Calibri" w:hAnsi="Calibri"/>
          <w:sz w:val="22"/>
          <w:szCs w:val="22"/>
        </w:rPr>
        <w:t xml:space="preserve">Fee: constant FEE_BPS = 1000 (10%, immutable — encoded in bytecode)</w:t>
      </w:r>
    </w:p>
    <w:p>
      <w:pPr>
        <w:spacing w:after="120" w:line="276"/>
        <w:ind w:left="360"/>
      </w:pPr>
      <w:r>
        <w:rPr>
          <w:rFonts w:ascii="Calibri" w:cs="Calibri" w:eastAsia="Calibri" w:hAnsi="Calibri"/>
          <w:sz w:val="22"/>
          <w:szCs w:val="22"/>
        </w:rPr>
        <w:t xml:space="preserve">Claim logic: fee = (amount × FEE_BPS) / 10000; yield = amount − fee</w:t>
      </w:r>
    </w:p>
    <w:p>
      <w:pPr>
        <w:spacing w:after="120" w:line="276"/>
        <w:ind w:left="360"/>
      </w:pPr>
      <w:r>
        <w:rPr>
          <w:rFonts w:ascii="Calibri" w:cs="Calibri" w:eastAsia="Calibri" w:hAnsi="Calibri"/>
          <w:sz w:val="22"/>
          <w:szCs w:val="22"/>
        </w:rPr>
        <w:t xml:space="preserve">Verification: Anyone can verify on Basescan. Test suite confirms: $1.50 → $0.15 fee + $1.35 yield.</w:t>
      </w:r>
    </w:p>
    <w:p>
      <w:pPr>
        <w:spacing w:after="200"/>
      </w:pPr>
    </w:p>
    <w:p>
      <w:pPr>
        <w:spacing w:after="160" w:line="276"/>
      </w:pPr>
      <w:r>
        <w:rPr>
          <w:rFonts w:ascii="Calibri" w:cs="Calibri" w:eastAsia="Calibri" w:hAnsi="Calibri"/>
          <w:b/>
          <w:bCs/>
          <w:color w:val="333333"/>
          <w:sz w:val="24"/>
          <w:szCs w:val="24"/>
        </w:rPr>
        <w:t xml:space="preserve">Proof Point #2 — Existing Channel Optimization: 3-5x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rPr>
          <w:tblHeader/>
        </w:trPr>
        <w:tc>
          <w:tcPr>
            <w:tcW w:type="dxa" w:w="2800"/>
            <w:shd w:fill="1B7A4A" w:color="auto" w:val="clear"/>
          </w:tcPr>
          <w:p>
            <w:pPr>
              <w:spacing w:after="40"/>
            </w:pPr>
            <w:r>
              <w:rPr>
                <w:rFonts w:ascii="Calibri" w:cs="Calibri" w:eastAsia="Calibri" w:hAnsi="Calibri"/>
                <w:b/>
                <w:bCs/>
                <w:color w:val="FFFFFF"/>
                <w:sz w:val="22"/>
                <w:szCs w:val="22"/>
              </w:rPr>
              <w:t xml:space="preserve">Intelligence Product</w:t>
            </w:r>
          </w:p>
        </w:tc>
        <w:tc>
          <w:tcPr>
            <w:tcW w:type="dxa" w:w="2800"/>
            <w:shd w:fill="1B7A4A" w:color="auto" w:val="clear"/>
          </w:tcPr>
          <w:p>
            <w:pPr>
              <w:spacing w:after="40"/>
            </w:pPr>
            <w:r>
              <w:rPr>
                <w:rFonts w:ascii="Calibri" w:cs="Calibri" w:eastAsia="Calibri" w:hAnsi="Calibri"/>
                <w:b/>
                <w:bCs/>
                <w:color w:val="FFFFFF"/>
                <w:sz w:val="22"/>
                <w:szCs w:val="22"/>
              </w:rPr>
              <w:t xml:space="preserve">Tier</w:t>
            </w:r>
          </w:p>
        </w:tc>
        <w:tc>
          <w:tcPr>
            <w:tcW w:type="dxa" w:w="3760"/>
            <w:shd w:fill="1B7A4A" w:color="auto" w:val="clear"/>
          </w:tcPr>
          <w:p>
            <w:pPr>
              <w:spacing w:after="40"/>
            </w:pPr>
            <w:r>
              <w:rPr>
                <w:rFonts w:ascii="Calibri" w:cs="Calibri" w:eastAsia="Calibri" w:hAnsi="Calibri"/>
                <w:b/>
                <w:bCs/>
                <w:color w:val="FFFFFF"/>
                <w:sz w:val="22"/>
                <w:szCs w:val="22"/>
              </w:rPr>
              <w:t xml:space="preserve">What It Does</w:t>
            </w:r>
          </w:p>
        </w:tc>
      </w:tr>
      <w:tr>
        <w:trPr>
          <w:tblHeader w:val="false"/>
        </w:trPr>
        <w:tc>
          <w:tcPr>
            <w:tcW w:type="dxa" w:w="2800"/>
          </w:tcPr>
          <w:p>
            <w:pPr>
              <w:spacing w:after="40"/>
            </w:pPr>
            <w:r>
              <w:rPr>
                <w:rFonts w:ascii="Calibri" w:cs="Calibri" w:eastAsia="Calibri" w:hAnsi="Calibri"/>
                <w:sz w:val="22"/>
                <w:szCs w:val="22"/>
              </w:rPr>
              <w:t xml:space="preserve">Aggregate demand dashboard</w:t>
            </w:r>
          </w:p>
        </w:tc>
        <w:tc>
          <w:tcPr>
            <w:tcW w:type="dxa" w:w="2800"/>
          </w:tcPr>
          <w:p>
            <w:pPr>
              <w:spacing w:after="40"/>
            </w:pPr>
            <w:r>
              <w:rPr>
                <w:rFonts w:ascii="Calibri" w:cs="Calibri" w:eastAsia="Calibri" w:hAnsi="Calibri"/>
                <w:sz w:val="22"/>
                <w:szCs w:val="22"/>
              </w:rPr>
              <w:t xml:space="preserve">Free (Starter)</w:t>
            </w:r>
          </w:p>
        </w:tc>
        <w:tc>
          <w:tcPr>
            <w:tcW w:type="dxa" w:w="3760"/>
          </w:tcPr>
          <w:p>
            <w:pPr>
              <w:spacing w:after="40"/>
            </w:pPr>
            <w:r>
              <w:rPr>
                <w:rFonts w:ascii="Calibri" w:cs="Calibri" w:eastAsia="Calibri" w:hAnsi="Calibri"/>
                <w:sz w:val="22"/>
                <w:szCs w:val="22"/>
              </w:rPr>
              <w:t xml:space="preserve">See verified intent volume by category and region</w:t>
            </w:r>
          </w:p>
        </w:tc>
      </w:tr>
      <w:tr>
        <w:trPr>
          <w:tblHeader w:val="false"/>
        </w:trPr>
        <w:tc>
          <w:tcPr>
            <w:tcW w:type="dxa" w:w="2800"/>
            <w:shd w:fill="F5F5F5" w:color="auto" w:val="clear"/>
          </w:tcPr>
          <w:p>
            <w:pPr>
              <w:spacing w:after="40"/>
            </w:pPr>
            <w:r>
              <w:rPr>
                <w:rFonts w:ascii="Calibri" w:cs="Calibri" w:eastAsia="Calibri" w:hAnsi="Calibri"/>
                <w:sz w:val="22"/>
                <w:szCs w:val="22"/>
              </w:rPr>
              <w:t xml:space="preserve">Demand intelligence</w:t>
            </w:r>
          </w:p>
        </w:tc>
        <w:tc>
          <w:tcPr>
            <w:tcW w:type="dxa" w:w="2800"/>
            <w:shd w:fill="F5F5F5" w:color="auto" w:val="clear"/>
          </w:tcPr>
          <w:p>
            <w:pPr>
              <w:spacing w:after="40"/>
            </w:pPr>
            <w:r>
              <w:rPr>
                <w:rFonts w:ascii="Calibri" w:cs="Calibri" w:eastAsia="Calibri" w:hAnsi="Calibri"/>
                <w:sz w:val="22"/>
                <w:szCs w:val="22"/>
              </w:rPr>
              <w:t xml:space="preserve">Growth ($199/mo)</w:t>
            </w:r>
          </w:p>
        </w:tc>
        <w:tc>
          <w:tcPr>
            <w:tcW w:type="dxa" w:w="3760"/>
            <w:shd w:fill="F5F5F5" w:color="auto" w:val="clear"/>
          </w:tcPr>
          <w:p>
            <w:pPr>
              <w:spacing w:after="40"/>
            </w:pPr>
            <w:r>
              <w:rPr>
                <w:rFonts w:ascii="Calibri" w:cs="Calibri" w:eastAsia="Calibri" w:hAnsi="Calibri"/>
                <w:sz w:val="22"/>
                <w:szCs w:val="22"/>
              </w:rPr>
              <w:t xml:space="preserve">When intent peaks, correlated signals, price points</w:t>
            </w:r>
          </w:p>
        </w:tc>
      </w:tr>
      <w:tr>
        <w:trPr>
          <w:tblHeader w:val="false"/>
        </w:trPr>
        <w:tc>
          <w:tcPr>
            <w:tcW w:type="dxa" w:w="2800"/>
          </w:tcPr>
          <w:p>
            <w:pPr>
              <w:spacing w:after="40"/>
            </w:pPr>
            <w:r>
              <w:rPr>
                <w:rFonts w:ascii="Calibri" w:cs="Calibri" w:eastAsia="Calibri" w:hAnsi="Calibri"/>
                <w:sz w:val="22"/>
                <w:szCs w:val="22"/>
              </w:rPr>
              <w:t xml:space="preserve">Conversion attribution</w:t>
            </w:r>
          </w:p>
        </w:tc>
        <w:tc>
          <w:tcPr>
            <w:tcW w:type="dxa" w:w="2800"/>
          </w:tcPr>
          <w:p>
            <w:pPr>
              <w:spacing w:after="40"/>
            </w:pPr>
            <w:r>
              <w:rPr>
                <w:rFonts w:ascii="Calibri" w:cs="Calibri" w:eastAsia="Calibri" w:hAnsi="Calibri"/>
                <w:sz w:val="22"/>
                <w:szCs w:val="22"/>
              </w:rPr>
              <w:t xml:space="preserve">Scale ($999/mo)</w:t>
            </w:r>
          </w:p>
        </w:tc>
        <w:tc>
          <w:tcPr>
            <w:tcW w:type="dxa" w:w="3760"/>
          </w:tcPr>
          <w:p>
            <w:pPr>
              <w:spacing w:after="40"/>
            </w:pPr>
            <w:r>
              <w:rPr>
                <w:rFonts w:ascii="Calibri" w:cs="Calibri" w:eastAsia="Calibri" w:hAnsi="Calibri"/>
                <w:sz w:val="22"/>
                <w:szCs w:val="22"/>
              </w:rPr>
              <w:t xml:space="preserve">Your direct channel conversion vs. other channels</w:t>
            </w:r>
          </w:p>
        </w:tc>
      </w:tr>
      <w:tr>
        <w:trPr>
          <w:tblHeader w:val="false"/>
        </w:trPr>
        <w:tc>
          <w:tcPr>
            <w:tcW w:type="dxa" w:w="2800"/>
            <w:shd w:fill="F5F5F5" w:color="auto" w:val="clear"/>
          </w:tcPr>
          <w:p>
            <w:pPr>
              <w:spacing w:after="40"/>
            </w:pPr>
            <w:r>
              <w:rPr>
                <w:rFonts w:ascii="Calibri" w:cs="Calibri" w:eastAsia="Calibri" w:hAnsi="Calibri"/>
                <w:sz w:val="22"/>
                <w:szCs w:val="22"/>
              </w:rPr>
              <w:t xml:space="preserve">Suppression signals</w:t>
            </w:r>
          </w:p>
        </w:tc>
        <w:tc>
          <w:tcPr>
            <w:tcW w:type="dxa" w:w="2800"/>
            <w:shd w:fill="F5F5F5" w:color="auto" w:val="clear"/>
          </w:tcPr>
          <w:p>
            <w:pPr>
              <w:spacing w:after="40"/>
            </w:pPr>
            <w:r>
              <w:rPr>
                <w:rFonts w:ascii="Calibri" w:cs="Calibri" w:eastAsia="Calibri" w:hAnsi="Calibri"/>
                <w:sz w:val="22"/>
                <w:szCs w:val="22"/>
              </w:rPr>
              <w:t xml:space="preserve">Scale ($999/mo)</w:t>
            </w:r>
          </w:p>
        </w:tc>
        <w:tc>
          <w:tcPr>
            <w:tcW w:type="dxa" w:w="3760"/>
            <w:shd w:fill="F5F5F5" w:color="auto" w:val="clear"/>
          </w:tcPr>
          <w:p>
            <w:pPr>
              <w:spacing w:after="40"/>
            </w:pPr>
            <w:r>
              <w:rPr>
                <w:rFonts w:ascii="Calibri" w:cs="Calibri" w:eastAsia="Calibri" w:hAnsi="Calibri"/>
                <w:sz w:val="22"/>
                <w:szCs w:val="22"/>
              </w:rPr>
              <w:t xml:space="preserve">Stop targeting people who already converted</w:t>
            </w:r>
          </w:p>
        </w:tc>
      </w:tr>
      <w:tr>
        <w:trPr>
          <w:tblHeader w:val="false"/>
        </w:trPr>
        <w:tc>
          <w:tcPr>
            <w:tcW w:type="dxa" w:w="2800"/>
          </w:tcPr>
          <w:p>
            <w:pPr>
              <w:spacing w:after="40"/>
            </w:pPr>
            <w:r>
              <w:rPr>
                <w:rFonts w:ascii="Calibri" w:cs="Calibri" w:eastAsia="Calibri" w:hAnsi="Calibri"/>
                <w:sz w:val="22"/>
                <w:szCs w:val="22"/>
              </w:rPr>
              <w:t xml:space="preserve">Exclusion list API</w:t>
            </w:r>
          </w:p>
        </w:tc>
        <w:tc>
          <w:tcPr>
            <w:tcW w:type="dxa" w:w="2800"/>
          </w:tcPr>
          <w:p>
            <w:pPr>
              <w:spacing w:after="40"/>
            </w:pPr>
            <w:r>
              <w:rPr>
                <w:rFonts w:ascii="Calibri" w:cs="Calibri" w:eastAsia="Calibri" w:hAnsi="Calibri"/>
                <w:sz w:val="22"/>
                <w:szCs w:val="22"/>
              </w:rPr>
              <w:t xml:space="preserve">Scale ($999/mo)</w:t>
            </w:r>
          </w:p>
        </w:tc>
        <w:tc>
          <w:tcPr>
            <w:tcW w:type="dxa" w:w="3760"/>
          </w:tcPr>
          <w:p>
            <w:pPr>
              <w:spacing w:after="40"/>
            </w:pPr>
            <w:r>
              <w:rPr>
                <w:rFonts w:ascii="Calibri" w:cs="Calibri" w:eastAsia="Calibri" w:hAnsi="Calibri"/>
                <w:sz w:val="22"/>
                <w:szCs w:val="22"/>
              </w:rPr>
              <w:t xml:space="preserve">7-day time-locked signal batches for Meta/Google</w:t>
            </w:r>
          </w:p>
        </w:tc>
      </w:tr>
      <w:tr>
        <w:trPr>
          <w:tblHeader w:val="false"/>
        </w:trPr>
        <w:tc>
          <w:tcPr>
            <w:tcW w:type="dxa" w:w="2800"/>
            <w:shd w:fill="F5F5F5" w:color="auto" w:val="clear"/>
          </w:tcPr>
          <w:p>
            <w:pPr>
              <w:spacing w:after="40"/>
            </w:pPr>
            <w:r>
              <w:rPr>
                <w:rFonts w:ascii="Calibri" w:cs="Calibri" w:eastAsia="Calibri" w:hAnsi="Calibri"/>
                <w:sz w:val="22"/>
                <w:szCs w:val="22"/>
              </w:rPr>
              <w:t xml:space="preserve">Demand forecasting</w:t>
            </w:r>
          </w:p>
        </w:tc>
        <w:tc>
          <w:tcPr>
            <w:tcW w:type="dxa" w:w="2800"/>
            <w:shd w:fill="F5F5F5" w:color="auto" w:val="clear"/>
          </w:tcPr>
          <w:p>
            <w:pPr>
              <w:spacing w:after="40"/>
            </w:pPr>
            <w:r>
              <w:rPr>
                <w:rFonts w:ascii="Calibri" w:cs="Calibri" w:eastAsia="Calibri" w:hAnsi="Calibri"/>
                <w:sz w:val="22"/>
                <w:szCs w:val="22"/>
              </w:rPr>
              <w:t xml:space="preserve">Enterprise ($4,999/mo)</w:t>
            </w:r>
          </w:p>
        </w:tc>
        <w:tc>
          <w:tcPr>
            <w:tcW w:type="dxa" w:w="3760"/>
            <w:shd w:fill="F5F5F5" w:color="auto" w:val="clear"/>
          </w:tcPr>
          <w:p>
            <w:pPr>
              <w:spacing w:after="40"/>
            </w:pPr>
            <w:r>
              <w:rPr>
                <w:rFonts w:ascii="Calibri" w:cs="Calibri" w:eastAsia="Calibri" w:hAnsi="Calibri"/>
                <w:sz w:val="22"/>
                <w:szCs w:val="22"/>
              </w:rPr>
              <w:t xml:space="preserve">When to increase/decrease spend</w:t>
            </w:r>
          </w:p>
        </w:tc>
      </w:tr>
      <w:tr>
        <w:trPr>
          <w:tblHeader w:val="false"/>
        </w:trPr>
        <w:tc>
          <w:tcPr>
            <w:tcW w:type="dxa" w:w="2800"/>
          </w:tcPr>
          <w:p>
            <w:pPr>
              <w:spacing w:after="40"/>
            </w:pPr>
            <w:r>
              <w:rPr>
                <w:rFonts w:ascii="Calibri" w:cs="Calibri" w:eastAsia="Calibri" w:hAnsi="Calibri"/>
                <w:sz w:val="22"/>
                <w:szCs w:val="22"/>
              </w:rPr>
              <w:t xml:space="preserve">ZK matching insights</w:t>
            </w:r>
          </w:p>
        </w:tc>
        <w:tc>
          <w:tcPr>
            <w:tcW w:type="dxa" w:w="2800"/>
          </w:tcPr>
          <w:p>
            <w:pPr>
              <w:spacing w:after="40"/>
            </w:pPr>
            <w:r>
              <w:rPr>
                <w:rFonts w:ascii="Calibri" w:cs="Calibri" w:eastAsia="Calibri" w:hAnsi="Calibri"/>
                <w:sz w:val="22"/>
                <w:szCs w:val="22"/>
              </w:rPr>
              <w:t xml:space="preserve">Enterprise ($4,999/mo)</w:t>
            </w:r>
          </w:p>
        </w:tc>
        <w:tc>
          <w:tcPr>
            <w:tcW w:type="dxa" w:w="3760"/>
          </w:tcPr>
          <w:p>
            <w:pPr>
              <w:spacing w:after="40"/>
            </w:pPr>
            <w:r>
              <w:rPr>
                <w:rFonts w:ascii="Calibri" w:cs="Calibri" w:eastAsia="Calibri" w:hAnsi="Calibri"/>
                <w:sz w:val="22"/>
                <w:szCs w:val="22"/>
              </w:rPr>
              <w:t xml:space="preserve">See results, never matching criteria</w:t>
            </w:r>
          </w:p>
        </w:tc>
      </w:tr>
    </w:tbl>
    <w:p>
      <w:pPr>
        <w:spacing w:after="200"/>
      </w:pPr>
    </w:p>
    <w:p>
      <w:pPr>
        <w:spacing w:after="120" w:line="276"/>
      </w:pPr>
      <w:r>
        <w:rPr>
          <w:rFonts w:ascii="Calibri" w:cs="Calibri" w:eastAsia="Calibri" w:hAnsi="Calibri"/>
          <w:b/>
          <w:bCs/>
          <w:sz w:val="22"/>
          <w:szCs w:val="22"/>
        </w:rPr>
        <w:t xml:space="preserve">Why 3-5x, Not 41x?</w:t>
      </w:r>
    </w:p>
    <w:p>
      <w:pPr>
        <w:spacing w:after="120" w:line="276"/>
      </w:pPr>
      <w:r>
        <w:rPr>
          <w:rFonts w:ascii="Calibri" w:cs="Calibri" w:eastAsia="Calibri" w:hAnsi="Calibri"/>
          <w:sz w:val="22"/>
          <w:szCs w:val="22"/>
        </w:rPr>
        <w:t xml:space="preserve">The intelligence product optimizes existing channels — it doesn't replace their supply chain.</w:t>
      </w:r>
    </w:p>
    <w:p>
      <w:pPr>
        <w:spacing w:after="120" w:line="276"/>
        <w:ind w:left="360"/>
      </w:pPr>
      <w:r>
        <w:rPr>
          <w:rFonts w:ascii="Calibri" w:cs="Calibri" w:eastAsia="Calibri" w:hAnsi="Calibri"/>
          <w:sz w:val="22"/>
          <w:szCs w:val="22"/>
        </w:rPr>
        <w:t xml:space="preserve">Suppression signals: 20-30% waste reduction</w:t>
      </w:r>
    </w:p>
    <w:p>
      <w:pPr>
        <w:spacing w:after="120" w:line="276"/>
        <w:ind w:left="360"/>
      </w:pPr>
      <w:r>
        <w:rPr>
          <w:rFonts w:ascii="Calibri" w:cs="Calibri" w:eastAsia="Calibri" w:hAnsi="Calibri"/>
          <w:sz w:val="22"/>
          <w:szCs w:val="22"/>
        </w:rPr>
        <w:t xml:space="preserve">Demand timing: 15-25% efficiency gain</w:t>
      </w:r>
    </w:p>
    <w:p>
      <w:pPr>
        <w:spacing w:after="120" w:line="276"/>
        <w:ind w:left="360"/>
      </w:pPr>
      <w:r>
        <w:rPr>
          <w:rFonts w:ascii="Calibri" w:cs="Calibri" w:eastAsia="Calibri" w:hAnsi="Calibri"/>
          <w:sz w:val="22"/>
          <w:szCs w:val="22"/>
        </w:rPr>
        <w:t xml:space="preserve">Attribution clarity: 10-20% improvement</w:t>
      </w:r>
    </w:p>
    <w:p>
      <w:pPr>
        <w:spacing w:after="120" w:line="276"/>
        <w:ind w:left="360"/>
      </w:pPr>
      <w:r>
        <w:rPr>
          <w:rFonts w:ascii="Calibri" w:cs="Calibri" w:eastAsia="Calibri" w:hAnsi="Calibri"/>
          <w:sz w:val="22"/>
          <w:szCs w:val="22"/>
        </w:rPr>
        <w:t xml:space="preserve">Combined: 3-5x improvement on existing spend.</w:t>
      </w:r>
    </w:p>
    <w:p>
      <w:pPr>
        <w:spacing w:after="200"/>
      </w:pPr>
    </w:p>
    <w:p>
      <w:pPr>
        <w:spacing w:after="160" w:line="276"/>
      </w:pPr>
      <w:r>
        <w:rPr>
          <w:rFonts w:ascii="Calibri" w:cs="Calibri" w:eastAsia="Calibri" w:hAnsi="Calibri"/>
          <w:b/>
          <w:bCs/>
          <w:color w:val="333333"/>
          <w:sz w:val="24"/>
          <w:szCs w:val="24"/>
        </w:rPr>
        <w:t xml:space="preserve">Proof Point #3 — Portfolio Effect: 8-15x Blended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560"/>
        <w:gridCol w:w="1800"/>
      </w:tblGrid>
      <w:tr>
        <w:trPr>
          <w:tblHeader/>
        </w:trPr>
        <w:tc>
          <w:tcPr>
            <w:tcW w:type="dxa" w:w="2800"/>
            <w:shd w:fill="1B7A4A" w:color="auto" w:val="clear"/>
          </w:tcPr>
          <w:p>
            <w:pPr>
              <w:spacing w:after="40"/>
            </w:pPr>
            <w:r>
              <w:rPr>
                <w:rFonts w:ascii="Calibri" w:cs="Calibri" w:eastAsia="Calibri" w:hAnsi="Calibri"/>
                <w:b/>
                <w:bCs/>
                <w:color w:val="FFFFFF"/>
                <w:sz w:val="22"/>
                <w:szCs w:val="22"/>
              </w:rPr>
              <w:t xml:space="preserve">Allocation</w:t>
            </w:r>
          </w:p>
        </w:tc>
        <w:tc>
          <w:tcPr>
            <w:tcW w:type="dxa" w:w="2200"/>
            <w:shd w:fill="1B7A4A" w:color="auto" w:val="clear"/>
          </w:tcPr>
          <w:p>
            <w:pPr>
              <w:spacing w:after="40"/>
            </w:pPr>
            <w:r>
              <w:rPr>
                <w:rFonts w:ascii="Calibri" w:cs="Calibri" w:eastAsia="Calibri" w:hAnsi="Calibri"/>
                <w:b/>
                <w:bCs/>
                <w:color w:val="FFFFFF"/>
                <w:sz w:val="22"/>
                <w:szCs w:val="22"/>
              </w:rPr>
              <w:t xml:space="preserve">Direct (41x)</w:t>
            </w:r>
          </w:p>
        </w:tc>
        <w:tc>
          <w:tcPr>
            <w:tcW w:type="dxa" w:w="2560"/>
            <w:shd w:fill="1B7A4A" w:color="auto" w:val="clear"/>
          </w:tcPr>
          <w:p>
            <w:pPr>
              <w:spacing w:after="40"/>
            </w:pPr>
            <w:r>
              <w:rPr>
                <w:rFonts w:ascii="Calibri" w:cs="Calibri" w:eastAsia="Calibri" w:hAnsi="Calibri"/>
                <w:b/>
                <w:bCs/>
                <w:color w:val="FFFFFF"/>
                <w:sz w:val="22"/>
                <w:szCs w:val="22"/>
              </w:rPr>
              <w:t xml:space="preserve">Existing Optimized (4x)</w:t>
            </w:r>
          </w:p>
        </w:tc>
        <w:tc>
          <w:tcPr>
            <w:tcW w:type="dxa" w:w="1800"/>
            <w:shd w:fill="1B7A4A" w:color="auto" w:val="clear"/>
          </w:tcPr>
          <w:p>
            <w:pPr>
              <w:spacing w:after="40"/>
            </w:pPr>
            <w:r>
              <w:rPr>
                <w:rFonts w:ascii="Calibri" w:cs="Calibri" w:eastAsia="Calibri" w:hAnsi="Calibri"/>
                <w:b/>
                <w:bCs/>
                <w:color w:val="FFFFFF"/>
                <w:sz w:val="22"/>
                <w:szCs w:val="22"/>
              </w:rPr>
              <w:t xml:space="preserve">Blended ROI</w:t>
            </w:r>
          </w:p>
        </w:tc>
      </w:tr>
      <w:tr>
        <w:trPr>
          <w:tblHeader w:val="false"/>
        </w:trPr>
        <w:tc>
          <w:tcPr>
            <w:tcW w:type="dxa" w:w="2800"/>
          </w:tcPr>
          <w:p>
            <w:pPr>
              <w:spacing w:after="40"/>
            </w:pPr>
            <w:r>
              <w:rPr>
                <w:rFonts w:ascii="Calibri" w:cs="Calibri" w:eastAsia="Calibri" w:hAnsi="Calibri"/>
                <w:sz w:val="22"/>
                <w:szCs w:val="22"/>
              </w:rPr>
              <w:t xml:space="preserve">10% PersonalOS / 90% existing</w:t>
            </w:r>
          </w:p>
        </w:tc>
        <w:tc>
          <w:tcPr>
            <w:tcW w:type="dxa" w:w="2200"/>
          </w:tcPr>
          <w:p>
            <w:pPr>
              <w:spacing w:after="40"/>
            </w:pPr>
            <w:r>
              <w:rPr>
                <w:rFonts w:ascii="Calibri" w:cs="Calibri" w:eastAsia="Calibri" w:hAnsi="Calibri"/>
                <w:sz w:val="22"/>
                <w:szCs w:val="22"/>
              </w:rPr>
              <w:t xml:space="preserve">41x on 10%</w:t>
            </w:r>
          </w:p>
        </w:tc>
        <w:tc>
          <w:tcPr>
            <w:tcW w:type="dxa" w:w="2560"/>
          </w:tcPr>
          <w:p>
            <w:pPr>
              <w:spacing w:after="40"/>
            </w:pPr>
            <w:r>
              <w:rPr>
                <w:rFonts w:ascii="Calibri" w:cs="Calibri" w:eastAsia="Calibri" w:hAnsi="Calibri"/>
                <w:sz w:val="22"/>
                <w:szCs w:val="22"/>
              </w:rPr>
              <w:t xml:space="preserve">4x on 90%</w:t>
            </w:r>
          </w:p>
        </w:tc>
        <w:tc>
          <w:tcPr>
            <w:tcW w:type="dxa" w:w="1800"/>
          </w:tcPr>
          <w:p>
            <w:pPr>
              <w:spacing w:after="40"/>
            </w:pPr>
            <w:r>
              <w:rPr>
                <w:rFonts w:ascii="Calibri" w:cs="Calibri" w:eastAsia="Calibri" w:hAnsi="Calibri"/>
                <w:sz w:val="22"/>
                <w:szCs w:val="22"/>
              </w:rPr>
              <w:t xml:space="preserve">~7.7x overall</w:t>
            </w:r>
          </w:p>
        </w:tc>
      </w:tr>
      <w:tr>
        <w:trPr>
          <w:tblHeader w:val="false"/>
        </w:trPr>
        <w:tc>
          <w:tcPr>
            <w:tcW w:type="dxa" w:w="2800"/>
            <w:shd w:fill="F5F5F5" w:color="auto" w:val="clear"/>
          </w:tcPr>
          <w:p>
            <w:pPr>
              <w:spacing w:after="40"/>
            </w:pPr>
            <w:r>
              <w:rPr>
                <w:rFonts w:ascii="Calibri" w:cs="Calibri" w:eastAsia="Calibri" w:hAnsi="Calibri"/>
                <w:sz w:val="22"/>
                <w:szCs w:val="22"/>
              </w:rPr>
              <w:t xml:space="preserve">20% / 80%</w:t>
            </w:r>
          </w:p>
        </w:tc>
        <w:tc>
          <w:tcPr>
            <w:tcW w:type="dxa" w:w="2200"/>
            <w:shd w:fill="F5F5F5" w:color="auto" w:val="clear"/>
          </w:tcPr>
          <w:p>
            <w:pPr>
              <w:spacing w:after="40"/>
            </w:pPr>
            <w:r>
              <w:rPr>
                <w:rFonts w:ascii="Calibri" w:cs="Calibri" w:eastAsia="Calibri" w:hAnsi="Calibri"/>
                <w:sz w:val="22"/>
                <w:szCs w:val="22"/>
              </w:rPr>
              <w:t xml:space="preserve">41x on 20%</w:t>
            </w:r>
          </w:p>
        </w:tc>
        <w:tc>
          <w:tcPr>
            <w:tcW w:type="dxa" w:w="2560"/>
            <w:shd w:fill="F5F5F5" w:color="auto" w:val="clear"/>
          </w:tcPr>
          <w:p>
            <w:pPr>
              <w:spacing w:after="40"/>
            </w:pPr>
            <w:r>
              <w:rPr>
                <w:rFonts w:ascii="Calibri" w:cs="Calibri" w:eastAsia="Calibri" w:hAnsi="Calibri"/>
                <w:sz w:val="22"/>
                <w:szCs w:val="22"/>
              </w:rPr>
              <w:t xml:space="preserve">4x on 80%</w:t>
            </w:r>
          </w:p>
        </w:tc>
        <w:tc>
          <w:tcPr>
            <w:tcW w:type="dxa" w:w="1800"/>
            <w:shd w:fill="F5F5F5" w:color="auto" w:val="clear"/>
          </w:tcPr>
          <w:p>
            <w:pPr>
              <w:spacing w:after="40"/>
            </w:pPr>
            <w:r>
              <w:rPr>
                <w:rFonts w:ascii="Calibri" w:cs="Calibri" w:eastAsia="Calibri" w:hAnsi="Calibri"/>
                <w:sz w:val="22"/>
                <w:szCs w:val="22"/>
              </w:rPr>
              <w:t xml:space="preserve">~11.4x overall</w:t>
            </w:r>
          </w:p>
        </w:tc>
      </w:tr>
      <w:tr>
        <w:trPr>
          <w:tblHeader w:val="false"/>
        </w:trPr>
        <w:tc>
          <w:tcPr>
            <w:tcW w:type="dxa" w:w="2800"/>
          </w:tcPr>
          <w:p>
            <w:pPr>
              <w:spacing w:after="40"/>
            </w:pPr>
            <w:r>
              <w:rPr>
                <w:rFonts w:ascii="Calibri" w:cs="Calibri" w:eastAsia="Calibri" w:hAnsi="Calibri"/>
                <w:sz w:val="22"/>
                <w:szCs w:val="22"/>
              </w:rPr>
              <w:t xml:space="preserve">30% / 70%</w:t>
            </w:r>
          </w:p>
        </w:tc>
        <w:tc>
          <w:tcPr>
            <w:tcW w:type="dxa" w:w="2200"/>
          </w:tcPr>
          <w:p>
            <w:pPr>
              <w:spacing w:after="40"/>
            </w:pPr>
            <w:r>
              <w:rPr>
                <w:rFonts w:ascii="Calibri" w:cs="Calibri" w:eastAsia="Calibri" w:hAnsi="Calibri"/>
                <w:sz w:val="22"/>
                <w:szCs w:val="22"/>
              </w:rPr>
              <w:t xml:space="preserve">41x on 30%</w:t>
            </w:r>
          </w:p>
        </w:tc>
        <w:tc>
          <w:tcPr>
            <w:tcW w:type="dxa" w:w="2560"/>
          </w:tcPr>
          <w:p>
            <w:pPr>
              <w:spacing w:after="40"/>
            </w:pPr>
            <w:r>
              <w:rPr>
                <w:rFonts w:ascii="Calibri" w:cs="Calibri" w:eastAsia="Calibri" w:hAnsi="Calibri"/>
                <w:sz w:val="22"/>
                <w:szCs w:val="22"/>
              </w:rPr>
              <w:t xml:space="preserve">4x on 70%</w:t>
            </w:r>
          </w:p>
        </w:tc>
        <w:tc>
          <w:tcPr>
            <w:tcW w:type="dxa" w:w="1800"/>
          </w:tcPr>
          <w:p>
            <w:pPr>
              <w:spacing w:after="40"/>
            </w:pPr>
            <w:r>
              <w:rPr>
                <w:rFonts w:ascii="Calibri" w:cs="Calibri" w:eastAsia="Calibri" w:hAnsi="Calibri"/>
                <w:sz w:val="22"/>
                <w:szCs w:val="22"/>
              </w:rPr>
              <w:t xml:space="preserve">~15.1x overall</w:t>
            </w:r>
          </w:p>
        </w:tc>
      </w:tr>
    </w:tbl>
    <w:p>
      <w:pPr>
        <w:spacing w:after="200"/>
      </w:pPr>
    </w:p>
    <w:p>
      <w:pPr>
        <w:spacing w:after="120" w:line="276"/>
      </w:pPr>
      <w:r>
        <w:rPr>
          <w:rFonts w:ascii="Calibri" w:cs="Calibri" w:eastAsia="Calibri" w:hAnsi="Calibri"/>
          <w:b/>
          <w:bCs/>
          <w:sz w:val="22"/>
          <w:szCs w:val="22"/>
        </w:rPr>
        <w:t xml:space="preserve">Brand Journey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shd w:fill="1B7A4A" w:color="auto" w:val="clear"/>
          </w:tcPr>
          <w:p>
            <w:pPr>
              <w:spacing w:after="40"/>
            </w:pPr>
            <w:r>
              <w:rPr>
                <w:rFonts w:ascii="Calibri" w:cs="Calibri" w:eastAsia="Calibri" w:hAnsi="Calibri"/>
                <w:b/>
                <w:bCs/>
                <w:color w:val="FFFFFF"/>
                <w:sz w:val="22"/>
                <w:szCs w:val="22"/>
              </w:rPr>
              <w:t xml:space="preserve">Phase</w:t>
            </w:r>
          </w:p>
        </w:tc>
        <w:tc>
          <w:tcPr>
            <w:tcW w:type="dxa" w:w="3580"/>
            <w:shd w:fill="1B7A4A" w:color="auto" w:val="clear"/>
          </w:tcPr>
          <w:p>
            <w:pPr>
              <w:spacing w:after="40"/>
            </w:pPr>
            <w:r>
              <w:rPr>
                <w:rFonts w:ascii="Calibri" w:cs="Calibri" w:eastAsia="Calibri" w:hAnsi="Calibri"/>
                <w:b/>
                <w:bCs/>
                <w:color w:val="FFFFFF"/>
                <w:sz w:val="22"/>
                <w:szCs w:val="22"/>
              </w:rPr>
              <w:t xml:space="preserve">What You Do</w:t>
            </w:r>
          </w:p>
        </w:tc>
        <w:tc>
          <w:tcPr>
            <w:tcW w:type="dxa" w:w="3580"/>
            <w:shd w:fill="1B7A4A" w:color="auto" w:val="clear"/>
          </w:tcPr>
          <w:p>
            <w:pPr>
              <w:spacing w:after="40"/>
            </w:pPr>
            <w:r>
              <w:rPr>
                <w:rFonts w:ascii="Calibri" w:cs="Calibri" w:eastAsia="Calibri" w:hAnsi="Calibri"/>
                <w:b/>
                <w:bCs/>
                <w:color w:val="FFFFFF"/>
                <w:sz w:val="22"/>
                <w:szCs w:val="22"/>
              </w:rPr>
              <w:t xml:space="preserve">What You Learn</w:t>
            </w:r>
          </w:p>
        </w:tc>
      </w:tr>
      <w:tr>
        <w:trPr>
          <w:tblHeader w:val="false"/>
        </w:trPr>
        <w:tc>
          <w:tcPr>
            <w:tcW w:type="dxa" w:w="2200"/>
          </w:tcPr>
          <w:p>
            <w:pPr>
              <w:spacing w:after="40"/>
            </w:pPr>
            <w:r>
              <w:rPr>
                <w:rFonts w:ascii="Calibri" w:cs="Calibri" w:eastAsia="Calibri" w:hAnsi="Calibri"/>
                <w:sz w:val="22"/>
                <w:szCs w:val="22"/>
              </w:rPr>
              <w:t xml:space="preserve">1. Browse (Free)</w:t>
            </w:r>
          </w:p>
        </w:tc>
        <w:tc>
          <w:tcPr>
            <w:tcW w:type="dxa" w:w="3580"/>
          </w:tcPr>
          <w:p>
            <w:pPr>
              <w:spacing w:after="40"/>
            </w:pPr>
            <w:r>
              <w:rPr>
                <w:rFonts w:ascii="Calibri" w:cs="Calibri" w:eastAsia="Calibri" w:hAnsi="Calibri"/>
                <w:sz w:val="22"/>
                <w:szCs w:val="22"/>
              </w:rPr>
              <w:t xml:space="preserve">View aggregate demand dashboard</w:t>
            </w:r>
          </w:p>
        </w:tc>
        <w:tc>
          <w:tcPr>
            <w:tcW w:type="dxa" w:w="3580"/>
          </w:tcPr>
          <w:p>
            <w:pPr>
              <w:spacing w:after="40"/>
            </w:pPr>
            <w:r>
              <w:rPr>
                <w:rFonts w:ascii="Calibri" w:cs="Calibri" w:eastAsia="Calibri" w:hAnsi="Calibri"/>
                <w:sz w:val="22"/>
                <w:szCs w:val="22"/>
              </w:rPr>
              <w:t xml:space="preserve">Real intent exists in your category</w:t>
            </w:r>
          </w:p>
        </w:tc>
      </w:tr>
      <w:tr>
        <w:trPr>
          <w:tblHeader w:val="false"/>
        </w:trPr>
        <w:tc>
          <w:tcPr>
            <w:tcW w:type="dxa" w:w="2200"/>
            <w:shd w:fill="F5F5F5" w:color="auto" w:val="clear"/>
          </w:tcPr>
          <w:p>
            <w:pPr>
              <w:spacing w:after="40"/>
            </w:pPr>
            <w:r>
              <w:rPr>
                <w:rFonts w:ascii="Calibri" w:cs="Calibri" w:eastAsia="Calibri" w:hAnsi="Calibri"/>
                <w:sz w:val="22"/>
                <w:szCs w:val="22"/>
              </w:rPr>
              <w:t xml:space="preserve">2. Test ($199/mo)</w:t>
            </w:r>
          </w:p>
        </w:tc>
        <w:tc>
          <w:tcPr>
            <w:tcW w:type="dxa" w:w="3580"/>
            <w:shd w:fill="F5F5F5" w:color="auto" w:val="clear"/>
          </w:tcPr>
          <w:p>
            <w:pPr>
              <w:spacing w:after="40"/>
            </w:pPr>
            <w:r>
              <w:rPr>
                <w:rFonts w:ascii="Calibri" w:cs="Calibri" w:eastAsia="Calibri" w:hAnsi="Calibri"/>
                <w:sz w:val="22"/>
                <w:szCs w:val="22"/>
              </w:rPr>
              <w:t xml:space="preserve">Run 3-5 direct offers</w:t>
            </w:r>
          </w:p>
        </w:tc>
        <w:tc>
          <w:tcPr>
            <w:tcW w:type="dxa" w:w="3580"/>
            <w:shd w:fill="F5F5F5" w:color="auto" w:val="clear"/>
          </w:tcPr>
          <w:p>
            <w:pPr>
              <w:spacing w:after="40"/>
            </w:pPr>
            <w:r>
              <w:rPr>
                <w:rFonts w:ascii="Calibri" w:cs="Calibri" w:eastAsia="Calibri" w:hAnsi="Calibri"/>
                <w:sz w:val="22"/>
                <w:szCs w:val="22"/>
              </w:rPr>
              <w:t xml:space="preserve">40-60% conversion; 41x efficiency is real</w:t>
            </w:r>
          </w:p>
        </w:tc>
      </w:tr>
      <w:tr>
        <w:trPr>
          <w:tblHeader w:val="false"/>
        </w:trPr>
        <w:tc>
          <w:tcPr>
            <w:tcW w:type="dxa" w:w="2200"/>
          </w:tcPr>
          <w:p>
            <w:pPr>
              <w:spacing w:after="40"/>
            </w:pPr>
            <w:r>
              <w:rPr>
                <w:rFonts w:ascii="Calibri" w:cs="Calibri" w:eastAsia="Calibri" w:hAnsi="Calibri"/>
                <w:sz w:val="22"/>
                <w:szCs w:val="22"/>
              </w:rPr>
              <w:t xml:space="preserve">3. Optimize ($999/mo)</w:t>
            </w:r>
          </w:p>
        </w:tc>
        <w:tc>
          <w:tcPr>
            <w:tcW w:type="dxa" w:w="3580"/>
          </w:tcPr>
          <w:p>
            <w:pPr>
              <w:spacing w:after="40"/>
            </w:pPr>
            <w:r>
              <w:rPr>
                <w:rFonts w:ascii="Calibri" w:cs="Calibri" w:eastAsia="Calibri" w:hAnsi="Calibri"/>
                <w:sz w:val="22"/>
                <w:szCs w:val="22"/>
              </w:rPr>
              <w:t xml:space="preserve">Add suppression + attribution</w:t>
            </w:r>
          </w:p>
        </w:tc>
        <w:tc>
          <w:tcPr>
            <w:tcW w:type="dxa" w:w="3580"/>
          </w:tcPr>
          <w:p>
            <w:pPr>
              <w:spacing w:after="40"/>
            </w:pPr>
            <w:r>
              <w:rPr>
                <w:rFonts w:ascii="Calibri" w:cs="Calibri" w:eastAsia="Calibri" w:hAnsi="Calibri"/>
                <w:sz w:val="22"/>
                <w:szCs w:val="22"/>
              </w:rPr>
              <w:t xml:space="preserve">Your Meta/Google spend improves 3-5x</w:t>
            </w:r>
          </w:p>
        </w:tc>
      </w:tr>
      <w:tr>
        <w:trPr>
          <w:tblHeader w:val="false"/>
        </w:trPr>
        <w:tc>
          <w:tcPr>
            <w:tcW w:type="dxa" w:w="2200"/>
            <w:shd w:fill="F5F5F5" w:color="auto" w:val="clear"/>
          </w:tcPr>
          <w:p>
            <w:pPr>
              <w:spacing w:after="40"/>
            </w:pPr>
            <w:r>
              <w:rPr>
                <w:rFonts w:ascii="Calibri" w:cs="Calibri" w:eastAsia="Calibri" w:hAnsi="Calibri"/>
                <w:sz w:val="22"/>
                <w:szCs w:val="22"/>
              </w:rPr>
              <w:t xml:space="preserve">4. Scale ($4,999/mo)</w:t>
            </w:r>
          </w:p>
        </w:tc>
        <w:tc>
          <w:tcPr>
            <w:tcW w:type="dxa" w:w="3580"/>
            <w:shd w:fill="F5F5F5" w:color="auto" w:val="clear"/>
          </w:tcPr>
          <w:p>
            <w:pPr>
              <w:spacing w:after="40"/>
            </w:pPr>
            <w:r>
              <w:rPr>
                <w:rFonts w:ascii="Calibri" w:cs="Calibri" w:eastAsia="Calibri" w:hAnsi="Calibri"/>
                <w:sz w:val="22"/>
                <w:szCs w:val="22"/>
              </w:rPr>
              <w:t xml:space="preserve">Full portfolio allocation</w:t>
            </w:r>
          </w:p>
        </w:tc>
        <w:tc>
          <w:tcPr>
            <w:tcW w:type="dxa" w:w="3580"/>
            <w:shd w:fill="F5F5F5" w:color="auto" w:val="clear"/>
          </w:tcPr>
          <w:p>
            <w:pPr>
              <w:spacing w:after="40"/>
            </w:pPr>
            <w:r>
              <w:rPr>
                <w:rFonts w:ascii="Calibri" w:cs="Calibri" w:eastAsia="Calibri" w:hAnsi="Calibri"/>
                <w:sz w:val="22"/>
                <w:szCs w:val="22"/>
              </w:rPr>
              <w:t xml:space="preserve">8-15x blended, with forecasting</w:t>
            </w:r>
          </w:p>
        </w:tc>
      </w:tr>
    </w:tbl>
    <w:p>
      <w:pPr>
        <w:spacing w:after="200"/>
      </w:pPr>
    </w:p>
    <w:p>
      <w:pPr>
        <w:spacing w:after="200" w:line="276"/>
      </w:pPr>
      <w:r>
        <w:rPr>
          <w:rFonts w:ascii="Calibri" w:cs="Calibri" w:eastAsia="Calibri" w:hAnsi="Calibri"/>
          <w:b/>
          <w:bCs/>
          <w:color w:val="1B7A4A"/>
          <w:sz w:val="28"/>
          <w:szCs w:val="28"/>
        </w:rPr>
        <w:t xml:space="preserve">PART 4: THE ECONOMICS</w:t>
      </w:r>
    </w:p>
    <w:p>
      <w:pPr>
        <w:spacing w:after="160" w:line="276"/>
      </w:pPr>
      <w:r>
        <w:rPr>
          <w:rFonts w:ascii="Calibri" w:cs="Calibri" w:eastAsia="Calibri" w:hAnsi="Calibri"/>
          <w:b/>
          <w:bCs/>
          <w:color w:val="333333"/>
          <w:sz w:val="24"/>
          <w:szCs w:val="24"/>
        </w:rPr>
        <w:t xml:space="preserve">Brand ROI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600"/>
        <w:gridCol w:w="2360"/>
        <w:gridCol w:w="1800"/>
      </w:tblGrid>
      <w:tr>
        <w:trPr>
          <w:tblHeader/>
        </w:trPr>
        <w:tc>
          <w:tcPr>
            <w:tcW w:type="dxa" w:w="2200"/>
            <w:shd w:fill="1B7A4A" w:color="auto" w:val="clear"/>
          </w:tcPr>
          <w:p>
            <w:pPr>
              <w:spacing w:after="40"/>
            </w:pPr>
            <w:r>
              <w:rPr>
                <w:rFonts w:ascii="Calibri" w:cs="Calibri" w:eastAsia="Calibri" w:hAnsi="Calibri"/>
                <w:b/>
                <w:bCs/>
                <w:color w:val="FFFFFF"/>
                <w:sz w:val="22"/>
                <w:szCs w:val="22"/>
              </w:rPr>
              <w:t xml:space="preserve">Channel</w:t>
            </w:r>
          </w:p>
        </w:tc>
        <w:tc>
          <w:tcPr>
            <w:tcW w:type="dxa" w:w="1400"/>
            <w:shd w:fill="1B7A4A" w:color="auto" w:val="clear"/>
          </w:tcPr>
          <w:p>
            <w:pPr>
              <w:spacing w:after="40"/>
            </w:pPr>
            <w:r>
              <w:rPr>
                <w:rFonts w:ascii="Calibri" w:cs="Calibri" w:eastAsia="Calibri" w:hAnsi="Calibri"/>
                <w:b/>
                <w:bCs/>
                <w:color w:val="FFFFFF"/>
                <w:sz w:val="22"/>
                <w:szCs w:val="22"/>
              </w:rPr>
              <w:t xml:space="preserve">CPA Range</w:t>
            </w:r>
          </w:p>
        </w:tc>
        <w:tc>
          <w:tcPr>
            <w:tcW w:type="dxa" w:w="1600"/>
            <w:shd w:fill="1B7A4A" w:color="auto" w:val="clear"/>
          </w:tcPr>
          <w:p>
            <w:pPr>
              <w:spacing w:after="40"/>
            </w:pPr>
            <w:r>
              <w:rPr>
                <w:rFonts w:ascii="Calibri" w:cs="Calibri" w:eastAsia="Calibri" w:hAnsi="Calibri"/>
                <w:b/>
                <w:bCs/>
                <w:color w:val="FFFFFF"/>
                <w:sz w:val="22"/>
                <w:szCs w:val="22"/>
              </w:rPr>
              <w:t xml:space="preserve">Conversion Rate</w:t>
            </w:r>
          </w:p>
        </w:tc>
        <w:tc>
          <w:tcPr>
            <w:tcW w:type="dxa" w:w="2360"/>
            <w:shd w:fill="1B7A4A" w:color="auto" w:val="clear"/>
          </w:tcPr>
          <w:p>
            <w:pPr>
              <w:spacing w:after="40"/>
            </w:pPr>
            <w:r>
              <w:rPr>
                <w:rFonts w:ascii="Calibri" w:cs="Calibri" w:eastAsia="Calibri" w:hAnsi="Calibri"/>
                <w:b/>
                <w:bCs/>
                <w:color w:val="FFFFFF"/>
                <w:sz w:val="22"/>
                <w:szCs w:val="22"/>
              </w:rPr>
              <w:t xml:space="preserve">Verification</w:t>
            </w:r>
          </w:p>
        </w:tc>
        <w:tc>
          <w:tcPr>
            <w:tcW w:type="dxa" w:w="1800"/>
            <w:shd w:fill="1B7A4A" w:color="auto" w:val="clear"/>
          </w:tcPr>
          <w:p>
            <w:pPr>
              <w:spacing w:after="40"/>
            </w:pPr>
            <w:r>
              <w:rPr>
                <w:rFonts w:ascii="Calibri" w:cs="Calibri" w:eastAsia="Calibri" w:hAnsi="Calibri"/>
                <w:b/>
                <w:bCs/>
                <w:color w:val="FFFFFF"/>
                <w:sz w:val="22"/>
                <w:szCs w:val="22"/>
              </w:rPr>
              <w:t xml:space="preserve">Data Freshness</w:t>
            </w:r>
          </w:p>
        </w:tc>
      </w:tr>
      <w:tr>
        <w:trPr>
          <w:tblHeader w:val="false"/>
        </w:trPr>
        <w:tc>
          <w:tcPr>
            <w:tcW w:type="dxa" w:w="2200"/>
          </w:tcPr>
          <w:p>
            <w:pPr>
              <w:spacing w:after="40"/>
            </w:pPr>
            <w:r>
              <w:rPr>
                <w:rFonts w:ascii="Calibri" w:cs="Calibri" w:eastAsia="Calibri" w:hAnsi="Calibri"/>
                <w:sz w:val="22"/>
                <w:szCs w:val="22"/>
              </w:rPr>
              <w:t xml:space="preserve">Meta Lookalike</w:t>
            </w:r>
          </w:p>
        </w:tc>
        <w:tc>
          <w:tcPr>
            <w:tcW w:type="dxa" w:w="1400"/>
          </w:tcPr>
          <w:p>
            <w:pPr>
              <w:spacing w:after="40"/>
            </w:pPr>
            <w:r>
              <w:rPr>
                <w:rFonts w:ascii="Calibri" w:cs="Calibri" w:eastAsia="Calibri" w:hAnsi="Calibri"/>
                <w:sz w:val="22"/>
                <w:szCs w:val="22"/>
              </w:rPr>
              <w:t xml:space="preserve">$30-80</w:t>
            </w:r>
          </w:p>
        </w:tc>
        <w:tc>
          <w:tcPr>
            <w:tcW w:type="dxa" w:w="1600"/>
          </w:tcPr>
          <w:p>
            <w:pPr>
              <w:spacing w:after="40"/>
            </w:pPr>
            <w:r>
              <w:rPr>
                <w:rFonts w:ascii="Calibri" w:cs="Calibri" w:eastAsia="Calibri" w:hAnsi="Calibri"/>
                <w:sz w:val="22"/>
                <w:szCs w:val="22"/>
              </w:rPr>
              <w:t xml:space="preserve">3-8%</w:t>
            </w:r>
          </w:p>
        </w:tc>
        <w:tc>
          <w:tcPr>
            <w:tcW w:type="dxa" w:w="2360"/>
          </w:tcPr>
          <w:p>
            <w:pPr>
              <w:spacing w:after="40"/>
            </w:pPr>
            <w:r>
              <w:rPr>
                <w:rFonts w:ascii="Calibri" w:cs="Calibri" w:eastAsia="Calibri" w:hAnsi="Calibri"/>
                <w:sz w:val="22"/>
                <w:szCs w:val="22"/>
              </w:rPr>
              <w:t xml:space="preserve">None</w:t>
            </w:r>
          </w:p>
        </w:tc>
        <w:tc>
          <w:tcPr>
            <w:tcW w:type="dxa" w:w="1800"/>
          </w:tcPr>
          <w:p>
            <w:pPr>
              <w:spacing w:after="40"/>
            </w:pPr>
            <w:r>
              <w:rPr>
                <w:rFonts w:ascii="Calibri" w:cs="Calibri" w:eastAsia="Calibri" w:hAnsi="Calibri"/>
                <w:sz w:val="22"/>
                <w:szCs w:val="22"/>
              </w:rPr>
              <w:t xml:space="preserve">Days-old behavioral</w:t>
            </w:r>
          </w:p>
        </w:tc>
      </w:tr>
      <w:tr>
        <w:trPr>
          <w:tblHeader w:val="false"/>
        </w:trPr>
        <w:tc>
          <w:tcPr>
            <w:tcW w:type="dxa" w:w="2200"/>
            <w:shd w:fill="F5F5F5" w:color="auto" w:val="clear"/>
          </w:tcPr>
          <w:p>
            <w:pPr>
              <w:spacing w:after="40"/>
            </w:pPr>
            <w:r>
              <w:rPr>
                <w:rFonts w:ascii="Calibri" w:cs="Calibri" w:eastAsia="Calibri" w:hAnsi="Calibri"/>
                <w:sz w:val="22"/>
                <w:szCs w:val="22"/>
              </w:rPr>
              <w:t xml:space="preserve">Google Search Ads</w:t>
            </w:r>
          </w:p>
        </w:tc>
        <w:tc>
          <w:tcPr>
            <w:tcW w:type="dxa" w:w="1400"/>
            <w:shd w:fill="F5F5F5" w:color="auto" w:val="clear"/>
          </w:tcPr>
          <w:p>
            <w:pPr>
              <w:spacing w:after="40"/>
            </w:pPr>
            <w:r>
              <w:rPr>
                <w:rFonts w:ascii="Calibri" w:cs="Calibri" w:eastAsia="Calibri" w:hAnsi="Calibri"/>
                <w:sz w:val="22"/>
                <w:szCs w:val="22"/>
              </w:rPr>
              <w:t xml:space="preserve">$20-60</w:t>
            </w:r>
          </w:p>
        </w:tc>
        <w:tc>
          <w:tcPr>
            <w:tcW w:type="dxa" w:w="1600"/>
            <w:shd w:fill="F5F5F5" w:color="auto" w:val="clear"/>
          </w:tcPr>
          <w:p>
            <w:pPr>
              <w:spacing w:after="40"/>
            </w:pPr>
            <w:r>
              <w:rPr>
                <w:rFonts w:ascii="Calibri" w:cs="Calibri" w:eastAsia="Calibri" w:hAnsi="Calibri"/>
                <w:sz w:val="22"/>
                <w:szCs w:val="22"/>
              </w:rPr>
              <w:t xml:space="preserve">5-12%</w:t>
            </w:r>
          </w:p>
        </w:tc>
        <w:tc>
          <w:tcPr>
            <w:tcW w:type="dxa" w:w="2360"/>
            <w:shd w:fill="F5F5F5" w:color="auto" w:val="clear"/>
          </w:tcPr>
          <w:p>
            <w:pPr>
              <w:spacing w:after="40"/>
            </w:pPr>
            <w:r>
              <w:rPr>
                <w:rFonts w:ascii="Calibri" w:cs="Calibri" w:eastAsia="Calibri" w:hAnsi="Calibri"/>
                <w:sz w:val="22"/>
                <w:szCs w:val="22"/>
              </w:rPr>
              <w:t xml:space="preserve">Click-through only</w:t>
            </w:r>
          </w:p>
        </w:tc>
        <w:tc>
          <w:tcPr>
            <w:tcW w:type="dxa" w:w="1800"/>
            <w:shd w:fill="F5F5F5" w:color="auto" w:val="clear"/>
          </w:tcPr>
          <w:p>
            <w:pPr>
              <w:spacing w:after="40"/>
            </w:pPr>
            <w:r>
              <w:rPr>
                <w:rFonts w:ascii="Calibri" w:cs="Calibri" w:eastAsia="Calibri" w:hAnsi="Calibri"/>
                <w:sz w:val="22"/>
                <w:szCs w:val="22"/>
              </w:rPr>
              <w:t xml:space="preserve">Search moment</w:t>
            </w:r>
          </w:p>
        </w:tc>
      </w:tr>
      <w:tr>
        <w:trPr>
          <w:tblHeader w:val="false"/>
        </w:trPr>
        <w:tc>
          <w:tcPr>
            <w:tcW w:type="dxa" w:w="2200"/>
          </w:tcPr>
          <w:p>
            <w:pPr>
              <w:spacing w:after="40"/>
            </w:pPr>
            <w:r>
              <w:rPr>
                <w:rFonts w:ascii="Calibri" w:cs="Calibri" w:eastAsia="Calibri" w:hAnsi="Calibri"/>
                <w:sz w:val="22"/>
                <w:szCs w:val="22"/>
              </w:rPr>
              <w:t xml:space="preserve">Programmatic Display</w:t>
            </w:r>
          </w:p>
        </w:tc>
        <w:tc>
          <w:tcPr>
            <w:tcW w:type="dxa" w:w="1400"/>
          </w:tcPr>
          <w:p>
            <w:pPr>
              <w:spacing w:after="40"/>
            </w:pPr>
            <w:r>
              <w:rPr>
                <w:rFonts w:ascii="Calibri" w:cs="Calibri" w:eastAsia="Calibri" w:hAnsi="Calibri"/>
                <w:sz w:val="22"/>
                <w:szCs w:val="22"/>
              </w:rPr>
              <w:t xml:space="preserve">$40-120</w:t>
            </w:r>
          </w:p>
        </w:tc>
        <w:tc>
          <w:tcPr>
            <w:tcW w:type="dxa" w:w="1600"/>
          </w:tcPr>
          <w:p>
            <w:pPr>
              <w:spacing w:after="40"/>
            </w:pPr>
            <w:r>
              <w:rPr>
                <w:rFonts w:ascii="Calibri" w:cs="Calibri" w:eastAsia="Calibri" w:hAnsi="Calibri"/>
                <w:sz w:val="22"/>
                <w:szCs w:val="22"/>
              </w:rPr>
              <w:t xml:space="preserve">0.5-2%</w:t>
            </w:r>
          </w:p>
        </w:tc>
        <w:tc>
          <w:tcPr>
            <w:tcW w:type="dxa" w:w="2360"/>
          </w:tcPr>
          <w:p>
            <w:pPr>
              <w:spacing w:after="40"/>
            </w:pPr>
            <w:r>
              <w:rPr>
                <w:rFonts w:ascii="Calibri" w:cs="Calibri" w:eastAsia="Calibri" w:hAnsi="Calibri"/>
                <w:sz w:val="22"/>
                <w:szCs w:val="22"/>
              </w:rPr>
              <w:t xml:space="preserve">Viewability estimate</w:t>
            </w:r>
          </w:p>
        </w:tc>
        <w:tc>
          <w:tcPr>
            <w:tcW w:type="dxa" w:w="1800"/>
          </w:tcPr>
          <w:p>
            <w:pPr>
              <w:spacing w:after="40"/>
            </w:pPr>
            <w:r>
              <w:rPr>
                <w:rFonts w:ascii="Calibri" w:cs="Calibri" w:eastAsia="Calibri" w:hAnsi="Calibri"/>
                <w:sz w:val="22"/>
                <w:szCs w:val="22"/>
              </w:rPr>
              <w:t xml:space="preserve">Weeks-old segments</w:t>
            </w:r>
          </w:p>
        </w:tc>
      </w:tr>
      <w:tr>
        <w:trPr>
          <w:tblHeader w:val="false"/>
        </w:trPr>
        <w:tc>
          <w:tcPr>
            <w:tcW w:type="dxa" w:w="2200"/>
            <w:shd w:fill="F5F5F5" w:color="auto" w:val="clear"/>
          </w:tcPr>
          <w:p>
            <w:pPr>
              <w:spacing w:after="40"/>
            </w:pPr>
            <w:r>
              <w:rPr>
                <w:rFonts w:ascii="Calibri" w:cs="Calibri" w:eastAsia="Calibri" w:hAnsi="Calibri"/>
                <w:sz w:val="22"/>
                <w:szCs w:val="22"/>
              </w:rPr>
              <w:t xml:space="preserve">PersonalOS Level 1</w:t>
            </w:r>
          </w:p>
        </w:tc>
        <w:tc>
          <w:tcPr>
            <w:tcW w:type="dxa" w:w="1400"/>
            <w:shd w:fill="F5F5F5" w:color="auto" w:val="clear"/>
          </w:tcPr>
          <w:p>
            <w:pPr>
              <w:spacing w:after="40"/>
            </w:pPr>
            <w:r>
              <w:rPr>
                <w:rFonts w:ascii="Calibri" w:cs="Calibri" w:eastAsia="Calibri" w:hAnsi="Calibri"/>
                <w:sz w:val="22"/>
                <w:szCs w:val="22"/>
              </w:rPr>
              <w:t xml:space="preserve">$2-5</w:t>
            </w:r>
          </w:p>
        </w:tc>
        <w:tc>
          <w:tcPr>
            <w:tcW w:type="dxa" w:w="1600"/>
            <w:shd w:fill="F5F5F5" w:color="auto" w:val="clear"/>
          </w:tcPr>
          <w:p>
            <w:pPr>
              <w:spacing w:after="40"/>
            </w:pPr>
            <w:r>
              <w:rPr>
                <w:rFonts w:ascii="Calibri" w:cs="Calibri" w:eastAsia="Calibri" w:hAnsi="Calibri"/>
                <w:sz w:val="22"/>
                <w:szCs w:val="22"/>
              </w:rPr>
              <w:t xml:space="preserve">3-8%</w:t>
            </w:r>
          </w:p>
        </w:tc>
        <w:tc>
          <w:tcPr>
            <w:tcW w:type="dxa" w:w="2360"/>
            <w:shd w:fill="F5F5F5" w:color="auto" w:val="clear"/>
          </w:tcPr>
          <w:p>
            <w:pPr>
              <w:spacing w:after="40"/>
            </w:pPr>
            <w:r>
              <w:rPr>
                <w:rFonts w:ascii="Calibri" w:cs="Calibri" w:eastAsia="Calibri" w:hAnsi="Calibri"/>
                <w:sz w:val="22"/>
                <w:szCs w:val="22"/>
              </w:rPr>
              <w:t xml:space="preserve">Consent-verified human</w:t>
            </w:r>
          </w:p>
        </w:tc>
        <w:tc>
          <w:tcPr>
            <w:tcW w:type="dxa" w:w="1800"/>
            <w:shd w:fill="F5F5F5" w:color="auto" w:val="clear"/>
          </w:tcPr>
          <w:p>
            <w:pPr>
              <w:spacing w:after="40"/>
            </w:pPr>
            <w:r>
              <w:rPr>
                <w:rFonts w:ascii="Calibri" w:cs="Calibri" w:eastAsia="Calibri" w:hAnsi="Calibri"/>
                <w:sz w:val="22"/>
                <w:szCs w:val="22"/>
              </w:rPr>
              <w:t xml:space="preserve">Real-time consent</w:t>
            </w:r>
          </w:p>
        </w:tc>
      </w:tr>
      <w:tr>
        <w:trPr>
          <w:tblHeader w:val="false"/>
        </w:trPr>
        <w:tc>
          <w:tcPr>
            <w:tcW w:type="dxa" w:w="2200"/>
          </w:tcPr>
          <w:p>
            <w:pPr>
              <w:spacing w:after="40"/>
            </w:pPr>
            <w:r>
              <w:rPr>
                <w:rFonts w:ascii="Calibri" w:cs="Calibri" w:eastAsia="Calibri" w:hAnsi="Calibri"/>
                <w:sz w:val="22"/>
                <w:szCs w:val="22"/>
              </w:rPr>
              <w:t xml:space="preserve">PersonalOS Level 2</w:t>
            </w:r>
          </w:p>
        </w:tc>
        <w:tc>
          <w:tcPr>
            <w:tcW w:type="dxa" w:w="1400"/>
          </w:tcPr>
          <w:p>
            <w:pPr>
              <w:spacing w:after="40"/>
            </w:pPr>
            <w:r>
              <w:rPr>
                <w:rFonts w:ascii="Calibri" w:cs="Calibri" w:eastAsia="Calibri" w:hAnsi="Calibri"/>
                <w:sz w:val="22"/>
                <w:szCs w:val="22"/>
              </w:rPr>
              <w:t xml:space="preserve">$3-8</w:t>
            </w:r>
          </w:p>
        </w:tc>
        <w:tc>
          <w:tcPr>
            <w:tcW w:type="dxa" w:w="1600"/>
          </w:tcPr>
          <w:p>
            <w:pPr>
              <w:spacing w:after="40"/>
            </w:pPr>
            <w:r>
              <w:rPr>
                <w:rFonts w:ascii="Calibri" w:cs="Calibri" w:eastAsia="Calibri" w:hAnsi="Calibri"/>
                <w:sz w:val="22"/>
                <w:szCs w:val="22"/>
              </w:rPr>
              <w:t xml:space="preserve">20-35%</w:t>
            </w:r>
          </w:p>
        </w:tc>
        <w:tc>
          <w:tcPr>
            <w:tcW w:type="dxa" w:w="2360"/>
          </w:tcPr>
          <w:p>
            <w:pPr>
              <w:spacing w:after="40"/>
            </w:pPr>
            <w:r>
              <w:rPr>
                <w:rFonts w:ascii="Calibri" w:cs="Calibri" w:eastAsia="Calibri" w:hAnsi="Calibri"/>
                <w:sz w:val="22"/>
                <w:szCs w:val="22"/>
              </w:rPr>
              <w:t xml:space="preserve">Cross-source aligned</w:t>
            </w:r>
          </w:p>
        </w:tc>
        <w:tc>
          <w:tcPr>
            <w:tcW w:type="dxa" w:w="1800"/>
          </w:tcPr>
          <w:p>
            <w:pPr>
              <w:spacing w:after="40"/>
            </w:pPr>
            <w:r>
              <w:rPr>
                <w:rFonts w:ascii="Calibri" w:cs="Calibri" w:eastAsia="Calibri" w:hAnsi="Calibri"/>
                <w:sz w:val="22"/>
                <w:szCs w:val="22"/>
              </w:rPr>
              <w:t xml:space="preserve">Active research</w:t>
            </w:r>
          </w:p>
        </w:tc>
      </w:tr>
      <w:tr>
        <w:trPr>
          <w:tblHeader w:val="false"/>
        </w:trPr>
        <w:tc>
          <w:tcPr>
            <w:tcW w:type="dxa" w:w="2200"/>
            <w:shd w:fill="F5F5F5" w:color="auto" w:val="clear"/>
          </w:tcPr>
          <w:p>
            <w:pPr>
              <w:spacing w:after="40"/>
            </w:pPr>
            <w:r>
              <w:rPr>
                <w:rFonts w:ascii="Calibri" w:cs="Calibri" w:eastAsia="Calibri" w:hAnsi="Calibri"/>
                <w:sz w:val="22"/>
                <w:szCs w:val="22"/>
              </w:rPr>
              <w:t xml:space="preserve">PersonalOS Level 3</w:t>
            </w:r>
          </w:p>
        </w:tc>
        <w:tc>
          <w:tcPr>
            <w:tcW w:type="dxa" w:w="1400"/>
            <w:shd w:fill="F5F5F5" w:color="auto" w:val="clear"/>
          </w:tcPr>
          <w:p>
            <w:pPr>
              <w:spacing w:after="40"/>
            </w:pPr>
            <w:r>
              <w:rPr>
                <w:rFonts w:ascii="Calibri" w:cs="Calibri" w:eastAsia="Calibri" w:hAnsi="Calibri"/>
                <w:sz w:val="22"/>
                <w:szCs w:val="22"/>
              </w:rPr>
              <w:t xml:space="preserve">$4-12</w:t>
            </w:r>
          </w:p>
        </w:tc>
        <w:tc>
          <w:tcPr>
            <w:tcW w:type="dxa" w:w="1600"/>
            <w:shd w:fill="F5F5F5" w:color="auto" w:val="clear"/>
          </w:tcPr>
          <w:p>
            <w:pPr>
              <w:spacing w:after="40"/>
            </w:pPr>
            <w:r>
              <w:rPr>
                <w:rFonts w:ascii="Calibri" w:cs="Calibri" w:eastAsia="Calibri" w:hAnsi="Calibri"/>
                <w:sz w:val="22"/>
                <w:szCs w:val="22"/>
              </w:rPr>
              <w:t xml:space="preserve">40-60%</w:t>
            </w:r>
          </w:p>
        </w:tc>
        <w:tc>
          <w:tcPr>
            <w:tcW w:type="dxa" w:w="2360"/>
            <w:shd w:fill="F5F5F5" w:color="auto" w:val="clear"/>
          </w:tcPr>
          <w:p>
            <w:pPr>
              <w:spacing w:after="40"/>
            </w:pPr>
            <w:r>
              <w:rPr>
                <w:rFonts w:ascii="Calibri" w:cs="Calibri" w:eastAsia="Calibri" w:hAnsi="Calibri"/>
                <w:sz w:val="22"/>
                <w:szCs w:val="22"/>
              </w:rPr>
              <w:t xml:space="preserve">Multi-source verified intent</w:t>
            </w:r>
          </w:p>
        </w:tc>
        <w:tc>
          <w:tcPr>
            <w:tcW w:type="dxa" w:w="1800"/>
            <w:shd w:fill="F5F5F5" w:color="auto" w:val="clear"/>
          </w:tcPr>
          <w:p>
            <w:pPr>
              <w:spacing w:after="40"/>
            </w:pPr>
            <w:r>
              <w:rPr>
                <w:rFonts w:ascii="Calibri" w:cs="Calibri" w:eastAsia="Calibri" w:hAnsi="Calibri"/>
                <w:sz w:val="22"/>
                <w:szCs w:val="22"/>
              </w:rPr>
              <w:t xml:space="preserve">Declared 30-60 day window</w:t>
            </w:r>
          </w:p>
        </w:tc>
      </w:tr>
    </w:tbl>
    <w:p>
      <w:pPr>
        <w:spacing w:after="200"/>
      </w:pPr>
    </w:p>
    <w:p>
      <w:pPr>
        <w:spacing w:after="160" w:line="276"/>
      </w:pPr>
      <w:r>
        <w:rPr>
          <w:rFonts w:ascii="Calibri" w:cs="Calibri" w:eastAsia="Calibri" w:hAnsi="Calibri"/>
          <w:b/>
          <w:bCs/>
          <w:color w:val="333333"/>
          <w:sz w:val="24"/>
          <w:szCs w:val="24"/>
        </w:rPr>
        <w:t xml:space="preserve">Soul Earnings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53"/>
        <w:gridCol w:w="2454"/>
        <w:gridCol w:w="2453"/>
      </w:tblGrid>
      <w:tr>
        <w:trPr>
          <w:tblHeader/>
        </w:trPr>
        <w:tc>
          <w:tcPr>
            <w:tcW w:type="dxa" w:w="2000"/>
            <w:shd w:fill="1B7A4A" w:color="auto" w:val="clear"/>
          </w:tcPr>
          <w:p>
            <w:pPr>
              <w:spacing w:after="40"/>
            </w:pPr>
            <w:r>
              <w:rPr>
                <w:rFonts w:ascii="Calibri" w:cs="Calibri" w:eastAsia="Calibri" w:hAnsi="Calibri"/>
                <w:b/>
                <w:bCs/>
                <w:color w:val="FFFFFF"/>
                <w:sz w:val="22"/>
                <w:szCs w:val="22"/>
              </w:rPr>
              <w:t xml:space="preserve">Soul Tier</w:t>
            </w:r>
          </w:p>
        </w:tc>
        <w:tc>
          <w:tcPr>
            <w:tcW w:type="dxa" w:w="2453"/>
            <w:shd w:fill="1B7A4A" w:color="auto" w:val="clear"/>
          </w:tcPr>
          <w:p>
            <w:pPr>
              <w:spacing w:after="40"/>
            </w:pPr>
            <w:r>
              <w:rPr>
                <w:rFonts w:ascii="Calibri" w:cs="Calibri" w:eastAsia="Calibri" w:hAnsi="Calibri"/>
                <w:b/>
                <w:bCs/>
                <w:color w:val="FFFFFF"/>
                <w:sz w:val="22"/>
                <w:szCs w:val="22"/>
              </w:rPr>
              <w:t xml:space="preserve">Level 1 (Open)</w:t>
            </w:r>
          </w:p>
        </w:tc>
        <w:tc>
          <w:tcPr>
            <w:tcW w:type="dxa" w:w="2454"/>
            <w:shd w:fill="1B7A4A" w:color="auto" w:val="clear"/>
          </w:tcPr>
          <w:p>
            <w:pPr>
              <w:spacing w:after="40"/>
            </w:pPr>
            <w:r>
              <w:rPr>
                <w:rFonts w:ascii="Calibri" w:cs="Calibri" w:eastAsia="Calibri" w:hAnsi="Calibri"/>
                <w:b/>
                <w:bCs/>
                <w:color w:val="FFFFFF"/>
                <w:sz w:val="22"/>
                <w:szCs w:val="22"/>
              </w:rPr>
              <w:t xml:space="preserve">Level 2 (Exploring)</w:t>
            </w:r>
          </w:p>
        </w:tc>
        <w:tc>
          <w:tcPr>
            <w:tcW w:type="dxa" w:w="2453"/>
            <w:shd w:fill="1B7A4A" w:color="auto" w:val="clear"/>
          </w:tcPr>
          <w:p>
            <w:pPr>
              <w:spacing w:after="40"/>
            </w:pPr>
            <w:r>
              <w:rPr>
                <w:rFonts w:ascii="Calibri" w:cs="Calibri" w:eastAsia="Calibri" w:hAnsi="Calibri"/>
                <w:b/>
                <w:bCs/>
                <w:color w:val="FFFFFF"/>
                <w:sz w:val="22"/>
                <w:szCs w:val="22"/>
              </w:rPr>
              <w:t xml:space="preserve">Level 3 (Ready)</w:t>
            </w:r>
          </w:p>
        </w:tc>
      </w:tr>
      <w:tr>
        <w:trPr>
          <w:tblHeader w:val="false"/>
        </w:trPr>
        <w:tc>
          <w:tcPr>
            <w:tcW w:type="dxa" w:w="2000"/>
          </w:tcPr>
          <w:p>
            <w:pPr>
              <w:spacing w:after="40"/>
            </w:pPr>
            <w:r>
              <w:rPr>
                <w:rFonts w:ascii="Calibri" w:cs="Calibri" w:eastAsia="Calibri" w:hAnsi="Calibri"/>
                <w:sz w:val="22"/>
                <w:szCs w:val="22"/>
              </w:rPr>
              <w:t xml:space="preserve">Standard</w:t>
            </w:r>
          </w:p>
        </w:tc>
        <w:tc>
          <w:tcPr>
            <w:tcW w:type="dxa" w:w="2453"/>
          </w:tcPr>
          <w:p>
            <w:pPr>
              <w:spacing w:after="40"/>
            </w:pPr>
            <w:r>
              <w:rPr>
                <w:rFonts w:ascii="Calibri" w:cs="Calibri" w:eastAsia="Calibri" w:hAnsi="Calibri"/>
                <w:sz w:val="22"/>
                <w:szCs w:val="22"/>
              </w:rPr>
              <w:t xml:space="preserve">$1.80-4.50/claim</w:t>
            </w:r>
          </w:p>
        </w:tc>
        <w:tc>
          <w:tcPr>
            <w:tcW w:type="dxa" w:w="2454"/>
          </w:tcPr>
          <w:p>
            <w:pPr>
              <w:spacing w:after="40"/>
            </w:pPr>
            <w:r>
              <w:rPr>
                <w:rFonts w:ascii="Calibri" w:cs="Calibri" w:eastAsia="Calibri" w:hAnsi="Calibri"/>
                <w:sz w:val="22"/>
                <w:szCs w:val="22"/>
              </w:rPr>
              <w:t xml:space="preserve">$4.05-14.40/claim</w:t>
            </w:r>
          </w:p>
        </w:tc>
        <w:tc>
          <w:tcPr>
            <w:tcW w:type="dxa" w:w="2453"/>
          </w:tcPr>
          <w:p>
            <w:pPr>
              <w:spacing w:after="40"/>
            </w:pPr>
            <w:r>
              <w:rPr>
                <w:rFonts w:ascii="Calibri" w:cs="Calibri" w:eastAsia="Calibri" w:hAnsi="Calibri"/>
                <w:sz w:val="22"/>
                <w:szCs w:val="22"/>
              </w:rPr>
              <w:t xml:space="preserve">$5.40-36.00/claim</w:t>
            </w:r>
          </w:p>
        </w:tc>
      </w:tr>
      <w:tr>
        <w:trPr>
          <w:tblHeader w:val="false"/>
        </w:trPr>
        <w:tc>
          <w:tcPr>
            <w:tcW w:type="dxa" w:w="2000"/>
            <w:shd w:fill="F5F5F5" w:color="auto" w:val="clear"/>
          </w:tcPr>
          <w:p>
            <w:pPr>
              <w:spacing w:after="40"/>
            </w:pPr>
            <w:r>
              <w:rPr>
                <w:rFonts w:ascii="Calibri" w:cs="Calibri" w:eastAsia="Calibri" w:hAnsi="Calibri"/>
                <w:sz w:val="22"/>
                <w:szCs w:val="22"/>
              </w:rPr>
              <w:t xml:space="preserve">Gold (1.2x)</w:t>
            </w:r>
          </w:p>
        </w:tc>
        <w:tc>
          <w:tcPr>
            <w:tcW w:type="dxa" w:w="2453"/>
            <w:shd w:fill="F5F5F5" w:color="auto" w:val="clear"/>
          </w:tcPr>
          <w:p>
            <w:pPr>
              <w:spacing w:after="40"/>
            </w:pPr>
            <w:r>
              <w:rPr>
                <w:rFonts w:ascii="Calibri" w:cs="Calibri" w:eastAsia="Calibri" w:hAnsi="Calibri"/>
                <w:sz w:val="22"/>
                <w:szCs w:val="22"/>
              </w:rPr>
              <w:t xml:space="preserve">$2.16-5.40/claim</w:t>
            </w:r>
          </w:p>
        </w:tc>
        <w:tc>
          <w:tcPr>
            <w:tcW w:type="dxa" w:w="2454"/>
            <w:shd w:fill="F5F5F5" w:color="auto" w:val="clear"/>
          </w:tcPr>
          <w:p>
            <w:pPr>
              <w:spacing w:after="40"/>
            </w:pPr>
            <w:r>
              <w:rPr>
                <w:rFonts w:ascii="Calibri" w:cs="Calibri" w:eastAsia="Calibri" w:hAnsi="Calibri"/>
                <w:sz w:val="22"/>
                <w:szCs w:val="22"/>
              </w:rPr>
              <w:t xml:space="preserve">$4.86-17.28/claim</w:t>
            </w:r>
          </w:p>
        </w:tc>
        <w:tc>
          <w:tcPr>
            <w:tcW w:type="dxa" w:w="2453"/>
            <w:shd w:fill="F5F5F5" w:color="auto" w:val="clear"/>
          </w:tcPr>
          <w:p>
            <w:pPr>
              <w:spacing w:after="40"/>
            </w:pPr>
            <w:r>
              <w:rPr>
                <w:rFonts w:ascii="Calibri" w:cs="Calibri" w:eastAsia="Calibri" w:hAnsi="Calibri"/>
                <w:sz w:val="22"/>
                <w:szCs w:val="22"/>
              </w:rPr>
              <w:t xml:space="preserve">$6.48-43.20/claim</w:t>
            </w:r>
          </w:p>
        </w:tc>
      </w:tr>
      <w:tr>
        <w:trPr>
          <w:tblHeader w:val="false"/>
        </w:trPr>
        <w:tc>
          <w:tcPr>
            <w:tcW w:type="dxa" w:w="2000"/>
          </w:tcPr>
          <w:p>
            <w:pPr>
              <w:spacing w:after="40"/>
            </w:pPr>
            <w:r>
              <w:rPr>
                <w:rFonts w:ascii="Calibri" w:cs="Calibri" w:eastAsia="Calibri" w:hAnsi="Calibri"/>
                <w:sz w:val="22"/>
                <w:szCs w:val="22"/>
              </w:rPr>
              <w:t xml:space="preserve">Platinum (1.5x)</w:t>
            </w:r>
          </w:p>
        </w:tc>
        <w:tc>
          <w:tcPr>
            <w:tcW w:type="dxa" w:w="2453"/>
          </w:tcPr>
          <w:p>
            <w:pPr>
              <w:spacing w:after="40"/>
            </w:pPr>
            <w:r>
              <w:rPr>
                <w:rFonts w:ascii="Calibri" w:cs="Calibri" w:eastAsia="Calibri" w:hAnsi="Calibri"/>
                <w:sz w:val="22"/>
                <w:szCs w:val="22"/>
              </w:rPr>
              <w:t xml:space="preserve">$2.70-6.75/claim</w:t>
            </w:r>
          </w:p>
        </w:tc>
        <w:tc>
          <w:tcPr>
            <w:tcW w:type="dxa" w:w="2454"/>
          </w:tcPr>
          <w:p>
            <w:pPr>
              <w:spacing w:after="40"/>
            </w:pPr>
            <w:r>
              <w:rPr>
                <w:rFonts w:ascii="Calibri" w:cs="Calibri" w:eastAsia="Calibri" w:hAnsi="Calibri"/>
                <w:sz w:val="22"/>
                <w:szCs w:val="22"/>
              </w:rPr>
              <w:t xml:space="preserve">$6.08-21.60/claim</w:t>
            </w:r>
          </w:p>
        </w:tc>
        <w:tc>
          <w:tcPr>
            <w:tcW w:type="dxa" w:w="2453"/>
          </w:tcPr>
          <w:p>
            <w:pPr>
              <w:spacing w:after="40"/>
            </w:pPr>
            <w:r>
              <w:rPr>
                <w:rFonts w:ascii="Calibri" w:cs="Calibri" w:eastAsia="Calibri" w:hAnsi="Calibri"/>
                <w:sz w:val="22"/>
                <w:szCs w:val="22"/>
              </w:rPr>
              <w:t xml:space="preserve">$8.10-54.00/claim</w:t>
            </w:r>
          </w:p>
        </w:tc>
      </w:tr>
    </w:tbl>
    <w:p>
      <w:pPr>
        <w:spacing w:after="200"/>
      </w:pPr>
    </w:p>
    <w:p>
      <w:pPr>
        <w:spacing w:after="120" w:line="276"/>
      </w:pPr>
      <w:r>
        <w:rPr>
          <w:rFonts w:ascii="Calibri" w:cs="Calibri" w:eastAsia="Calibri" w:hAnsi="Calibri"/>
          <w:sz w:val="22"/>
          <w:szCs w:val="22"/>
        </w:rPr>
        <w:t xml:space="preserve">A Platinum soul with 5 active Ready intents, claiming 3-4 offers per intent per month, could earn $120-650+/month — a meaningful economic benefit for participating with genuine intent.</w:t>
      </w:r>
    </w:p>
    <w:p>
      <w:pPr>
        <w:spacing w:after="200"/>
      </w:pPr>
    </w:p>
    <w:p>
      <w:pPr>
        <w:spacing w:after="160" w:line="276"/>
      </w:pPr>
      <w:r>
        <w:rPr>
          <w:rFonts w:ascii="Calibri" w:cs="Calibri" w:eastAsia="Calibri" w:hAnsi="Calibri"/>
          <w:b/>
          <w:bCs/>
          <w:color w:val="333333"/>
          <w:sz w:val="24"/>
          <w:szCs w:val="24"/>
        </w:rPr>
        <w:t xml:space="preserve">Why Intent Signals Stay Honest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1B7A4A" w:color="auto" w:val="clear"/>
          </w:tcPr>
          <w:p>
            <w:pPr>
              <w:spacing w:after="40"/>
            </w:pPr>
            <w:r>
              <w:rPr>
                <w:rFonts w:ascii="Calibri" w:cs="Calibri" w:eastAsia="Calibri" w:hAnsi="Calibri"/>
                <w:b/>
                <w:bCs/>
                <w:color w:val="FFFFFF"/>
                <w:sz w:val="22"/>
                <w:szCs w:val="22"/>
              </w:rPr>
              <w:t xml:space="preserve">Component</w:t>
            </w:r>
          </w:p>
        </w:tc>
        <w:tc>
          <w:tcPr>
            <w:tcW w:type="dxa" w:w="3120"/>
            <w:shd w:fill="1B7A4A" w:color="auto" w:val="clear"/>
          </w:tcPr>
          <w:p>
            <w:pPr>
              <w:spacing w:after="40"/>
            </w:pPr>
            <w:r>
              <w:rPr>
                <w:rFonts w:ascii="Calibri" w:cs="Calibri" w:eastAsia="Calibri" w:hAnsi="Calibri"/>
                <w:b/>
                <w:bCs/>
                <w:color w:val="FFFFFF"/>
                <w:sz w:val="22"/>
                <w:szCs w:val="22"/>
              </w:rPr>
              <w:t xml:space="preserve">Weight</w:t>
            </w:r>
          </w:p>
        </w:tc>
        <w:tc>
          <w:tcPr>
            <w:tcW w:type="dxa" w:w="3120"/>
            <w:shd w:fill="1B7A4A" w:color="auto" w:val="clear"/>
          </w:tcPr>
          <w:p>
            <w:pPr>
              <w:spacing w:after="40"/>
            </w:pPr>
            <w:r>
              <w:rPr>
                <w:rFonts w:ascii="Calibri" w:cs="Calibri" w:eastAsia="Calibri" w:hAnsi="Calibri"/>
                <w:b/>
                <w:bCs/>
                <w:color w:val="FFFFFF"/>
                <w:sz w:val="22"/>
                <w:szCs w:val="22"/>
              </w:rPr>
              <w:t xml:space="preserve">What It Verifies</w:t>
            </w:r>
          </w:p>
        </w:tc>
      </w:tr>
      <w:tr>
        <w:trPr>
          <w:tblHeader w:val="false"/>
        </w:trPr>
        <w:tc>
          <w:tcPr>
            <w:tcW w:type="dxa" w:w="3120"/>
          </w:tcPr>
          <w:p>
            <w:pPr>
              <w:spacing w:after="40"/>
            </w:pPr>
            <w:r>
              <w:rPr>
                <w:rFonts w:ascii="Calibri" w:cs="Calibri" w:eastAsia="Calibri" w:hAnsi="Calibri"/>
                <w:sz w:val="22"/>
                <w:szCs w:val="22"/>
              </w:rPr>
              <w:t xml:space="preserve">Cross-source alignment</w:t>
            </w:r>
          </w:p>
        </w:tc>
        <w:tc>
          <w:tcPr>
            <w:tcW w:type="dxa" w:w="3120"/>
          </w:tcPr>
          <w:p>
            <w:pPr>
              <w:spacing w:after="40"/>
            </w:pPr>
            <w:r>
              <w:rPr>
                <w:rFonts w:ascii="Calibri" w:cs="Calibri" w:eastAsia="Calibri" w:hAnsi="Calibri"/>
                <w:sz w:val="22"/>
                <w:szCs w:val="22"/>
              </w:rPr>
              <w:t xml:space="preserve">30%</w:t>
            </w:r>
          </w:p>
        </w:tc>
        <w:tc>
          <w:tcPr>
            <w:tcW w:type="dxa" w:w="3120"/>
          </w:tcPr>
          <w:p>
            <w:pPr>
              <w:spacing w:after="40"/>
            </w:pPr>
            <w:r>
              <w:rPr>
                <w:rFonts w:ascii="Calibri" w:cs="Calibri" w:eastAsia="Calibri" w:hAnsi="Calibri"/>
                <w:sz w:val="22"/>
                <w:szCs w:val="22"/>
              </w:rPr>
              <w:t xml:space="preserve">2+ sources show consistent activity (on-device)</w:t>
            </w:r>
          </w:p>
        </w:tc>
      </w:tr>
      <w:tr>
        <w:trPr>
          <w:tblHeader w:val="false"/>
        </w:trPr>
        <w:tc>
          <w:tcPr>
            <w:tcW w:type="dxa" w:w="3120"/>
            <w:shd w:fill="F5F5F5" w:color="auto" w:val="clear"/>
          </w:tcPr>
          <w:p>
            <w:pPr>
              <w:spacing w:after="40"/>
            </w:pPr>
            <w:r>
              <w:rPr>
                <w:rFonts w:ascii="Calibri" w:cs="Calibri" w:eastAsia="Calibri" w:hAnsi="Calibri"/>
                <w:sz w:val="22"/>
                <w:szCs w:val="22"/>
              </w:rPr>
              <w:t xml:space="preserve">Follow-through rate</w:t>
            </w:r>
          </w:p>
        </w:tc>
        <w:tc>
          <w:tcPr>
            <w:tcW w:type="dxa" w:w="3120"/>
            <w:shd w:fill="F5F5F5" w:color="auto" w:val="clear"/>
          </w:tcPr>
          <w:p>
            <w:pPr>
              <w:spacing w:after="40"/>
            </w:pPr>
            <w:r>
              <w:rPr>
                <w:rFonts w:ascii="Calibri" w:cs="Calibri" w:eastAsia="Calibri" w:hAnsi="Calibri"/>
                <w:sz w:val="22"/>
                <w:szCs w:val="22"/>
              </w:rPr>
              <w:t xml:space="preserve">25%</w:t>
            </w:r>
          </w:p>
        </w:tc>
        <w:tc>
          <w:tcPr>
            <w:tcW w:type="dxa" w:w="3120"/>
            <w:shd w:fill="F5F5F5" w:color="auto" w:val="clear"/>
          </w:tcPr>
          <w:p>
            <w:pPr>
              <w:spacing w:after="40"/>
            </w:pPr>
            <w:r>
              <w:rPr>
                <w:rFonts w:ascii="Calibri" w:cs="Calibri" w:eastAsia="Calibri" w:hAnsi="Calibri"/>
                <w:sz w:val="22"/>
                <w:szCs w:val="22"/>
              </w:rPr>
              <w:t xml:space="preserve">Historical track record</w:t>
            </w:r>
          </w:p>
        </w:tc>
      </w:tr>
      <w:tr>
        <w:trPr>
          <w:tblHeader w:val="false"/>
        </w:trPr>
        <w:tc>
          <w:tcPr>
            <w:tcW w:type="dxa" w:w="3120"/>
          </w:tcPr>
          <w:p>
            <w:pPr>
              <w:spacing w:after="40"/>
            </w:pPr>
            <w:r>
              <w:rPr>
                <w:rFonts w:ascii="Calibri" w:cs="Calibri" w:eastAsia="Calibri" w:hAnsi="Calibri"/>
                <w:sz w:val="22"/>
                <w:szCs w:val="22"/>
              </w:rPr>
              <w:t xml:space="preserve">Category base rate</w:t>
            </w:r>
          </w:p>
        </w:tc>
        <w:tc>
          <w:tcPr>
            <w:tcW w:type="dxa" w:w="3120"/>
          </w:tcPr>
          <w:p>
            <w:pPr>
              <w:spacing w:after="40"/>
            </w:pPr>
            <w:r>
              <w:rPr>
                <w:rFonts w:ascii="Calibri" w:cs="Calibri" w:eastAsia="Calibri" w:hAnsi="Calibri"/>
                <w:sz w:val="22"/>
                <w:szCs w:val="22"/>
              </w:rPr>
              <w:t xml:space="preserve">15%</w:t>
            </w:r>
          </w:p>
        </w:tc>
        <w:tc>
          <w:tcPr>
            <w:tcW w:type="dxa" w:w="3120"/>
          </w:tcPr>
          <w:p>
            <w:pPr>
              <w:spacing w:after="40"/>
            </w:pPr>
            <w:r>
              <w:rPr>
                <w:rFonts w:ascii="Calibri" w:cs="Calibri" w:eastAsia="Calibri" w:hAnsi="Calibri"/>
                <w:sz w:val="22"/>
                <w:szCs w:val="22"/>
              </w:rPr>
              <w:t xml:space="preserve">Platform-wide conversion rate (context)</w:t>
            </w:r>
          </w:p>
        </w:tc>
      </w:tr>
      <w:tr>
        <w:trPr>
          <w:tblHeader w:val="false"/>
        </w:trPr>
        <w:tc>
          <w:tcPr>
            <w:tcW w:type="dxa" w:w="3120"/>
            <w:shd w:fill="F5F5F5" w:color="auto" w:val="clear"/>
          </w:tcPr>
          <w:p>
            <w:pPr>
              <w:spacing w:after="40"/>
            </w:pPr>
            <w:r>
              <w:rPr>
                <w:rFonts w:ascii="Calibri" w:cs="Calibri" w:eastAsia="Calibri" w:hAnsi="Calibri"/>
                <w:sz w:val="22"/>
                <w:szCs w:val="22"/>
              </w:rPr>
              <w:t xml:space="preserve">Timing plausibility</w:t>
            </w:r>
          </w:p>
        </w:tc>
        <w:tc>
          <w:tcPr>
            <w:tcW w:type="dxa" w:w="3120"/>
            <w:shd w:fill="F5F5F5" w:color="auto" w:val="clear"/>
          </w:tcPr>
          <w:p>
            <w:pPr>
              <w:spacing w:after="40"/>
            </w:pPr>
            <w:r>
              <w:rPr>
                <w:rFonts w:ascii="Calibri" w:cs="Calibri" w:eastAsia="Calibri" w:hAnsi="Calibri"/>
                <w:sz w:val="22"/>
                <w:szCs w:val="22"/>
              </w:rPr>
              <w:t xml:space="preserve">15%</w:t>
            </w:r>
          </w:p>
        </w:tc>
        <w:tc>
          <w:tcPr>
            <w:tcW w:type="dxa" w:w="3120"/>
            <w:shd w:fill="F5F5F5" w:color="auto" w:val="clear"/>
          </w:tcPr>
          <w:p>
            <w:pPr>
              <w:spacing w:after="40"/>
            </w:pPr>
            <w:r>
              <w:rPr>
                <w:rFonts w:ascii="Calibri" w:cs="Calibri" w:eastAsia="Calibri" w:hAnsi="Calibri"/>
                <w:sz w:val="22"/>
                <w:szCs w:val="22"/>
              </w:rPr>
              <w:t xml:space="preserve">Does the declared window make sense?</w:t>
            </w:r>
          </w:p>
        </w:tc>
      </w:tr>
      <w:tr>
        <w:trPr>
          <w:tblHeader w:val="false"/>
        </w:trPr>
        <w:tc>
          <w:tcPr>
            <w:tcW w:type="dxa" w:w="3120"/>
          </w:tcPr>
          <w:p>
            <w:pPr>
              <w:spacing w:after="40"/>
            </w:pPr>
            <w:r>
              <w:rPr>
                <w:rFonts w:ascii="Calibri" w:cs="Calibri" w:eastAsia="Calibri" w:hAnsi="Calibri"/>
                <w:sz w:val="22"/>
                <w:szCs w:val="22"/>
              </w:rPr>
              <w:t xml:space="preserve">Soul tier bonus</w:t>
            </w:r>
          </w:p>
        </w:tc>
        <w:tc>
          <w:tcPr>
            <w:tcW w:type="dxa" w:w="3120"/>
          </w:tcPr>
          <w:p>
            <w:pPr>
              <w:spacing w:after="40"/>
            </w:pPr>
            <w:r>
              <w:rPr>
                <w:rFonts w:ascii="Calibri" w:cs="Calibri" w:eastAsia="Calibri" w:hAnsi="Calibri"/>
                <w:sz w:val="22"/>
                <w:szCs w:val="22"/>
              </w:rPr>
              <w:t xml:space="preserve">15%</w:t>
            </w:r>
          </w:p>
        </w:tc>
        <w:tc>
          <w:tcPr>
            <w:tcW w:type="dxa" w:w="3120"/>
          </w:tcPr>
          <w:p>
            <w:pPr>
              <w:spacing w:after="40"/>
            </w:pPr>
            <w:r>
              <w:rPr>
                <w:rFonts w:ascii="Calibri" w:cs="Calibri" w:eastAsia="Calibri" w:hAnsi="Calibri"/>
                <w:sz w:val="22"/>
                <w:szCs w:val="22"/>
              </w:rPr>
              <w:t xml:space="preserve">Platinum/Gold earned trust baseline</w:t>
            </w:r>
          </w:p>
        </w:tc>
      </w:tr>
    </w:tbl>
    <w:p>
      <w:pPr>
        <w:spacing w:after="200"/>
      </w:pPr>
    </w:p>
    <w:p>
      <w:pPr>
        <w:spacing w:after="160" w:line="276"/>
      </w:pPr>
      <w:r>
        <w:rPr>
          <w:rFonts w:ascii="Calibri" w:cs="Calibri" w:eastAsia="Calibri" w:hAnsi="Calibri"/>
          <w:b/>
          <w:bCs/>
          <w:color w:val="333333"/>
          <w:sz w:val="24"/>
          <w:szCs w:val="24"/>
        </w:rPr>
        <w:t xml:space="preserve">Why Gaming Fails</w:t>
      </w:r>
    </w:p>
    <w:p>
      <w:pPr>
        <w:spacing w:after="120" w:line="276"/>
        <w:ind w:left="360"/>
      </w:pPr>
      <w:r>
        <w:rPr>
          <w:rFonts w:ascii="Calibri" w:cs="Calibri" w:eastAsia="Calibri" w:hAnsi="Calibri"/>
          <w:sz w:val="22"/>
          <w:szCs w:val="22"/>
        </w:rPr>
        <w:t xml:space="preserve">Cross-source alignment requires real-world behavior across independent data sources</w:t>
      </w:r>
    </w:p>
    <w:p>
      <w:pPr>
        <w:spacing w:after="120" w:line="276"/>
        <w:ind w:left="360"/>
      </w:pPr>
      <w:r>
        <w:rPr>
          <w:rFonts w:ascii="Calibri" w:cs="Calibri" w:eastAsia="Calibri" w:hAnsi="Calibri"/>
          <w:sz w:val="22"/>
          <w:szCs w:val="22"/>
        </w:rPr>
        <w:t xml:space="preserve">Follow-through rate decays: few fake declarations tank future earnings by 15-25%</w:t>
      </w:r>
    </w:p>
    <w:p>
      <w:pPr>
        <w:spacing w:after="120" w:line="276"/>
        <w:ind w:left="360"/>
      </w:pPr>
      <w:r>
        <w:rPr>
          <w:rFonts w:ascii="Calibri" w:cs="Calibri" w:eastAsia="Calibri" w:hAnsi="Calibri"/>
          <w:sz w:val="22"/>
          <w:szCs w:val="22"/>
        </w:rPr>
        <w:t xml:space="preserve">Dynamic slot cap (3-7 slots) limits declaration volume</w:t>
      </w:r>
    </w:p>
    <w:p>
      <w:pPr>
        <w:spacing w:after="200"/>
      </w:pPr>
    </w:p>
    <w:p>
      <w:pPr>
        <w:spacing w:after="200" w:line="276"/>
      </w:pPr>
      <w:r>
        <w:rPr>
          <w:rFonts w:ascii="Calibri" w:cs="Calibri" w:eastAsia="Calibri" w:hAnsi="Calibri"/>
          <w:b/>
          <w:bCs/>
          <w:color w:val="1B7A4A"/>
          <w:sz w:val="28"/>
          <w:szCs w:val="28"/>
        </w:rPr>
        <w:t xml:space="preserve">PART 5: WHY CAN'T GOOGLE OR META JUST BUILD THIS?</w:t>
      </w:r>
    </w:p>
    <w:p>
      <w:pPr>
        <w:spacing w:after="120" w:line="276"/>
      </w:pPr>
      <w:r>
        <w:rPr>
          <w:rFonts w:ascii="Calibri" w:cs="Calibri" w:eastAsia="Calibri" w:hAnsi="Calibri"/>
          <w:sz w:val="22"/>
          <w:szCs w:val="22"/>
        </w:rPr>
        <w:t xml:space="preserve">This is the most important question a brand can ask.</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rPr>
          <w:tblHeader/>
        </w:trPr>
        <w:tc>
          <w:tcPr>
            <w:tcW w:type="dxa" w:w="2200"/>
            <w:shd w:fill="1B7A4A" w:color="auto" w:val="clear"/>
          </w:tcPr>
          <w:p>
            <w:pPr>
              <w:spacing w:after="40"/>
            </w:pPr>
            <w:r>
              <w:rPr>
                <w:rFonts w:ascii="Calibri" w:cs="Calibri" w:eastAsia="Calibri" w:hAnsi="Calibri"/>
                <w:b/>
                <w:bCs/>
                <w:color w:val="FFFFFF"/>
                <w:sz w:val="22"/>
                <w:szCs w:val="22"/>
              </w:rPr>
              <w:t xml:space="preserve">Vertex</w:t>
            </w:r>
          </w:p>
        </w:tc>
        <w:tc>
          <w:tcPr>
            <w:tcW w:type="dxa" w:w="3200"/>
            <w:shd w:fill="1B7A4A" w:color="auto" w:val="clear"/>
          </w:tcPr>
          <w:p>
            <w:pPr>
              <w:spacing w:after="40"/>
            </w:pPr>
            <w:r>
              <w:rPr>
                <w:rFonts w:ascii="Calibri" w:cs="Calibri" w:eastAsia="Calibri" w:hAnsi="Calibri"/>
                <w:b/>
                <w:bCs/>
                <w:color w:val="FFFFFF"/>
                <w:sz w:val="22"/>
                <w:szCs w:val="22"/>
              </w:rPr>
              <w:t xml:space="preserve">What It Means</w:t>
            </w:r>
          </w:p>
        </w:tc>
        <w:tc>
          <w:tcPr>
            <w:tcW w:type="dxa" w:w="3960"/>
            <w:shd w:fill="1B7A4A" w:color="auto" w:val="clear"/>
          </w:tcPr>
          <w:p>
            <w:pPr>
              <w:spacing w:after="40"/>
            </w:pPr>
            <w:r>
              <w:rPr>
                <w:rFonts w:ascii="Calibri" w:cs="Calibri" w:eastAsia="Calibri" w:hAnsi="Calibri"/>
                <w:b/>
                <w:bCs/>
                <w:color w:val="FFFFFF"/>
                <w:sz w:val="22"/>
                <w:szCs w:val="22"/>
              </w:rPr>
              <w:t xml:space="preserve">Why Incumbents Can't</w:t>
            </w:r>
          </w:p>
        </w:tc>
      </w:tr>
      <w:tr>
        <w:trPr>
          <w:tblHeader w:val="false"/>
        </w:trPr>
        <w:tc>
          <w:tcPr>
            <w:tcW w:type="dxa" w:w="2200"/>
          </w:tcPr>
          <w:p>
            <w:pPr>
              <w:spacing w:after="40"/>
            </w:pPr>
            <w:r>
              <w:rPr>
                <w:rFonts w:ascii="Calibri" w:cs="Calibri" w:eastAsia="Calibri" w:hAnsi="Calibri"/>
                <w:sz w:val="22"/>
                <w:szCs w:val="22"/>
              </w:rPr>
              <w:t xml:space="preserve">Incentive Inversion</w:t>
            </w:r>
          </w:p>
        </w:tc>
        <w:tc>
          <w:tcPr>
            <w:tcW w:type="dxa" w:w="3200"/>
          </w:tcPr>
          <w:p>
            <w:pPr>
              <w:spacing w:after="40"/>
            </w:pPr>
            <w:r>
              <w:rPr>
                <w:rFonts w:ascii="Calibri" w:cs="Calibri" w:eastAsia="Calibri" w:hAnsi="Calibri"/>
                <w:sz w:val="22"/>
                <w:szCs w:val="22"/>
              </w:rPr>
              <w:t xml:space="preserve">Earn when users earn (10% of consumer payment)</w:t>
            </w:r>
          </w:p>
        </w:tc>
        <w:tc>
          <w:tcPr>
            <w:tcW w:type="dxa" w:w="3960"/>
          </w:tcPr>
          <w:p>
            <w:pPr>
              <w:spacing w:after="40"/>
            </w:pPr>
            <w:r>
              <w:rPr>
                <w:rFonts w:ascii="Calibri" w:cs="Calibri" w:eastAsia="Calibri" w:hAnsi="Calibri"/>
                <w:sz w:val="22"/>
                <w:szCs w:val="22"/>
              </w:rPr>
              <w:t xml:space="preserve">Google/Meta earn from ads, not consumers. Aligning with users cannibalizes 80%+ of revenue.</w:t>
            </w:r>
          </w:p>
        </w:tc>
      </w:tr>
      <w:tr>
        <w:trPr>
          <w:tblHeader w:val="false"/>
        </w:trPr>
        <w:tc>
          <w:tcPr>
            <w:tcW w:type="dxa" w:w="2200"/>
            <w:shd w:fill="F5F5F5" w:color="auto" w:val="clear"/>
          </w:tcPr>
          <w:p>
            <w:pPr>
              <w:spacing w:after="40"/>
            </w:pPr>
            <w:r>
              <w:rPr>
                <w:rFonts w:ascii="Calibri" w:cs="Calibri" w:eastAsia="Calibri" w:hAnsi="Calibri"/>
                <w:sz w:val="22"/>
                <w:szCs w:val="22"/>
              </w:rPr>
              <w:t xml:space="preserve">Compounding Data Identity</w:t>
            </w:r>
          </w:p>
        </w:tc>
        <w:tc>
          <w:tcPr>
            <w:tcW w:type="dxa" w:w="3200"/>
            <w:shd w:fill="F5F5F5" w:color="auto" w:val="clear"/>
          </w:tcPr>
          <w:p>
            <w:pPr>
              <w:spacing w:after="40"/>
            </w:pPr>
            <w:r>
              <w:rPr>
                <w:rFonts w:ascii="Calibri" w:cs="Calibri" w:eastAsia="Calibri" w:hAnsi="Calibri"/>
                <w:sz w:val="22"/>
                <w:szCs w:val="22"/>
              </w:rPr>
              <w:t xml:space="preserve">Years of verified cross-source behavioral history</w:t>
            </w:r>
          </w:p>
        </w:tc>
        <w:tc>
          <w:tcPr>
            <w:tcW w:type="dxa" w:w="3960"/>
            <w:shd w:fill="F5F5F5" w:color="auto" w:val="clear"/>
          </w:tcPr>
          <w:p>
            <w:pPr>
              <w:spacing w:after="40"/>
            </w:pPr>
            <w:r>
              <w:rPr>
                <w:rFonts w:ascii="Calibri" w:cs="Calibri" w:eastAsia="Calibri" w:hAnsi="Calibri"/>
                <w:sz w:val="22"/>
                <w:szCs w:val="22"/>
              </w:rPr>
              <w:t xml:space="preserve">Each platform has one silo. DMA restricts cross-service combination. Users won't share bank data with ad companies.</w:t>
            </w:r>
          </w:p>
        </w:tc>
      </w:tr>
      <w:tr>
        <w:trPr>
          <w:tblHeader w:val="false"/>
        </w:trPr>
        <w:tc>
          <w:tcPr>
            <w:tcW w:type="dxa" w:w="2200"/>
          </w:tcPr>
          <w:p>
            <w:pPr>
              <w:spacing w:after="40"/>
            </w:pPr>
            <w:r>
              <w:rPr>
                <w:rFonts w:ascii="Calibri" w:cs="Calibri" w:eastAsia="Calibri" w:hAnsi="Calibri"/>
                <w:sz w:val="22"/>
                <w:szCs w:val="22"/>
              </w:rPr>
              <w:t xml:space="preserve">Immutable Economics</w:t>
            </w:r>
          </w:p>
        </w:tc>
        <w:tc>
          <w:tcPr>
            <w:tcW w:type="dxa" w:w="3200"/>
          </w:tcPr>
          <w:p>
            <w:pPr>
              <w:spacing w:after="40"/>
            </w:pPr>
            <w:r>
              <w:rPr>
                <w:rFonts w:ascii="Calibri" w:cs="Calibri" w:eastAsia="Calibri" w:hAnsi="Calibri"/>
                <w:sz w:val="22"/>
                <w:szCs w:val="22"/>
              </w:rPr>
              <w:t xml:space="preserve">Fee locked in smart contract bytecode</w:t>
            </w:r>
          </w:p>
        </w:tc>
        <w:tc>
          <w:tcPr>
            <w:tcW w:type="dxa" w:w="3960"/>
          </w:tcPr>
          <w:p>
            <w:pPr>
              <w:spacing w:after="40"/>
            </w:pPr>
            <w:r>
              <w:rPr>
                <w:rFonts w:ascii="Calibri" w:cs="Calibri" w:eastAsia="Calibri" w:hAnsi="Calibri"/>
                <w:sz w:val="22"/>
                <w:szCs w:val="22"/>
              </w:rPr>
              <w:t xml:space="preserve">Public companies need flexibility. YouTube/Amazon change terms regularly. Quarterly earnings pressure prevents permanent commitments.</w:t>
            </w:r>
          </w:p>
        </w:tc>
      </w:tr>
    </w:tbl>
    <w:p>
      <w:pPr>
        <w:spacing w:after="200"/>
      </w:pPr>
    </w:p>
    <w:p>
      <w:pPr>
        <w:spacing w:after="120" w:line="276"/>
      </w:pPr>
      <w:r>
        <w:rPr>
          <w:rFonts w:ascii="Calibri" w:cs="Calibri" w:eastAsia="Calibri" w:hAnsi="Calibri"/>
          <w:sz w:val="22"/>
          <w:szCs w:val="22"/>
        </w:rPr>
        <w:t xml:space="preserve">No incumbent can do all three. Google can't invert incentives (80%+ ad revenue). Meta can't aggregate cross-source data (single silo). Apple won't lock economics in immutable code (App Store terms change regularly).</w:t>
      </w:r>
    </w:p>
    <w:p>
      <w:pPr>
        <w:spacing w:after="200"/>
      </w:pPr>
    </w:p>
    <w:p>
      <w:pPr>
        <w:spacing w:after="160" w:line="276"/>
      </w:pPr>
      <w:r>
        <w:rPr>
          <w:rFonts w:ascii="Calibri" w:cs="Calibri" w:eastAsia="Calibri" w:hAnsi="Calibri"/>
          <w:b/>
          <w:bCs/>
          <w:color w:val="333333"/>
          <w:sz w:val="24"/>
          <w:szCs w:val="24"/>
        </w:rPr>
        <w:t xml:space="preserve">Three Defensive Layers</w:t>
      </w:r>
    </w:p>
    <w:p>
      <w:pPr>
        <w:spacing w:after="120" w:line="276"/>
        <w:ind w:left="360"/>
      </w:pPr>
      <w:r>
        <w:rPr>
          <w:rFonts w:ascii="Calibri" w:cs="Calibri" w:eastAsia="Calibri" w:hAnsi="Calibri"/>
          <w:sz w:val="22"/>
          <w:szCs w:val="22"/>
        </w:rPr>
        <w:t xml:space="preserve">Structural: cross-source aggregation via data portability rights (GDPR Article 20, CCPA §1798.100)</w:t>
      </w:r>
    </w:p>
    <w:p>
      <w:pPr>
        <w:spacing w:after="120" w:line="276"/>
        <w:ind w:left="360"/>
      </w:pPr>
      <w:r>
        <w:rPr>
          <w:rFonts w:ascii="Calibri" w:cs="Calibri" w:eastAsia="Calibri" w:hAnsi="Calibri"/>
          <w:sz w:val="22"/>
          <w:szCs w:val="22"/>
        </w:rPr>
        <w:t xml:space="preserve">Reputational: PersonalOS is the user's agent, not the advertiser's agent</w:t>
      </w:r>
    </w:p>
    <w:p>
      <w:pPr>
        <w:spacing w:after="120" w:line="276"/>
        <w:ind w:left="360"/>
      </w:pPr>
      <w:r>
        <w:rPr>
          <w:rFonts w:ascii="Calibri" w:cs="Calibri" w:eastAsia="Calibri" w:hAnsi="Calibri"/>
          <w:sz w:val="22"/>
          <w:szCs w:val="22"/>
        </w:rPr>
        <w:t xml:space="preserve">Regulatory: every major privacy regulation strengthens PersonalOS and constrains incumbents</w:t>
      </w:r>
    </w:p>
    <w:p>
      <w:pPr>
        <w:spacing w:after="200"/>
      </w:pPr>
    </w:p>
    <w:p>
      <w:pPr>
        <w:spacing w:after="160" w:line="276"/>
      </w:pPr>
      <w:r>
        <w:rPr>
          <w:rFonts w:ascii="Calibri" w:cs="Calibri" w:eastAsia="Calibri" w:hAnsi="Calibri"/>
          <w:b/>
          <w:bCs/>
          <w:color w:val="333333"/>
          <w:sz w:val="24"/>
          <w:szCs w:val="24"/>
        </w:rPr>
        <w:t xml:space="preserve">Dual-Sided Quality Flywheel</w:t>
      </w:r>
    </w:p>
    <w:p>
      <w:pPr>
        <w:spacing w:after="120" w:line="276"/>
      </w:pPr>
      <w:r>
        <w:rPr>
          <w:rFonts w:ascii="Calibri" w:cs="Calibri" w:eastAsia="Calibri" w:hAnsi="Calibri"/>
          <w:sz w:val="22"/>
          <w:szCs w:val="22"/>
        </w:rPr>
        <w:t xml:space="preserve">The tier system (ADR-54) and brand scoring (ADR-51) create a positive-sum flywheel: souls connect more sources and follow through on intents (improving data quality), while brands bid higher for proven, high-tier souls (increasing soul earnings). Quality begets quality. This is the structural antidote to the Taboola/Outbrain degradation pattern.</w:t>
      </w:r>
    </w:p>
    <w:p>
      <w:pPr>
        <w:spacing w:after="200"/>
      </w:pPr>
    </w:p>
    <w:p>
      <w:pPr>
        <w:spacing w:after="200" w:line="276"/>
      </w:pPr>
      <w:r>
        <w:rPr>
          <w:rFonts w:ascii="Calibri" w:cs="Calibri" w:eastAsia="Calibri" w:hAnsi="Calibri"/>
          <w:b/>
          <w:bCs/>
          <w:color w:val="1B7A4A"/>
          <w:sz w:val="28"/>
          <w:szCs w:val="28"/>
        </w:rPr>
        <w:t xml:space="preserve">PART 6: HOW YOUR INTELLIGENCE IS PROTECTED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1B7A4A" w:color="auto" w:val="clear"/>
          </w:tcPr>
          <w:p>
            <w:pPr>
              <w:spacing w:after="40"/>
            </w:pPr>
            <w:r>
              <w:rPr>
                <w:rFonts w:ascii="Calibri" w:cs="Calibri" w:eastAsia="Calibri" w:hAnsi="Calibri"/>
                <w:b/>
                <w:bCs/>
                <w:color w:val="FFFFFF"/>
                <w:sz w:val="22"/>
                <w:szCs w:val="22"/>
              </w:rPr>
              <w:t xml:space="preserve">Protection</w:t>
            </w:r>
          </w:p>
        </w:tc>
        <w:tc>
          <w:tcPr>
            <w:tcW w:type="dxa" w:w="3120"/>
            <w:shd w:fill="1B7A4A" w:color="auto" w:val="clear"/>
          </w:tcPr>
          <w:p>
            <w:pPr>
              <w:spacing w:after="40"/>
            </w:pPr>
            <w:r>
              <w:rPr>
                <w:rFonts w:ascii="Calibri" w:cs="Calibri" w:eastAsia="Calibri" w:hAnsi="Calibri"/>
                <w:b/>
                <w:bCs/>
                <w:color w:val="FFFFFF"/>
                <w:sz w:val="22"/>
                <w:szCs w:val="22"/>
              </w:rPr>
              <w:t xml:space="preserve">Mechanism</w:t>
            </w:r>
          </w:p>
        </w:tc>
        <w:tc>
          <w:tcPr>
            <w:tcW w:type="dxa" w:w="3120"/>
            <w:shd w:fill="1B7A4A" w:color="auto" w:val="clear"/>
          </w:tcPr>
          <w:p>
            <w:pPr>
              <w:spacing w:after="40"/>
            </w:pPr>
            <w:r>
              <w:rPr>
                <w:rFonts w:ascii="Calibri" w:cs="Calibri" w:eastAsia="Calibri" w:hAnsi="Calibri"/>
                <w:b/>
                <w:bCs/>
                <w:color w:val="FFFFFF"/>
                <w:sz w:val="22"/>
                <w:szCs w:val="22"/>
              </w:rPr>
              <w:t xml:space="preserve">What It Means</w:t>
            </w:r>
          </w:p>
        </w:tc>
      </w:tr>
      <w:tr>
        <w:trPr>
          <w:tblHeader w:val="false"/>
        </w:trPr>
        <w:tc>
          <w:tcPr>
            <w:tcW w:type="dxa" w:w="3120"/>
          </w:tcPr>
          <w:p>
            <w:pPr>
              <w:spacing w:after="40"/>
            </w:pPr>
            <w:r>
              <w:rPr>
                <w:rFonts w:ascii="Calibri" w:cs="Calibri" w:eastAsia="Calibri" w:hAnsi="Calibri"/>
                <w:sz w:val="22"/>
                <w:szCs w:val="22"/>
              </w:rPr>
              <w:t xml:space="preserve">On-chain access audit</w:t>
            </w:r>
          </w:p>
        </w:tc>
        <w:tc>
          <w:tcPr>
            <w:tcW w:type="dxa" w:w="3120"/>
          </w:tcPr>
          <w:p>
            <w:pPr>
              <w:spacing w:after="40"/>
            </w:pPr>
            <w:r>
              <w:rPr>
                <w:rFonts w:ascii="Calibri" w:cs="Calibri" w:eastAsia="Calibri" w:hAnsi="Calibri"/>
                <w:sz w:val="22"/>
                <w:szCs w:val="22"/>
              </w:rPr>
              <w:t xml:space="preserve">Every intelligence access logged on Base blockchain</w:t>
            </w:r>
          </w:p>
        </w:tc>
        <w:tc>
          <w:tcPr>
            <w:tcW w:type="dxa" w:w="3120"/>
          </w:tcPr>
          <w:p>
            <w:pPr>
              <w:spacing w:after="40"/>
            </w:pPr>
            <w:r>
              <w:rPr>
                <w:rFonts w:ascii="Calibri" w:cs="Calibri" w:eastAsia="Calibri" w:hAnsi="Calibri"/>
                <w:sz w:val="22"/>
                <w:szCs w:val="22"/>
              </w:rPr>
              <w:t xml:space="preserve">Tamper-proof record of who accessed what, when</w:t>
            </w:r>
          </w:p>
        </w:tc>
      </w:tr>
      <w:tr>
        <w:trPr>
          <w:tblHeader w:val="false"/>
        </w:trPr>
        <w:tc>
          <w:tcPr>
            <w:tcW w:type="dxa" w:w="3120"/>
            <w:shd w:fill="F5F5F5" w:color="auto" w:val="clear"/>
          </w:tcPr>
          <w:p>
            <w:pPr>
              <w:spacing w:after="40"/>
            </w:pPr>
            <w:r>
              <w:rPr>
                <w:rFonts w:ascii="Calibri" w:cs="Calibri" w:eastAsia="Calibri" w:hAnsi="Calibri"/>
                <w:sz w:val="22"/>
                <w:szCs w:val="22"/>
              </w:rPr>
              <w:t xml:space="preserve">Subscription NFT</w:t>
            </w:r>
          </w:p>
        </w:tc>
        <w:tc>
          <w:tcPr>
            <w:tcW w:type="dxa" w:w="3120"/>
            <w:shd w:fill="F5F5F5" w:color="auto" w:val="clear"/>
          </w:tcPr>
          <w:p>
            <w:pPr>
              <w:spacing w:after="40"/>
            </w:pPr>
            <w:r>
              <w:rPr>
                <w:rFonts w:ascii="Calibri" w:cs="Calibri" w:eastAsia="Calibri" w:hAnsi="Calibri"/>
                <w:sz w:val="22"/>
                <w:szCs w:val="22"/>
              </w:rPr>
              <w:t xml:space="preserve">Access gated by non-transferable token with expiry</w:t>
            </w:r>
          </w:p>
        </w:tc>
        <w:tc>
          <w:tcPr>
            <w:tcW w:type="dxa" w:w="3120"/>
            <w:shd w:fill="F5F5F5" w:color="auto" w:val="clear"/>
          </w:tcPr>
          <w:p>
            <w:pPr>
              <w:spacing w:after="40"/>
            </w:pPr>
            <w:r>
              <w:rPr>
                <w:rFonts w:ascii="Calibri" w:cs="Calibri" w:eastAsia="Calibri" w:hAnsi="Calibri"/>
                <w:sz w:val="22"/>
                <w:szCs w:val="22"/>
              </w:rPr>
              <w:t xml:space="preserve">Cancel = lose access (cryptographic, not policy)</w:t>
            </w:r>
          </w:p>
        </w:tc>
      </w:tr>
      <w:tr>
        <w:trPr>
          <w:tblHeader w:val="false"/>
        </w:trPr>
        <w:tc>
          <w:tcPr>
            <w:tcW w:type="dxa" w:w="3120"/>
          </w:tcPr>
          <w:p>
            <w:pPr>
              <w:spacing w:after="40"/>
            </w:pPr>
            <w:r>
              <w:rPr>
                <w:rFonts w:ascii="Calibri" w:cs="Calibri" w:eastAsia="Calibri" w:hAnsi="Calibri"/>
                <w:sz w:val="22"/>
                <w:szCs w:val="22"/>
              </w:rPr>
              <w:t xml:space="preserve">Time-locked signals</w:t>
            </w:r>
          </w:p>
        </w:tc>
        <w:tc>
          <w:tcPr>
            <w:tcW w:type="dxa" w:w="3120"/>
          </w:tcPr>
          <w:p>
            <w:pPr>
              <w:spacing w:after="40"/>
            </w:pPr>
            <w:r>
              <w:rPr>
                <w:rFonts w:ascii="Calibri" w:cs="Calibri" w:eastAsia="Calibri" w:hAnsi="Calibri"/>
                <w:sz w:val="22"/>
                <w:szCs w:val="22"/>
              </w:rPr>
              <w:t xml:space="preserve">Suppression signals expire after 7 days</w:t>
            </w:r>
          </w:p>
        </w:tc>
        <w:tc>
          <w:tcPr>
            <w:tcW w:type="dxa" w:w="3120"/>
          </w:tcPr>
          <w:p>
            <w:pPr>
              <w:spacing w:after="40"/>
            </w:pPr>
            <w:r>
              <w:rPr>
                <w:rFonts w:ascii="Calibri" w:cs="Calibri" w:eastAsia="Calibri" w:hAnsi="Calibri"/>
                <w:sz w:val="22"/>
                <w:szCs w:val="22"/>
              </w:rPr>
              <w:t xml:space="preserve">Must maintain subscription for fresh data</w:t>
            </w:r>
          </w:p>
        </w:tc>
      </w:tr>
      <w:tr>
        <w:trPr>
          <w:tblHeader w:val="false"/>
        </w:trPr>
        <w:tc>
          <w:tcPr>
            <w:tcW w:type="dxa" w:w="3120"/>
            <w:shd w:fill="F5F5F5" w:color="auto" w:val="clear"/>
          </w:tcPr>
          <w:p>
            <w:pPr>
              <w:spacing w:after="40"/>
            </w:pPr>
            <w:r>
              <w:rPr>
                <w:rFonts w:ascii="Calibri" w:cs="Calibri" w:eastAsia="Calibri" w:hAnsi="Calibri"/>
                <w:sz w:val="22"/>
                <w:szCs w:val="22"/>
              </w:rPr>
              <w:t xml:space="preserve">Zero-knowledge matching</w:t>
            </w:r>
          </w:p>
        </w:tc>
        <w:tc>
          <w:tcPr>
            <w:tcW w:type="dxa" w:w="3120"/>
            <w:shd w:fill="F5F5F5" w:color="auto" w:val="clear"/>
          </w:tcPr>
          <w:p>
            <w:pPr>
              <w:spacing w:after="40"/>
            </w:pPr>
            <w:r>
              <w:rPr>
                <w:rFonts w:ascii="Calibri" w:cs="Calibri" w:eastAsia="Calibri" w:hAnsi="Calibri"/>
                <w:sz w:val="22"/>
                <w:szCs w:val="22"/>
              </w:rPr>
              <w:t xml:space="preserve">Brand sees results, never matching criteria</w:t>
            </w:r>
          </w:p>
        </w:tc>
        <w:tc>
          <w:tcPr>
            <w:tcW w:type="dxa" w:w="3120"/>
            <w:shd w:fill="F5F5F5" w:color="auto" w:val="clear"/>
          </w:tcPr>
          <w:p>
            <w:pPr>
              <w:spacing w:after="40"/>
            </w:pPr>
            <w:r>
              <w:rPr>
                <w:rFonts w:ascii="Calibri" w:cs="Calibri" w:eastAsia="Calibri" w:hAnsi="Calibri"/>
                <w:sz w:val="22"/>
                <w:szCs w:val="22"/>
              </w:rPr>
              <w:t xml:space="preserve">Your competitive intelligence stays protected</w:t>
            </w:r>
          </w:p>
        </w:tc>
      </w:tr>
      <w:tr>
        <w:trPr>
          <w:tblHeader w:val="false"/>
        </w:trPr>
        <w:tc>
          <w:tcPr>
            <w:tcW w:type="dxa" w:w="3120"/>
          </w:tcPr>
          <w:p>
            <w:pPr>
              <w:spacing w:after="40"/>
            </w:pPr>
            <w:r>
              <w:rPr>
                <w:rFonts w:ascii="Calibri" w:cs="Calibri" w:eastAsia="Calibri" w:hAnsi="Calibri"/>
                <w:sz w:val="22"/>
                <w:szCs w:val="22"/>
              </w:rPr>
              <w:t xml:space="preserve">Non-extraction ToS</w:t>
            </w:r>
          </w:p>
        </w:tc>
        <w:tc>
          <w:tcPr>
            <w:tcW w:type="dxa" w:w="3120"/>
          </w:tcPr>
          <w:p>
            <w:pPr>
              <w:spacing w:after="40"/>
            </w:pPr>
            <w:r>
              <w:rPr>
                <w:rFonts w:ascii="Calibri" w:cs="Calibri" w:eastAsia="Calibri" w:hAnsi="Calibri"/>
                <w:sz w:val="22"/>
                <w:szCs w:val="22"/>
              </w:rPr>
              <w:t xml:space="preserve">Backed by on-chain evidence</w:t>
            </w:r>
          </w:p>
        </w:tc>
        <w:tc>
          <w:tcPr>
            <w:tcW w:type="dxa" w:w="3120"/>
          </w:tcPr>
          <w:p>
            <w:pPr>
              <w:spacing w:after="40"/>
            </w:pPr>
            <w:r>
              <w:rPr>
                <w:rFonts w:ascii="Calibri" w:cs="Calibri" w:eastAsia="Calibri" w:hAnsi="Calibri"/>
                <w:sz w:val="22"/>
                <w:szCs w:val="22"/>
              </w:rPr>
              <w:t xml:space="preserve">Not 'trust us' — 'verify it'</w:t>
            </w:r>
          </w:p>
        </w:tc>
      </w:tr>
    </w:tbl>
    <w:p>
      <w:pPr>
        <w:spacing w:after="200"/>
      </w:pPr>
    </w:p>
    <w:p>
      <w:pPr>
        <w:spacing w:after="200" w:line="276"/>
      </w:pPr>
      <w:r>
        <w:rPr>
          <w:rFonts w:ascii="Calibri" w:cs="Calibri" w:eastAsia="Calibri" w:hAnsi="Calibri"/>
          <w:b/>
          <w:bCs/>
          <w:color w:val="1B7A4A"/>
          <w:sz w:val="28"/>
          <w:szCs w:val="28"/>
        </w:rPr>
        <w:t xml:space="preserve">PART 7: RISKS &amp; HONEST LIMITATIONS</w:t>
      </w:r>
    </w:p>
    <w:p>
      <w:pPr>
        <w:spacing w:after="120" w:line="276"/>
      </w:pPr>
      <w:r>
        <w:rPr>
          <w:rFonts w:ascii="Calibri" w:cs="Calibri" w:eastAsia="Calibri" w:hAnsi="Calibri"/>
          <w:sz w:val="22"/>
          <w:szCs w:val="22"/>
        </w:rPr>
        <w:t xml:space="preserve">PersonalOS believes in radical transparency — including about our own limitations.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60"/>
        <w:gridCol w:w="4800"/>
      </w:tblGrid>
      <w:tr>
        <w:trPr>
          <w:tblHeader/>
        </w:trPr>
        <w:tc>
          <w:tcPr>
            <w:tcW w:type="dxa" w:w="3000"/>
            <w:shd w:fill="1B7A4A" w:color="auto" w:val="clear"/>
          </w:tcPr>
          <w:p>
            <w:pPr>
              <w:spacing w:after="40"/>
            </w:pPr>
            <w:r>
              <w:rPr>
                <w:rFonts w:ascii="Calibri" w:cs="Calibri" w:eastAsia="Calibri" w:hAnsi="Calibri"/>
                <w:b/>
                <w:bCs/>
                <w:color w:val="FFFFFF"/>
                <w:sz w:val="22"/>
                <w:szCs w:val="22"/>
              </w:rPr>
              <w:t xml:space="preserve">Risk</w:t>
            </w:r>
          </w:p>
        </w:tc>
        <w:tc>
          <w:tcPr>
            <w:tcW w:type="dxa" w:w="1560"/>
            <w:shd w:fill="1B7A4A" w:color="auto" w:val="clear"/>
          </w:tcPr>
          <w:p>
            <w:pPr>
              <w:spacing w:after="40"/>
            </w:pPr>
            <w:r>
              <w:rPr>
                <w:rFonts w:ascii="Calibri" w:cs="Calibri" w:eastAsia="Calibri" w:hAnsi="Calibri"/>
                <w:b/>
                <w:bCs/>
                <w:color w:val="FFFFFF"/>
                <w:sz w:val="22"/>
                <w:szCs w:val="22"/>
              </w:rPr>
              <w:t xml:space="preserve">Severity</w:t>
            </w:r>
          </w:p>
        </w:tc>
        <w:tc>
          <w:tcPr>
            <w:tcW w:type="dxa" w:w="4800"/>
            <w:shd w:fill="1B7A4A" w:color="auto" w:val="clear"/>
          </w:tcPr>
          <w:p>
            <w:pPr>
              <w:spacing w:after="40"/>
            </w:pPr>
            <w:r>
              <w:rPr>
                <w:rFonts w:ascii="Calibri" w:cs="Calibri" w:eastAsia="Calibri" w:hAnsi="Calibri"/>
                <w:b/>
                <w:bCs/>
                <w:color w:val="FFFFFF"/>
                <w:sz w:val="22"/>
                <w:szCs w:val="22"/>
              </w:rPr>
              <w:t xml:space="preserve">Mitigation</w:t>
            </w:r>
          </w:p>
        </w:tc>
      </w:tr>
      <w:tr>
        <w:trPr>
          <w:tblHeader w:val="false"/>
        </w:trPr>
        <w:tc>
          <w:tcPr>
            <w:tcW w:type="dxa" w:w="3000"/>
          </w:tcPr>
          <w:p>
            <w:pPr>
              <w:spacing w:after="40"/>
            </w:pPr>
            <w:r>
              <w:rPr>
                <w:rFonts w:ascii="Calibri" w:cs="Calibri" w:eastAsia="Calibri" w:hAnsi="Calibri"/>
                <w:sz w:val="22"/>
                <w:szCs w:val="22"/>
              </w:rPr>
              <w:t xml:space="preserve">Small user base at launch (500 souls)</w:t>
            </w:r>
          </w:p>
        </w:tc>
        <w:tc>
          <w:tcPr>
            <w:tcW w:type="dxa" w:w="1560"/>
          </w:tcPr>
          <w:p>
            <w:pPr>
              <w:spacing w:after="40"/>
            </w:pPr>
            <w:r>
              <w:rPr>
                <w:rFonts w:ascii="Calibri" w:cs="Calibri" w:eastAsia="Calibri" w:hAnsi="Calibri"/>
                <w:sz w:val="22"/>
                <w:szCs w:val="22"/>
              </w:rPr>
              <w:t xml:space="preserve">High</w:t>
            </w:r>
          </w:p>
        </w:tc>
        <w:tc>
          <w:tcPr>
            <w:tcW w:type="dxa" w:w="4800"/>
          </w:tcPr>
          <w:p>
            <w:pPr>
              <w:spacing w:after="40"/>
            </w:pPr>
            <w:r>
              <w:rPr>
                <w:rFonts w:ascii="Calibri" w:cs="Calibri" w:eastAsia="Calibri" w:hAnsi="Calibri"/>
                <w:sz w:val="22"/>
                <w:szCs w:val="22"/>
              </w:rPr>
              <w:t xml:space="preserve">Direct channel is precision, not reach. Intelligence product works with aggregate data. Founding cohort gets Pro free for 90 days.</w:t>
            </w:r>
          </w:p>
        </w:tc>
      </w:tr>
      <w:tr>
        <w:trPr>
          <w:tblHeader w:val="false"/>
        </w:trPr>
        <w:tc>
          <w:tcPr>
            <w:tcW w:type="dxa" w:w="3000"/>
            <w:shd w:fill="F5F5F5" w:color="auto" w:val="clear"/>
          </w:tcPr>
          <w:p>
            <w:pPr>
              <w:spacing w:after="40"/>
            </w:pPr>
            <w:r>
              <w:rPr>
                <w:rFonts w:ascii="Calibri" w:cs="Calibri" w:eastAsia="Calibri" w:hAnsi="Calibri"/>
                <w:sz w:val="22"/>
                <w:szCs w:val="22"/>
              </w:rPr>
              <w:t xml:space="preserve">Regulatory uncertainty (MSB, money transmitter)</w:t>
            </w:r>
          </w:p>
        </w:tc>
        <w:tc>
          <w:tcPr>
            <w:tcW w:type="dxa" w:w="1560"/>
            <w:shd w:fill="F5F5F5" w:color="auto" w:val="clear"/>
          </w:tcPr>
          <w:p>
            <w:pPr>
              <w:spacing w:after="40"/>
            </w:pPr>
            <w:r>
              <w:rPr>
                <w:rFonts w:ascii="Calibri" w:cs="Calibri" w:eastAsia="Calibri" w:hAnsi="Calibri"/>
                <w:sz w:val="22"/>
                <w:szCs w:val="22"/>
              </w:rPr>
              <w:t xml:space="preserve">Medium</w:t>
            </w:r>
          </w:p>
        </w:tc>
        <w:tc>
          <w:tcPr>
            <w:tcW w:type="dxa" w:w="4800"/>
            <w:shd w:fill="F5F5F5" w:color="auto" w:val="clear"/>
          </w:tcPr>
          <w:p>
            <w:pPr>
              <w:spacing w:after="40"/>
            </w:pPr>
            <w:r>
              <w:rPr>
                <w:rFonts w:ascii="Calibri" w:cs="Calibri" w:eastAsia="Calibri" w:hAnsi="Calibri"/>
                <w:sz w:val="22"/>
                <w:szCs w:val="22"/>
              </w:rPr>
              <w:t xml:space="preserve">Legal review underway. Architecture designed for compliance; legal structure follows.</w:t>
            </w:r>
          </w:p>
        </w:tc>
      </w:tr>
      <w:tr>
        <w:trPr>
          <w:tblHeader w:val="false"/>
        </w:trPr>
        <w:tc>
          <w:tcPr>
            <w:tcW w:type="dxa" w:w="3000"/>
          </w:tcPr>
          <w:p>
            <w:pPr>
              <w:spacing w:after="40"/>
            </w:pPr>
            <w:r>
              <w:rPr>
                <w:rFonts w:ascii="Calibri" w:cs="Calibri" w:eastAsia="Calibri" w:hAnsi="Calibri"/>
                <w:sz w:val="22"/>
                <w:szCs w:val="22"/>
              </w:rPr>
              <w:t xml:space="preserve">Smart contract risk (immutable = can't patch)</w:t>
            </w:r>
          </w:p>
        </w:tc>
        <w:tc>
          <w:tcPr>
            <w:tcW w:type="dxa" w:w="1560"/>
          </w:tcPr>
          <w:p>
            <w:pPr>
              <w:spacing w:after="40"/>
            </w:pPr>
            <w:r>
              <w:rPr>
                <w:rFonts w:ascii="Calibri" w:cs="Calibri" w:eastAsia="Calibri" w:hAnsi="Calibri"/>
                <w:sz w:val="22"/>
                <w:szCs w:val="22"/>
              </w:rPr>
              <w:t xml:space="preserve">Medium</w:t>
            </w:r>
          </w:p>
        </w:tc>
        <w:tc>
          <w:tcPr>
            <w:tcW w:type="dxa" w:w="4800"/>
          </w:tcPr>
          <w:p>
            <w:pPr>
              <w:spacing w:after="40"/>
            </w:pPr>
            <w:r>
              <w:rPr>
                <w:rFonts w:ascii="Calibri" w:cs="Calibri" w:eastAsia="Calibri" w:hAnsi="Calibri"/>
                <w:sz w:val="22"/>
                <w:szCs w:val="22"/>
              </w:rPr>
              <w:t xml:space="preserve">Audited OpenZeppelin patterns. Foundry test suite. Bug bounty planned. Immutability is a feature and a risk.</w:t>
            </w:r>
          </w:p>
        </w:tc>
      </w:tr>
      <w:tr>
        <w:trPr>
          <w:tblHeader w:val="false"/>
        </w:trPr>
        <w:tc>
          <w:tcPr>
            <w:tcW w:type="dxa" w:w="3000"/>
            <w:shd w:fill="F5F5F5" w:color="auto" w:val="clear"/>
          </w:tcPr>
          <w:p>
            <w:pPr>
              <w:spacing w:after="40"/>
            </w:pPr>
            <w:r>
              <w:rPr>
                <w:rFonts w:ascii="Calibri" w:cs="Calibri" w:eastAsia="Calibri" w:hAnsi="Calibri"/>
                <w:sz w:val="22"/>
                <w:szCs w:val="22"/>
              </w:rPr>
              <w:t xml:space="preserve">Cold start (brands won't pay without proof)</w:t>
            </w:r>
          </w:p>
        </w:tc>
        <w:tc>
          <w:tcPr>
            <w:tcW w:type="dxa" w:w="1560"/>
            <w:shd w:fill="F5F5F5" w:color="auto" w:val="clear"/>
          </w:tcPr>
          <w:p>
            <w:pPr>
              <w:spacing w:after="40"/>
            </w:pPr>
            <w:r>
              <w:rPr>
                <w:rFonts w:ascii="Calibri" w:cs="Calibri" w:eastAsia="Calibri" w:hAnsi="Calibri"/>
                <w:sz w:val="22"/>
                <w:szCs w:val="22"/>
              </w:rPr>
              <w:t xml:space="preserve">Medium</w:t>
            </w:r>
          </w:p>
        </w:tc>
        <w:tc>
          <w:tcPr>
            <w:tcW w:type="dxa" w:w="4800"/>
            <w:shd w:fill="F5F5F5" w:color="auto" w:val="clear"/>
          </w:tcPr>
          <w:p>
            <w:pPr>
              <w:spacing w:after="40"/>
            </w:pPr>
            <w:r>
              <w:rPr>
                <w:rFonts w:ascii="Calibri" w:cs="Calibri" w:eastAsia="Calibri" w:hAnsi="Calibri"/>
                <w:sz w:val="22"/>
                <w:szCs w:val="22"/>
              </w:rPr>
              <w:t xml:space="preserve">Free Starter tier. $199 Growth is low commitment. Early conversion data proves the model.</w:t>
            </w:r>
          </w:p>
        </w:tc>
      </w:tr>
      <w:tr>
        <w:trPr>
          <w:tblHeader w:val="false"/>
        </w:trPr>
        <w:tc>
          <w:tcPr>
            <w:tcW w:type="dxa" w:w="3000"/>
          </w:tcPr>
          <w:p>
            <w:pPr>
              <w:spacing w:after="40"/>
            </w:pPr>
            <w:r>
              <w:rPr>
                <w:rFonts w:ascii="Calibri" w:cs="Calibri" w:eastAsia="Calibri" w:hAnsi="Calibri"/>
                <w:sz w:val="22"/>
                <w:szCs w:val="22"/>
              </w:rPr>
              <w:t xml:space="preserve">Consumer friction (crypto-native wallet)</w:t>
            </w:r>
          </w:p>
        </w:tc>
        <w:tc>
          <w:tcPr>
            <w:tcW w:type="dxa" w:w="1560"/>
          </w:tcPr>
          <w:p>
            <w:pPr>
              <w:spacing w:after="40"/>
            </w:pPr>
            <w:r>
              <w:rPr>
                <w:rFonts w:ascii="Calibri" w:cs="Calibri" w:eastAsia="Calibri" w:hAnsi="Calibri"/>
                <w:sz w:val="22"/>
                <w:szCs w:val="22"/>
              </w:rPr>
              <w:t xml:space="preserve">Medium</w:t>
            </w:r>
          </w:p>
        </w:tc>
        <w:tc>
          <w:tcPr>
            <w:tcW w:type="dxa" w:w="4800"/>
          </w:tcPr>
          <w:p>
            <w:pPr>
              <w:spacing w:after="40"/>
            </w:pPr>
            <w:r>
              <w:rPr>
                <w:rFonts w:ascii="Calibri" w:cs="Calibri" w:eastAsia="Calibri" w:hAnsi="Calibri"/>
                <w:sz w:val="22"/>
                <w:szCs w:val="22"/>
              </w:rPr>
              <w:t xml:space="preserve">Earn-first onboarding. Coinbase on/off-ramp. Passkey auth hides key management.</w:t>
            </w:r>
          </w:p>
        </w:tc>
      </w:tr>
      <w:tr>
        <w:trPr>
          <w:tblHeader w:val="false"/>
        </w:trPr>
        <w:tc>
          <w:tcPr>
            <w:tcW w:type="dxa" w:w="3000"/>
            <w:shd w:fill="F5F5F5" w:color="auto" w:val="clear"/>
          </w:tcPr>
          <w:p>
            <w:pPr>
              <w:spacing w:after="40"/>
            </w:pPr>
            <w:r>
              <w:rPr>
                <w:rFonts w:ascii="Calibri" w:cs="Calibri" w:eastAsia="Calibri" w:hAnsi="Calibri"/>
                <w:sz w:val="22"/>
                <w:szCs w:val="22"/>
              </w:rPr>
              <w:t xml:space="preserve">Incumbent response</w:t>
            </w:r>
          </w:p>
        </w:tc>
        <w:tc>
          <w:tcPr>
            <w:tcW w:type="dxa" w:w="1560"/>
            <w:shd w:fill="F5F5F5" w:color="auto" w:val="clear"/>
          </w:tcPr>
          <w:p>
            <w:pPr>
              <w:spacing w:after="40"/>
            </w:pPr>
            <w:r>
              <w:rPr>
                <w:rFonts w:ascii="Calibri" w:cs="Calibri" w:eastAsia="Calibri" w:hAnsi="Calibri"/>
                <w:sz w:val="22"/>
                <w:szCs w:val="22"/>
              </w:rPr>
              <w:t xml:space="preserve">Low-Medium</w:t>
            </w:r>
          </w:p>
        </w:tc>
        <w:tc>
          <w:tcPr>
            <w:tcW w:type="dxa" w:w="4800"/>
            <w:shd w:fill="F5F5F5" w:color="auto" w:val="clear"/>
          </w:tcPr>
          <w:p>
            <w:pPr>
              <w:spacing w:after="40"/>
            </w:pPr>
            <w:r>
              <w:rPr>
                <w:rFonts w:ascii="Calibri" w:cs="Calibri" w:eastAsia="Calibri" w:hAnsi="Calibri"/>
                <w:sz w:val="22"/>
                <w:szCs w:val="22"/>
              </w:rPr>
              <w:t xml:space="preserve">Impossible Triangle: incumbents can't do all three vertices. Regulatory trend favors PersonalOS.</w:t>
            </w:r>
          </w:p>
        </w:tc>
      </w:tr>
      <w:tr>
        <w:trPr>
          <w:tblHeader w:val="false"/>
        </w:trPr>
        <w:tc>
          <w:tcPr>
            <w:tcW w:type="dxa" w:w="3000"/>
          </w:tcPr>
          <w:p>
            <w:pPr>
              <w:spacing w:after="40"/>
            </w:pPr>
            <w:r>
              <w:rPr>
                <w:rFonts w:ascii="Calibri" w:cs="Calibri" w:eastAsia="Calibri" w:hAnsi="Calibri"/>
                <w:sz w:val="22"/>
                <w:szCs w:val="22"/>
              </w:rPr>
              <w:t xml:space="preserve">Data Rights Agent legal challenges</w:t>
            </w:r>
          </w:p>
        </w:tc>
        <w:tc>
          <w:tcPr>
            <w:tcW w:type="dxa" w:w="1560"/>
          </w:tcPr>
          <w:p>
            <w:pPr>
              <w:spacing w:after="40"/>
            </w:pPr>
            <w:r>
              <w:rPr>
                <w:rFonts w:ascii="Calibri" w:cs="Calibri" w:eastAsia="Calibri" w:hAnsi="Calibri"/>
                <w:sz w:val="22"/>
                <w:szCs w:val="22"/>
              </w:rPr>
              <w:t xml:space="preserve">Low</w:t>
            </w:r>
          </w:p>
        </w:tc>
        <w:tc>
          <w:tcPr>
            <w:tcW w:type="dxa" w:w="4800"/>
          </w:tcPr>
          <w:p>
            <w:pPr>
              <w:spacing w:after="40"/>
            </w:pPr>
            <w:r>
              <w:rPr>
                <w:rFonts w:ascii="Calibri" w:cs="Calibri" w:eastAsia="Calibri" w:hAnsi="Calibri"/>
                <w:sz w:val="22"/>
                <w:szCs w:val="22"/>
              </w:rPr>
              <w:t xml:space="preserve">Phased rollout. On-device only. Legal frameworks explicitly support data portability.</w:t>
            </w:r>
          </w:p>
        </w:tc>
      </w:tr>
    </w:tbl>
    <w:p>
      <w:pPr>
        <w:spacing w:after="200"/>
      </w:pPr>
    </w:p>
    <w:p>
      <w:pPr>
        <w:spacing w:after="200" w:line="276"/>
      </w:pPr>
      <w:r>
        <w:rPr>
          <w:rFonts w:ascii="Calibri" w:cs="Calibri" w:eastAsia="Calibri" w:hAnsi="Calibri"/>
          <w:b/>
          <w:bCs/>
          <w:color w:val="1B7A4A"/>
          <w:sz w:val="28"/>
          <w:szCs w:val="28"/>
        </w:rPr>
        <w:t xml:space="preserve">PART 8: ARCHITECTURE BEHIND THE CLAIMS</w:t>
      </w:r>
    </w:p>
    <w:p>
      <w:pPr>
        <w:spacing w:after="120" w:line="276"/>
      </w:pPr>
      <w:r>
        <w:rPr>
          <w:rFonts w:ascii="Calibri" w:cs="Calibri" w:eastAsia="Calibri" w:hAnsi="Calibri"/>
          <w:sz w:val="22"/>
          <w:szCs w:val="22"/>
        </w:rPr>
        <w:t xml:space="preserve">Every claim in this paper traces to a specific architectural decision. There are 62 ADRs covering the complete system.</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160"/>
        <w:gridCol w:w="5000"/>
      </w:tblGrid>
      <w:tr>
        <w:trPr>
          <w:tblHeader/>
        </w:trPr>
        <w:tc>
          <w:tcPr>
            <w:tcW w:type="dxa" w:w="1200"/>
            <w:shd w:fill="1B7A4A" w:color="auto" w:val="clear"/>
          </w:tcPr>
          <w:p>
            <w:pPr>
              <w:spacing w:after="40"/>
            </w:pPr>
            <w:r>
              <w:rPr>
                <w:rFonts w:ascii="Calibri" w:cs="Calibri" w:eastAsia="Calibri" w:hAnsi="Calibri"/>
                <w:b/>
                <w:bCs/>
                <w:color w:val="FFFFFF"/>
                <w:sz w:val="22"/>
                <w:szCs w:val="22"/>
              </w:rPr>
              <w:t xml:space="preserve">ADR</w:t>
            </w:r>
          </w:p>
        </w:tc>
        <w:tc>
          <w:tcPr>
            <w:tcW w:type="dxa" w:w="3160"/>
            <w:shd w:fill="1B7A4A" w:color="auto" w:val="clear"/>
          </w:tcPr>
          <w:p>
            <w:pPr>
              <w:spacing w:after="40"/>
            </w:pPr>
            <w:r>
              <w:rPr>
                <w:rFonts w:ascii="Calibri" w:cs="Calibri" w:eastAsia="Calibri" w:hAnsi="Calibri"/>
                <w:b/>
                <w:bCs/>
                <w:color w:val="FFFFFF"/>
                <w:sz w:val="22"/>
                <w:szCs w:val="22"/>
              </w:rPr>
              <w:t xml:space="preserve">Title</w:t>
            </w:r>
          </w:p>
        </w:tc>
        <w:tc>
          <w:tcPr>
            <w:tcW w:type="dxa" w:w="5000"/>
            <w:shd w:fill="1B7A4A" w:color="auto" w:val="clear"/>
          </w:tcPr>
          <w:p>
            <w:pPr>
              <w:spacing w:after="40"/>
            </w:pPr>
            <w:r>
              <w:rPr>
                <w:rFonts w:ascii="Calibri" w:cs="Calibri" w:eastAsia="Calibri" w:hAnsi="Calibri"/>
                <w:b/>
                <w:bCs/>
                <w:color w:val="FFFFFF"/>
                <w:sz w:val="22"/>
                <w:szCs w:val="22"/>
              </w:rPr>
              <w:t xml:space="preserve">Brand Relevance</w:t>
            </w:r>
          </w:p>
        </w:tc>
      </w:tr>
      <w:tr>
        <w:trPr>
          <w:tblHeader w:val="false"/>
        </w:trPr>
        <w:tc>
          <w:tcPr>
            <w:tcW w:type="dxa" w:w="1200"/>
          </w:tcPr>
          <w:p>
            <w:pPr>
              <w:spacing w:after="40"/>
            </w:pPr>
            <w:r>
              <w:rPr>
                <w:rFonts w:ascii="Calibri" w:cs="Calibri" w:eastAsia="Calibri" w:hAnsi="Calibri"/>
                <w:sz w:val="22"/>
                <w:szCs w:val="22"/>
              </w:rPr>
              <w:t xml:space="preserve">ADR-07</w:t>
            </w:r>
          </w:p>
        </w:tc>
        <w:tc>
          <w:tcPr>
            <w:tcW w:type="dxa" w:w="3160"/>
          </w:tcPr>
          <w:p>
            <w:pPr>
              <w:spacing w:after="40"/>
            </w:pPr>
            <w:r>
              <w:rPr>
                <w:rFonts w:ascii="Calibri" w:cs="Calibri" w:eastAsia="Calibri" w:hAnsi="Calibri"/>
                <w:sz w:val="22"/>
                <w:szCs w:val="22"/>
              </w:rPr>
              <w:t xml:space="preserve">On-Device Processing</w:t>
            </w:r>
          </w:p>
        </w:tc>
        <w:tc>
          <w:tcPr>
            <w:tcW w:type="dxa" w:w="5000"/>
          </w:tcPr>
          <w:p>
            <w:pPr>
              <w:spacing w:after="40"/>
            </w:pPr>
            <w:r>
              <w:rPr>
                <w:rFonts w:ascii="Calibri" w:cs="Calibri" w:eastAsia="Calibri" w:hAnsi="Calibri"/>
                <w:sz w:val="22"/>
                <w:szCs w:val="22"/>
              </w:rPr>
              <w:t xml:space="preserve">Consumer data never leaves their phone</w:t>
            </w:r>
          </w:p>
        </w:tc>
      </w:tr>
      <w:tr>
        <w:trPr>
          <w:tblHeader w:val="false"/>
        </w:trPr>
        <w:tc>
          <w:tcPr>
            <w:tcW w:type="dxa" w:w="1200"/>
            <w:shd w:fill="F5F5F5" w:color="auto" w:val="clear"/>
          </w:tcPr>
          <w:p>
            <w:pPr>
              <w:spacing w:after="40"/>
            </w:pPr>
            <w:r>
              <w:rPr>
                <w:rFonts w:ascii="Calibri" w:cs="Calibri" w:eastAsia="Calibri" w:hAnsi="Calibri"/>
                <w:sz w:val="22"/>
                <w:szCs w:val="22"/>
              </w:rPr>
              <w:t xml:space="preserve">ADR-14</w:t>
            </w:r>
          </w:p>
        </w:tc>
        <w:tc>
          <w:tcPr>
            <w:tcW w:type="dxa" w:w="3160"/>
            <w:shd w:fill="F5F5F5" w:color="auto" w:val="clear"/>
          </w:tcPr>
          <w:p>
            <w:pPr>
              <w:spacing w:after="40"/>
            </w:pPr>
            <w:r>
              <w:rPr>
                <w:rFonts w:ascii="Calibri" w:cs="Calibri" w:eastAsia="Calibri" w:hAnsi="Calibri"/>
                <w:sz w:val="22"/>
                <w:szCs w:val="22"/>
              </w:rPr>
              <w:t xml:space="preserve">Differential Privacy</w:t>
            </w:r>
          </w:p>
        </w:tc>
        <w:tc>
          <w:tcPr>
            <w:tcW w:type="dxa" w:w="5000"/>
            <w:shd w:fill="F5F5F5" w:color="auto" w:val="clear"/>
          </w:tcPr>
          <w:p>
            <w:pPr>
              <w:spacing w:after="40"/>
            </w:pPr>
            <w:r>
              <w:rPr>
                <w:rFonts w:ascii="Calibri" w:cs="Calibri" w:eastAsia="Calibri" w:hAnsi="Calibri"/>
                <w:sz w:val="22"/>
                <w:szCs w:val="22"/>
              </w:rPr>
              <w:t xml:space="preserve">Aggregate data includes calibrated noise</w:t>
            </w:r>
          </w:p>
        </w:tc>
      </w:tr>
      <w:tr>
        <w:trPr>
          <w:tblHeader w:val="false"/>
        </w:trPr>
        <w:tc>
          <w:tcPr>
            <w:tcW w:type="dxa" w:w="1200"/>
          </w:tcPr>
          <w:p>
            <w:pPr>
              <w:spacing w:after="40"/>
            </w:pPr>
            <w:r>
              <w:rPr>
                <w:rFonts w:ascii="Calibri" w:cs="Calibri" w:eastAsia="Calibri" w:hAnsi="Calibri"/>
                <w:sz w:val="22"/>
                <w:szCs w:val="22"/>
              </w:rPr>
              <w:t xml:space="preserve">ADR-33</w:t>
            </w:r>
          </w:p>
        </w:tc>
        <w:tc>
          <w:tcPr>
            <w:tcW w:type="dxa" w:w="3160"/>
          </w:tcPr>
          <w:p>
            <w:pPr>
              <w:spacing w:after="40"/>
            </w:pPr>
            <w:r>
              <w:rPr>
                <w:rFonts w:ascii="Calibri" w:cs="Calibri" w:eastAsia="Calibri" w:hAnsi="Calibri"/>
                <w:sz w:val="22"/>
                <w:szCs w:val="22"/>
              </w:rPr>
              <w:t xml:space="preserve">USDC Settlement</w:t>
            </w:r>
          </w:p>
        </w:tc>
        <w:tc>
          <w:tcPr>
            <w:tcW w:type="dxa" w:w="5000"/>
          </w:tcPr>
          <w:p>
            <w:pPr>
              <w:spacing w:after="40"/>
            </w:pPr>
            <w:r>
              <w:rPr>
                <w:rFonts w:ascii="Calibri" w:cs="Calibri" w:eastAsia="Calibri" w:hAnsi="Calibri"/>
                <w:sz w:val="22"/>
                <w:szCs w:val="22"/>
              </w:rPr>
              <w:t xml:space="preserve">Every payment on-chain, auditable, instant</w:t>
            </w:r>
          </w:p>
        </w:tc>
      </w:tr>
      <w:tr>
        <w:trPr>
          <w:tblHeader w:val="false"/>
        </w:trPr>
        <w:tc>
          <w:tcPr>
            <w:tcW w:type="dxa" w:w="1200"/>
            <w:shd w:fill="F5F5F5" w:color="auto" w:val="clear"/>
          </w:tcPr>
          <w:p>
            <w:pPr>
              <w:spacing w:after="40"/>
            </w:pPr>
            <w:r>
              <w:rPr>
                <w:rFonts w:ascii="Calibri" w:cs="Calibri" w:eastAsia="Calibri" w:hAnsi="Calibri"/>
                <w:sz w:val="22"/>
                <w:szCs w:val="22"/>
              </w:rPr>
              <w:t xml:space="preserve">ADR-35</w:t>
            </w:r>
          </w:p>
        </w:tc>
        <w:tc>
          <w:tcPr>
            <w:tcW w:type="dxa" w:w="3160"/>
            <w:shd w:fill="F5F5F5" w:color="auto" w:val="clear"/>
          </w:tcPr>
          <w:p>
            <w:pPr>
              <w:spacing w:after="40"/>
            </w:pPr>
            <w:r>
              <w:rPr>
                <w:rFonts w:ascii="Calibri" w:cs="Calibri" w:eastAsia="Calibri" w:hAnsi="Calibri"/>
                <w:sz w:val="22"/>
                <w:szCs w:val="22"/>
              </w:rPr>
              <w:t xml:space="preserve">Immutable Fee Split</w:t>
            </w:r>
          </w:p>
        </w:tc>
        <w:tc>
          <w:tcPr>
            <w:tcW w:type="dxa" w:w="5000"/>
            <w:shd w:fill="F5F5F5" w:color="auto" w:val="clear"/>
          </w:tcPr>
          <w:p>
            <w:pPr>
              <w:spacing w:after="40"/>
            </w:pPr>
            <w:r>
              <w:rPr>
                <w:rFonts w:ascii="Calibri" w:cs="Calibri" w:eastAsia="Calibri" w:hAnsi="Calibri"/>
                <w:sz w:val="22"/>
                <w:szCs w:val="22"/>
              </w:rPr>
              <w:t xml:space="preserve">10% ceiling is bytecode, not a promise</w:t>
            </w:r>
          </w:p>
        </w:tc>
      </w:tr>
      <w:tr>
        <w:trPr>
          <w:tblHeader w:val="false"/>
        </w:trPr>
        <w:tc>
          <w:tcPr>
            <w:tcW w:type="dxa" w:w="1200"/>
          </w:tcPr>
          <w:p>
            <w:pPr>
              <w:spacing w:after="40"/>
            </w:pPr>
            <w:r>
              <w:rPr>
                <w:rFonts w:ascii="Calibri" w:cs="Calibri" w:eastAsia="Calibri" w:hAnsi="Calibri"/>
                <w:sz w:val="22"/>
                <w:szCs w:val="22"/>
              </w:rPr>
              <w:t xml:space="preserve">ADR-37</w:t>
            </w:r>
          </w:p>
        </w:tc>
        <w:tc>
          <w:tcPr>
            <w:tcW w:type="dxa" w:w="3160"/>
          </w:tcPr>
          <w:p>
            <w:pPr>
              <w:spacing w:after="40"/>
            </w:pPr>
            <w:r>
              <w:rPr>
                <w:rFonts w:ascii="Calibri" w:cs="Calibri" w:eastAsia="Calibri" w:hAnsi="Calibri"/>
                <w:sz w:val="22"/>
                <w:szCs w:val="22"/>
              </w:rPr>
              <w:t xml:space="preserve">Re-identification Mitigation</w:t>
            </w:r>
          </w:p>
        </w:tc>
        <w:tc>
          <w:tcPr>
            <w:tcW w:type="dxa" w:w="5000"/>
          </w:tcPr>
          <w:p>
            <w:pPr>
              <w:spacing w:after="40"/>
            </w:pPr>
            <w:r>
              <w:rPr>
                <w:rFonts w:ascii="Calibri" w:cs="Calibri" w:eastAsia="Calibri" w:hAnsi="Calibri"/>
                <w:sz w:val="22"/>
                <w:szCs w:val="22"/>
              </w:rPr>
              <w:t xml:space="preserve">k≥50 floor — brands never see individual data</w:t>
            </w:r>
          </w:p>
        </w:tc>
      </w:tr>
      <w:tr>
        <w:trPr>
          <w:tblHeader w:val="false"/>
        </w:trPr>
        <w:tc>
          <w:tcPr>
            <w:tcW w:type="dxa" w:w="1200"/>
            <w:shd w:fill="F5F5F5" w:color="auto" w:val="clear"/>
          </w:tcPr>
          <w:p>
            <w:pPr>
              <w:spacing w:after="40"/>
            </w:pPr>
            <w:r>
              <w:rPr>
                <w:rFonts w:ascii="Calibri" w:cs="Calibri" w:eastAsia="Calibri" w:hAnsi="Calibri"/>
                <w:sz w:val="22"/>
                <w:szCs w:val="22"/>
              </w:rPr>
              <w:t xml:space="preserve">ADR-42</w:t>
            </w:r>
          </w:p>
        </w:tc>
        <w:tc>
          <w:tcPr>
            <w:tcW w:type="dxa" w:w="3160"/>
            <w:shd w:fill="F5F5F5" w:color="auto" w:val="clear"/>
          </w:tcPr>
          <w:p>
            <w:pPr>
              <w:spacing w:after="40"/>
            </w:pPr>
            <w:r>
              <w:rPr>
                <w:rFonts w:ascii="Calibri" w:cs="Calibri" w:eastAsia="Calibri" w:hAnsi="Calibri"/>
                <w:sz w:val="22"/>
                <w:szCs w:val="22"/>
              </w:rPr>
              <w:t xml:space="preserve">Brand Lifecycle</w:t>
            </w:r>
          </w:p>
        </w:tc>
        <w:tc>
          <w:tcPr>
            <w:tcW w:type="dxa" w:w="5000"/>
            <w:shd w:fill="F5F5F5" w:color="auto" w:val="clear"/>
          </w:tcPr>
          <w:p>
            <w:pPr>
              <w:spacing w:after="40"/>
            </w:pPr>
            <w:r>
              <w:rPr>
                <w:rFonts w:ascii="Calibri" w:cs="Calibri" w:eastAsia="Calibri" w:hAnsi="Calibri"/>
                <w:sz w:val="22"/>
                <w:szCs w:val="22"/>
              </w:rPr>
              <w:t xml:space="preserve">Onboarding → listing → settlement → reporting</w:t>
            </w:r>
          </w:p>
        </w:tc>
      </w:tr>
      <w:tr>
        <w:trPr>
          <w:tblHeader w:val="false"/>
        </w:trPr>
        <w:tc>
          <w:tcPr>
            <w:tcW w:type="dxa" w:w="1200"/>
          </w:tcPr>
          <w:p>
            <w:pPr>
              <w:spacing w:after="40"/>
            </w:pPr>
            <w:r>
              <w:rPr>
                <w:rFonts w:ascii="Calibri" w:cs="Calibri" w:eastAsia="Calibri" w:hAnsi="Calibri"/>
                <w:sz w:val="22"/>
                <w:szCs w:val="22"/>
              </w:rPr>
              <w:t xml:space="preserve">ADR-46</w:t>
            </w:r>
          </w:p>
        </w:tc>
        <w:tc>
          <w:tcPr>
            <w:tcW w:type="dxa" w:w="3160"/>
          </w:tcPr>
          <w:p>
            <w:pPr>
              <w:spacing w:after="40"/>
            </w:pPr>
            <w:r>
              <w:rPr>
                <w:rFonts w:ascii="Calibri" w:cs="Calibri" w:eastAsia="Calibri" w:hAnsi="Calibri"/>
                <w:sz w:val="22"/>
                <w:szCs w:val="22"/>
              </w:rPr>
              <w:t xml:space="preserve">Brand Portal</w:t>
            </w:r>
          </w:p>
        </w:tc>
        <w:tc>
          <w:tcPr>
            <w:tcW w:type="dxa" w:w="5000"/>
          </w:tcPr>
          <w:p>
            <w:pPr>
              <w:spacing w:after="40"/>
            </w:pPr>
            <w:r>
              <w:rPr>
                <w:rFonts w:ascii="Calibri" w:cs="Calibri" w:eastAsia="Calibri" w:hAnsi="Calibri"/>
                <w:sz w:val="22"/>
                <w:szCs w:val="22"/>
              </w:rPr>
              <w:t xml:space="preserve">Dashboard + analytics + free demand overview</w:t>
            </w:r>
          </w:p>
        </w:tc>
      </w:tr>
      <w:tr>
        <w:trPr>
          <w:tblHeader w:val="false"/>
        </w:trPr>
        <w:tc>
          <w:tcPr>
            <w:tcW w:type="dxa" w:w="1200"/>
            <w:shd w:fill="F5F5F5" w:color="auto" w:val="clear"/>
          </w:tcPr>
          <w:p>
            <w:pPr>
              <w:spacing w:after="40"/>
            </w:pPr>
            <w:r>
              <w:rPr>
                <w:rFonts w:ascii="Calibri" w:cs="Calibri" w:eastAsia="Calibri" w:hAnsi="Calibri"/>
                <w:sz w:val="22"/>
                <w:szCs w:val="22"/>
              </w:rPr>
              <w:t xml:space="preserve">ADR-51</w:t>
            </w:r>
          </w:p>
        </w:tc>
        <w:tc>
          <w:tcPr>
            <w:tcW w:type="dxa" w:w="3160"/>
            <w:shd w:fill="F5F5F5" w:color="auto" w:val="clear"/>
          </w:tcPr>
          <w:p>
            <w:pPr>
              <w:spacing w:after="40"/>
            </w:pPr>
            <w:r>
              <w:rPr>
                <w:rFonts w:ascii="Calibri" w:cs="Calibri" w:eastAsia="Calibri" w:hAnsi="Calibri"/>
                <w:sz w:val="22"/>
                <w:szCs w:val="22"/>
              </w:rPr>
              <w:t xml:space="preserve">Brand Scoring</w:t>
            </w:r>
          </w:p>
        </w:tc>
        <w:tc>
          <w:tcPr>
            <w:tcW w:type="dxa" w:w="5000"/>
            <w:shd w:fill="F5F5F5" w:color="auto" w:val="clear"/>
          </w:tcPr>
          <w:p>
            <w:pPr>
              <w:spacing w:after="40"/>
            </w:pPr>
            <w:r>
              <w:rPr>
                <w:rFonts w:ascii="Calibri" w:cs="Calibri" w:eastAsia="Calibri" w:hAnsi="Calibri"/>
                <w:sz w:val="22"/>
                <w:szCs w:val="22"/>
              </w:rPr>
              <w:t xml:space="preserve">Brands earn trust too (claim rate, fairness, health)</w:t>
            </w:r>
          </w:p>
        </w:tc>
      </w:tr>
      <w:tr>
        <w:trPr>
          <w:tblHeader w:val="false"/>
        </w:trPr>
        <w:tc>
          <w:tcPr>
            <w:tcW w:type="dxa" w:w="1200"/>
          </w:tcPr>
          <w:p>
            <w:pPr>
              <w:spacing w:after="40"/>
            </w:pPr>
            <w:r>
              <w:rPr>
                <w:rFonts w:ascii="Calibri" w:cs="Calibri" w:eastAsia="Calibri" w:hAnsi="Calibri"/>
                <w:sz w:val="22"/>
                <w:szCs w:val="22"/>
              </w:rPr>
              <w:t xml:space="preserve">ADR-53</w:t>
            </w:r>
          </w:p>
        </w:tc>
        <w:tc>
          <w:tcPr>
            <w:tcW w:type="dxa" w:w="3160"/>
          </w:tcPr>
          <w:p>
            <w:pPr>
              <w:spacing w:after="40"/>
            </w:pPr>
            <w:r>
              <w:rPr>
                <w:rFonts w:ascii="Calibri" w:cs="Calibri" w:eastAsia="Calibri" w:hAnsi="Calibri"/>
                <w:sz w:val="22"/>
                <w:szCs w:val="22"/>
              </w:rPr>
              <w:t xml:space="preserve">Intent Marketplace</w:t>
            </w:r>
          </w:p>
        </w:tc>
        <w:tc>
          <w:tcPr>
            <w:tcW w:type="dxa" w:w="5000"/>
          </w:tcPr>
          <w:p>
            <w:pPr>
              <w:spacing w:after="40"/>
            </w:pPr>
            <w:r>
              <w:rPr>
                <w:rFonts w:ascii="Calibri" w:cs="Calibri" w:eastAsia="Calibri" w:hAnsi="Calibri"/>
                <w:sz w:val="22"/>
                <w:szCs w:val="22"/>
              </w:rPr>
              <w:t xml:space="preserve">Engagement levels + intent declarations</w:t>
            </w:r>
          </w:p>
        </w:tc>
      </w:tr>
      <w:tr>
        <w:trPr>
          <w:tblHeader w:val="false"/>
        </w:trPr>
        <w:tc>
          <w:tcPr>
            <w:tcW w:type="dxa" w:w="1200"/>
            <w:shd w:fill="F5F5F5" w:color="auto" w:val="clear"/>
          </w:tcPr>
          <w:p>
            <w:pPr>
              <w:spacing w:after="40"/>
            </w:pPr>
            <w:r>
              <w:rPr>
                <w:rFonts w:ascii="Calibri" w:cs="Calibri" w:eastAsia="Calibri" w:hAnsi="Calibri"/>
                <w:sz w:val="22"/>
                <w:szCs w:val="22"/>
              </w:rPr>
              <w:t xml:space="preserve">ADR-54</w:t>
            </w:r>
          </w:p>
        </w:tc>
        <w:tc>
          <w:tcPr>
            <w:tcW w:type="dxa" w:w="3160"/>
            <w:shd w:fill="F5F5F5" w:color="auto" w:val="clear"/>
          </w:tcPr>
          <w:p>
            <w:pPr>
              <w:spacing w:after="40"/>
            </w:pPr>
            <w:r>
              <w:rPr>
                <w:rFonts w:ascii="Calibri" w:cs="Calibri" w:eastAsia="Calibri" w:hAnsi="Calibri"/>
                <w:sz w:val="22"/>
                <w:szCs w:val="22"/>
              </w:rPr>
              <w:t xml:space="preserve">Soul Tiers</w:t>
            </w:r>
          </w:p>
        </w:tc>
        <w:tc>
          <w:tcPr>
            <w:tcW w:type="dxa" w:w="5000"/>
            <w:shd w:fill="F5F5F5" w:color="auto" w:val="clear"/>
          </w:tcPr>
          <w:p>
            <w:pPr>
              <w:spacing w:after="40"/>
            </w:pPr>
            <w:r>
              <w:rPr>
                <w:rFonts w:ascii="Calibri" w:cs="Calibri" w:eastAsia="Calibri" w:hAnsi="Calibri"/>
                <w:sz w:val="22"/>
                <w:szCs w:val="22"/>
              </w:rPr>
              <w:t xml:space="preserve">New → Verified → Trusted → Platinum</w:t>
            </w:r>
          </w:p>
        </w:tc>
      </w:tr>
      <w:tr>
        <w:trPr>
          <w:tblHeader w:val="false"/>
        </w:trPr>
        <w:tc>
          <w:tcPr>
            <w:tcW w:type="dxa" w:w="1200"/>
          </w:tcPr>
          <w:p>
            <w:pPr>
              <w:spacing w:after="40"/>
            </w:pPr>
            <w:r>
              <w:rPr>
                <w:rFonts w:ascii="Calibri" w:cs="Calibri" w:eastAsia="Calibri" w:hAnsi="Calibri"/>
                <w:sz w:val="22"/>
                <w:szCs w:val="22"/>
              </w:rPr>
              <w:t xml:space="preserve">ADR-55</w:t>
            </w:r>
          </w:p>
        </w:tc>
        <w:tc>
          <w:tcPr>
            <w:tcW w:type="dxa" w:w="3160"/>
          </w:tcPr>
          <w:p>
            <w:pPr>
              <w:spacing w:after="40"/>
            </w:pPr>
            <w:r>
              <w:rPr>
                <w:rFonts w:ascii="Calibri" w:cs="Calibri" w:eastAsia="Calibri" w:hAnsi="Calibri"/>
                <w:sz w:val="22"/>
                <w:szCs w:val="22"/>
              </w:rPr>
              <w:t xml:space="preserve">Intent Integrity</w:t>
            </w:r>
          </w:p>
        </w:tc>
        <w:tc>
          <w:tcPr>
            <w:tcW w:type="dxa" w:w="5000"/>
          </w:tcPr>
          <w:p>
            <w:pPr>
              <w:spacing w:after="40"/>
            </w:pPr>
            <w:r>
              <w:rPr>
                <w:rFonts w:ascii="Calibri" w:cs="Calibri" w:eastAsia="Calibri" w:hAnsi="Calibri"/>
                <w:sz w:val="22"/>
                <w:szCs w:val="22"/>
              </w:rPr>
              <w:t xml:space="preserve">Five-component verification scoring</w:t>
            </w:r>
          </w:p>
        </w:tc>
      </w:tr>
      <w:tr>
        <w:trPr>
          <w:tblHeader w:val="false"/>
        </w:trPr>
        <w:tc>
          <w:tcPr>
            <w:tcW w:type="dxa" w:w="1200"/>
            <w:shd w:fill="F5F5F5" w:color="auto" w:val="clear"/>
          </w:tcPr>
          <w:p>
            <w:pPr>
              <w:spacing w:after="40"/>
            </w:pPr>
            <w:r>
              <w:rPr>
                <w:rFonts w:ascii="Calibri" w:cs="Calibri" w:eastAsia="Calibri" w:hAnsi="Calibri"/>
                <w:sz w:val="22"/>
                <w:szCs w:val="22"/>
              </w:rPr>
              <w:t xml:space="preserve">ADR-58</w:t>
            </w:r>
          </w:p>
        </w:tc>
        <w:tc>
          <w:tcPr>
            <w:tcW w:type="dxa" w:w="3160"/>
            <w:shd w:fill="F5F5F5" w:color="auto" w:val="clear"/>
          </w:tcPr>
          <w:p>
            <w:pPr>
              <w:spacing w:after="40"/>
            </w:pPr>
            <w:r>
              <w:rPr>
                <w:rFonts w:ascii="Calibri" w:cs="Calibri" w:eastAsia="Calibri" w:hAnsi="Calibri"/>
                <w:sz w:val="22"/>
                <w:szCs w:val="22"/>
              </w:rPr>
              <w:t xml:space="preserve">Revenue Model</w:t>
            </w:r>
          </w:p>
        </w:tc>
        <w:tc>
          <w:tcPr>
            <w:tcW w:type="dxa" w:w="5000"/>
            <w:shd w:fill="F5F5F5" w:color="auto" w:val="clear"/>
          </w:tcPr>
          <w:p>
            <w:pPr>
              <w:spacing w:after="40"/>
            </w:pPr>
            <w:r>
              <w:rPr>
                <w:rFonts w:ascii="Calibri" w:cs="Calibri" w:eastAsia="Calibri" w:hAnsi="Calibri"/>
                <w:sz w:val="22"/>
                <w:szCs w:val="22"/>
              </w:rPr>
              <w:t xml:space="preserve">Settlement + Soul Pro + Brand tiers</w:t>
            </w:r>
          </w:p>
        </w:tc>
      </w:tr>
      <w:tr>
        <w:trPr>
          <w:tblHeader w:val="false"/>
        </w:trPr>
        <w:tc>
          <w:tcPr>
            <w:tcW w:type="dxa" w:w="1200"/>
          </w:tcPr>
          <w:p>
            <w:pPr>
              <w:spacing w:after="40"/>
            </w:pPr>
            <w:r>
              <w:rPr>
                <w:rFonts w:ascii="Calibri" w:cs="Calibri" w:eastAsia="Calibri" w:hAnsi="Calibri"/>
                <w:sz w:val="22"/>
                <w:szCs w:val="22"/>
              </w:rPr>
              <w:t xml:space="preserve">ADR-59</w:t>
            </w:r>
          </w:p>
        </w:tc>
        <w:tc>
          <w:tcPr>
            <w:tcW w:type="dxa" w:w="3160"/>
          </w:tcPr>
          <w:p>
            <w:pPr>
              <w:spacing w:after="40"/>
            </w:pPr>
            <w:r>
              <w:rPr>
                <w:rFonts w:ascii="Calibri" w:cs="Calibri" w:eastAsia="Calibri" w:hAnsi="Calibri"/>
                <w:sz w:val="22"/>
                <w:szCs w:val="22"/>
              </w:rPr>
              <w:t xml:space="preserve">Data Rights Agent</w:t>
            </w:r>
          </w:p>
        </w:tc>
        <w:tc>
          <w:tcPr>
            <w:tcW w:type="dxa" w:w="5000"/>
          </w:tcPr>
          <w:p>
            <w:pPr>
              <w:spacing w:after="40"/>
            </w:pPr>
            <w:r>
              <w:rPr>
                <w:rFonts w:ascii="Calibri" w:cs="Calibri" w:eastAsia="Calibri" w:hAnsi="Calibri"/>
                <w:sz w:val="22"/>
                <w:szCs w:val="22"/>
              </w:rPr>
              <w:t xml:space="preserve">Automated data portability = more sources</w:t>
            </w:r>
          </w:p>
        </w:tc>
      </w:tr>
      <w:tr>
        <w:trPr>
          <w:tblHeader w:val="false"/>
        </w:trPr>
        <w:tc>
          <w:tcPr>
            <w:tcW w:type="dxa" w:w="1200"/>
            <w:shd w:fill="F5F5F5" w:color="auto" w:val="clear"/>
          </w:tcPr>
          <w:p>
            <w:pPr>
              <w:spacing w:after="40"/>
            </w:pPr>
            <w:r>
              <w:rPr>
                <w:rFonts w:ascii="Calibri" w:cs="Calibri" w:eastAsia="Calibri" w:hAnsi="Calibri"/>
                <w:sz w:val="22"/>
                <w:szCs w:val="22"/>
              </w:rPr>
              <w:t xml:space="preserve">ADR-60</w:t>
            </w:r>
          </w:p>
        </w:tc>
        <w:tc>
          <w:tcPr>
            <w:tcW w:type="dxa" w:w="3160"/>
            <w:shd w:fill="F5F5F5" w:color="auto" w:val="clear"/>
          </w:tcPr>
          <w:p>
            <w:pPr>
              <w:spacing w:after="40"/>
            </w:pPr>
            <w:r>
              <w:rPr>
                <w:rFonts w:ascii="Calibri" w:cs="Calibri" w:eastAsia="Calibri" w:hAnsi="Calibri"/>
                <w:sz w:val="22"/>
                <w:szCs w:val="22"/>
              </w:rPr>
              <w:t xml:space="preserve">Brand Intelligence Protection</w:t>
            </w:r>
          </w:p>
        </w:tc>
        <w:tc>
          <w:tcPr>
            <w:tcW w:type="dxa" w:w="5000"/>
            <w:shd w:fill="F5F5F5" w:color="auto" w:val="clear"/>
          </w:tcPr>
          <w:p>
            <w:pPr>
              <w:spacing w:after="40"/>
            </w:pPr>
            <w:r>
              <w:rPr>
                <w:rFonts w:ascii="Calibri" w:cs="Calibri" w:eastAsia="Calibri" w:hAnsi="Calibri"/>
                <w:sz w:val="22"/>
                <w:szCs w:val="22"/>
              </w:rPr>
              <w:t xml:space="preserve">On-chain audit, NFT access, ZK matching</w:t>
            </w:r>
          </w:p>
        </w:tc>
      </w:tr>
      <w:tr>
        <w:trPr>
          <w:tblHeader w:val="false"/>
        </w:trPr>
        <w:tc>
          <w:tcPr>
            <w:tcW w:type="dxa" w:w="1200"/>
          </w:tcPr>
          <w:p>
            <w:pPr>
              <w:spacing w:after="40"/>
            </w:pPr>
            <w:r>
              <w:rPr>
                <w:rFonts w:ascii="Calibri" w:cs="Calibri" w:eastAsia="Calibri" w:hAnsi="Calibri"/>
                <w:sz w:val="22"/>
                <w:szCs w:val="22"/>
              </w:rPr>
              <w:t xml:space="preserve">ADR-61</w:t>
            </w:r>
          </w:p>
        </w:tc>
        <w:tc>
          <w:tcPr>
            <w:tcW w:type="dxa" w:w="3160"/>
          </w:tcPr>
          <w:p>
            <w:pPr>
              <w:spacing w:after="40"/>
            </w:pPr>
            <w:r>
              <w:rPr>
                <w:rFonts w:ascii="Calibri" w:cs="Calibri" w:eastAsia="Calibri" w:hAnsi="Calibri"/>
                <w:sz w:val="22"/>
                <w:szCs w:val="22"/>
              </w:rPr>
              <w:t xml:space="preserve">Delivery Channel Strategy</w:t>
            </w:r>
          </w:p>
        </w:tc>
        <w:tc>
          <w:tcPr>
            <w:tcW w:type="dxa" w:w="5000"/>
          </w:tcPr>
          <w:p>
            <w:pPr>
              <w:spacing w:after="40"/>
            </w:pPr>
            <w:r>
              <w:rPr>
                <w:rFonts w:ascii="Calibri" w:cs="Calibri" w:eastAsia="Calibri" w:hAnsi="Calibri"/>
                <w:sz w:val="22"/>
                <w:szCs w:val="22"/>
              </w:rPr>
              <w:t xml:space="preserve">Complement model: direct + intelligence</w:t>
            </w:r>
          </w:p>
        </w:tc>
      </w:tr>
      <w:tr>
        <w:trPr>
          <w:tblHeader w:val="false"/>
        </w:trPr>
        <w:tc>
          <w:tcPr>
            <w:tcW w:type="dxa" w:w="1200"/>
            <w:shd w:fill="F5F5F5" w:color="auto" w:val="clear"/>
          </w:tcPr>
          <w:p>
            <w:pPr>
              <w:spacing w:after="40"/>
            </w:pPr>
            <w:r>
              <w:rPr>
                <w:rFonts w:ascii="Calibri" w:cs="Calibri" w:eastAsia="Calibri" w:hAnsi="Calibri"/>
                <w:sz w:val="22"/>
                <w:szCs w:val="22"/>
              </w:rPr>
              <w:t xml:space="preserve">ADR-62</w:t>
            </w:r>
          </w:p>
        </w:tc>
        <w:tc>
          <w:tcPr>
            <w:tcW w:type="dxa" w:w="3160"/>
            <w:shd w:fill="F5F5F5" w:color="auto" w:val="clear"/>
          </w:tcPr>
          <w:p>
            <w:pPr>
              <w:spacing w:after="40"/>
            </w:pPr>
            <w:r>
              <w:rPr>
                <w:rFonts w:ascii="Calibri" w:cs="Calibri" w:eastAsia="Calibri" w:hAnsi="Calibri"/>
                <w:sz w:val="22"/>
                <w:szCs w:val="22"/>
              </w:rPr>
              <w:t xml:space="preserve">Competitive Moat</w:t>
            </w:r>
          </w:p>
        </w:tc>
        <w:tc>
          <w:tcPr>
            <w:tcW w:type="dxa" w:w="5000"/>
            <w:shd w:fill="F5F5F5" w:color="auto" w:val="clear"/>
          </w:tcPr>
          <w:p>
            <w:pPr>
              <w:spacing w:after="40"/>
            </w:pPr>
            <w:r>
              <w:rPr>
                <w:rFonts w:ascii="Calibri" w:cs="Calibri" w:eastAsia="Calibri" w:hAnsi="Calibri"/>
                <w:sz w:val="22"/>
                <w:szCs w:val="22"/>
              </w:rPr>
              <w:t xml:space="preserve">Impossible Triangle + three-layer defense</w:t>
            </w:r>
          </w:p>
        </w:tc>
      </w:tr>
    </w:tbl>
    <w:p>
      <w:pPr>
        <w:spacing w:after="200"/>
      </w:pPr>
    </w:p>
    <w:p>
      <w:pPr>
        <w:spacing w:after="120" w:line="276"/>
      </w:pPr>
      <w:r>
        <w:rPr>
          <w:rFonts w:ascii="Calibri" w:cs="Calibri" w:eastAsia="Calibri" w:hAnsi="Calibri"/>
          <w:b/>
          <w:bCs/>
          <w:sz w:val="22"/>
          <w:szCs w:val="22"/>
        </w:rPr>
        <w:t xml:space="preserve">ADR Cluster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560"/>
        <w:gridCol w:w="5200"/>
      </w:tblGrid>
      <w:tr>
        <w:trPr>
          <w:tblHeader/>
        </w:trPr>
        <w:tc>
          <w:tcPr>
            <w:tcW w:type="dxa" w:w="1600"/>
            <w:shd w:fill="1B7A4A" w:color="auto" w:val="clear"/>
          </w:tcPr>
          <w:p>
            <w:pPr>
              <w:spacing w:after="40"/>
            </w:pPr>
            <w:r>
              <w:rPr>
                <w:rFonts w:ascii="Calibri" w:cs="Calibri" w:eastAsia="Calibri" w:hAnsi="Calibri"/>
                <w:b/>
                <w:bCs/>
                <w:color w:val="FFFFFF"/>
                <w:sz w:val="22"/>
                <w:szCs w:val="22"/>
              </w:rPr>
              <w:t xml:space="preserve">ADR Range</w:t>
            </w:r>
          </w:p>
        </w:tc>
        <w:tc>
          <w:tcPr>
            <w:tcW w:type="dxa" w:w="2560"/>
            <w:shd w:fill="1B7A4A" w:color="auto" w:val="clear"/>
          </w:tcPr>
          <w:p>
            <w:pPr>
              <w:spacing w:after="40"/>
            </w:pPr>
            <w:r>
              <w:rPr>
                <w:rFonts w:ascii="Calibri" w:cs="Calibri" w:eastAsia="Calibri" w:hAnsi="Calibri"/>
                <w:b/>
                <w:bCs/>
                <w:color w:val="FFFFFF"/>
                <w:sz w:val="22"/>
                <w:szCs w:val="22"/>
              </w:rPr>
              <w:t xml:space="preserve">Domain</w:t>
            </w:r>
          </w:p>
        </w:tc>
        <w:tc>
          <w:tcPr>
            <w:tcW w:type="dxa" w:w="5200"/>
            <w:shd w:fill="1B7A4A" w:color="auto" w:val="clear"/>
          </w:tcPr>
          <w:p>
            <w:pPr>
              <w:spacing w:after="40"/>
            </w:pPr>
            <w:r>
              <w:rPr>
                <w:rFonts w:ascii="Calibri" w:cs="Calibri" w:eastAsia="Calibri" w:hAnsi="Calibri"/>
                <w:b/>
                <w:bCs/>
                <w:color w:val="FFFFFF"/>
                <w:sz w:val="22"/>
                <w:szCs w:val="22"/>
              </w:rPr>
              <w:t xml:space="preserve">Key Decisions</w:t>
            </w:r>
          </w:p>
        </w:tc>
      </w:tr>
      <w:tr>
        <w:trPr>
          <w:tblHeader w:val="false"/>
        </w:trPr>
        <w:tc>
          <w:tcPr>
            <w:tcW w:type="dxa" w:w="1600"/>
          </w:tcPr>
          <w:p>
            <w:pPr>
              <w:spacing w:after="40"/>
            </w:pPr>
            <w:r>
              <w:rPr>
                <w:rFonts w:ascii="Calibri" w:cs="Calibri" w:eastAsia="Calibri" w:hAnsi="Calibri"/>
                <w:sz w:val="22"/>
                <w:szCs w:val="22"/>
              </w:rPr>
              <w:t xml:space="preserve">01-05</w:t>
            </w:r>
          </w:p>
        </w:tc>
        <w:tc>
          <w:tcPr>
            <w:tcW w:type="dxa" w:w="2560"/>
          </w:tcPr>
          <w:p>
            <w:pPr>
              <w:spacing w:after="40"/>
            </w:pPr>
            <w:r>
              <w:rPr>
                <w:rFonts w:ascii="Calibri" w:cs="Calibri" w:eastAsia="Calibri" w:hAnsi="Calibri"/>
                <w:sz w:val="22"/>
                <w:szCs w:val="22"/>
              </w:rPr>
              <w:t xml:space="preserve">Data Harvesting</w:t>
            </w:r>
          </w:p>
        </w:tc>
        <w:tc>
          <w:tcPr>
            <w:tcW w:type="dxa" w:w="5200"/>
          </w:tcPr>
          <w:p>
            <w:pPr>
              <w:spacing w:after="40"/>
            </w:pPr>
            <w:r>
              <w:rPr>
                <w:rFonts w:ascii="Calibri" w:cs="Calibri" w:eastAsia="Calibri" w:hAnsi="Calibri"/>
                <w:sz w:val="22"/>
                <w:szCs w:val="22"/>
              </w:rPr>
              <w:t xml:space="preserve">Multi-source connectors, tiered onboarding</w:t>
            </w:r>
          </w:p>
        </w:tc>
      </w:tr>
      <w:tr>
        <w:trPr>
          <w:tblHeader w:val="false"/>
        </w:trPr>
        <w:tc>
          <w:tcPr>
            <w:tcW w:type="dxa" w:w="1600"/>
            <w:shd w:fill="F5F5F5" w:color="auto" w:val="clear"/>
          </w:tcPr>
          <w:p>
            <w:pPr>
              <w:spacing w:after="40"/>
            </w:pPr>
            <w:r>
              <w:rPr>
                <w:rFonts w:ascii="Calibri" w:cs="Calibri" w:eastAsia="Calibri" w:hAnsi="Calibri"/>
                <w:sz w:val="22"/>
                <w:szCs w:val="22"/>
              </w:rPr>
              <w:t xml:space="preserve">06-11</w:t>
            </w:r>
          </w:p>
        </w:tc>
        <w:tc>
          <w:tcPr>
            <w:tcW w:type="dxa" w:w="2560"/>
            <w:shd w:fill="F5F5F5" w:color="auto" w:val="clear"/>
          </w:tcPr>
          <w:p>
            <w:pPr>
              <w:spacing w:after="40"/>
            </w:pPr>
            <w:r>
              <w:rPr>
                <w:rFonts w:ascii="Calibri" w:cs="Calibri" w:eastAsia="Calibri" w:hAnsi="Calibri"/>
                <w:sz w:val="22"/>
                <w:szCs w:val="22"/>
              </w:rPr>
              <w:t xml:space="preserve">Insight Engine</w:t>
            </w:r>
          </w:p>
        </w:tc>
        <w:tc>
          <w:tcPr>
            <w:tcW w:type="dxa" w:w="5200"/>
            <w:shd w:fill="F5F5F5" w:color="auto" w:val="clear"/>
          </w:tcPr>
          <w:p>
            <w:pPr>
              <w:spacing w:after="40"/>
            </w:pPr>
            <w:r>
              <w:rPr>
                <w:rFonts w:ascii="Calibri" w:cs="Calibri" w:eastAsia="Calibri" w:hAnsi="Calibri"/>
                <w:sz w:val="22"/>
                <w:szCs w:val="22"/>
              </w:rPr>
              <w:t xml:space="preserve">On-device processing, AES-256-GCM, Arweave ledger</w:t>
            </w:r>
          </w:p>
        </w:tc>
      </w:tr>
      <w:tr>
        <w:trPr>
          <w:tblHeader w:val="false"/>
        </w:trPr>
        <w:tc>
          <w:tcPr>
            <w:tcW w:type="dxa" w:w="1600"/>
          </w:tcPr>
          <w:p>
            <w:pPr>
              <w:spacing w:after="40"/>
            </w:pPr>
            <w:r>
              <w:rPr>
                <w:rFonts w:ascii="Calibri" w:cs="Calibri" w:eastAsia="Calibri" w:hAnsi="Calibri"/>
                <w:sz w:val="22"/>
                <w:szCs w:val="22"/>
              </w:rPr>
              <w:t xml:space="preserve">12-16</w:t>
            </w:r>
          </w:p>
        </w:tc>
        <w:tc>
          <w:tcPr>
            <w:tcW w:type="dxa" w:w="2560"/>
          </w:tcPr>
          <w:p>
            <w:pPr>
              <w:spacing w:after="40"/>
            </w:pPr>
            <w:r>
              <w:rPr>
                <w:rFonts w:ascii="Calibri" w:cs="Calibri" w:eastAsia="Calibri" w:hAnsi="Calibri"/>
                <w:sz w:val="22"/>
                <w:szCs w:val="22"/>
              </w:rPr>
              <w:t xml:space="preserve">Privacy &amp; Exchange</w:t>
            </w:r>
          </w:p>
        </w:tc>
        <w:tc>
          <w:tcPr>
            <w:tcW w:type="dxa" w:w="5200"/>
          </w:tcPr>
          <w:p>
            <w:pPr>
              <w:spacing w:after="40"/>
            </w:pPr>
            <w:r>
              <w:rPr>
                <w:rFonts w:ascii="Calibri" w:cs="Calibri" w:eastAsia="Calibri" w:hAnsi="Calibri"/>
                <w:sz w:val="22"/>
                <w:szCs w:val="22"/>
              </w:rPr>
              <w:t xml:space="preserve">Consent tokens, differential privacy, health guardrails</w:t>
            </w:r>
          </w:p>
        </w:tc>
      </w:tr>
      <w:tr>
        <w:trPr>
          <w:tblHeader w:val="false"/>
        </w:trPr>
        <w:tc>
          <w:tcPr>
            <w:tcW w:type="dxa" w:w="1600"/>
            <w:shd w:fill="F5F5F5" w:color="auto" w:val="clear"/>
          </w:tcPr>
          <w:p>
            <w:pPr>
              <w:spacing w:after="40"/>
            </w:pPr>
            <w:r>
              <w:rPr>
                <w:rFonts w:ascii="Calibri" w:cs="Calibri" w:eastAsia="Calibri" w:hAnsi="Calibri"/>
                <w:sz w:val="22"/>
                <w:szCs w:val="22"/>
              </w:rPr>
              <w:t xml:space="preserve">17-19</w:t>
            </w:r>
          </w:p>
        </w:tc>
        <w:tc>
          <w:tcPr>
            <w:tcW w:type="dxa" w:w="2560"/>
            <w:shd w:fill="F5F5F5" w:color="auto" w:val="clear"/>
          </w:tcPr>
          <w:p>
            <w:pPr>
              <w:spacing w:after="40"/>
            </w:pPr>
            <w:r>
              <w:rPr>
                <w:rFonts w:ascii="Calibri" w:cs="Calibri" w:eastAsia="Calibri" w:hAnsi="Calibri"/>
                <w:sz w:val="22"/>
                <w:szCs w:val="22"/>
              </w:rPr>
              <w:t xml:space="preserve">SoulMind</w:t>
            </w:r>
          </w:p>
        </w:tc>
        <w:tc>
          <w:tcPr>
            <w:tcW w:type="dxa" w:w="5200"/>
            <w:shd w:fill="F5F5F5" w:color="auto" w:val="clear"/>
          </w:tcPr>
          <w:p>
            <w:pPr>
              <w:spacing w:after="40"/>
            </w:pPr>
            <w:r>
              <w:rPr>
                <w:rFonts w:ascii="Calibri" w:cs="Calibri" w:eastAsia="Calibri" w:hAnsi="Calibri"/>
                <w:sz w:val="22"/>
                <w:szCs w:val="22"/>
              </w:rPr>
              <w:t xml:space="preserve">Two-phase model, depth score progression</w:t>
            </w:r>
          </w:p>
        </w:tc>
      </w:tr>
      <w:tr>
        <w:trPr>
          <w:tblHeader w:val="false"/>
        </w:trPr>
        <w:tc>
          <w:tcPr>
            <w:tcW w:type="dxa" w:w="1600"/>
          </w:tcPr>
          <w:p>
            <w:pPr>
              <w:spacing w:after="40"/>
            </w:pPr>
            <w:r>
              <w:rPr>
                <w:rFonts w:ascii="Calibri" w:cs="Calibri" w:eastAsia="Calibri" w:hAnsi="Calibri"/>
                <w:sz w:val="22"/>
                <w:szCs w:val="22"/>
              </w:rPr>
              <w:t xml:space="preserve">20-25</w:t>
            </w:r>
          </w:p>
        </w:tc>
        <w:tc>
          <w:tcPr>
            <w:tcW w:type="dxa" w:w="2560"/>
          </w:tcPr>
          <w:p>
            <w:pPr>
              <w:spacing w:after="40"/>
            </w:pPr>
            <w:r>
              <w:rPr>
                <w:rFonts w:ascii="Calibri" w:cs="Calibri" w:eastAsia="Calibri" w:hAnsi="Calibri"/>
                <w:sz w:val="22"/>
                <w:szCs w:val="22"/>
              </w:rPr>
              <w:t xml:space="preserve">Matching &amp; Consent</w:t>
            </w:r>
          </w:p>
        </w:tc>
        <w:tc>
          <w:tcPr>
            <w:tcW w:type="dxa" w:w="5200"/>
          </w:tcPr>
          <w:p>
            <w:pPr>
              <w:spacing w:after="40"/>
            </w:pPr>
            <w:r>
              <w:rPr>
                <w:rFonts w:ascii="Calibri" w:cs="Calibri" w:eastAsia="Calibri" w:hAnsi="Calibri"/>
                <w:sz w:val="22"/>
                <w:szCs w:val="22"/>
              </w:rPr>
              <w:t xml:space="preserve">Four-level engagement, competitive bidding, yield scoring</w:t>
            </w:r>
          </w:p>
        </w:tc>
      </w:tr>
      <w:tr>
        <w:trPr>
          <w:tblHeader w:val="false"/>
        </w:trPr>
        <w:tc>
          <w:tcPr>
            <w:tcW w:type="dxa" w:w="1600"/>
            <w:shd w:fill="F5F5F5" w:color="auto" w:val="clear"/>
          </w:tcPr>
          <w:p>
            <w:pPr>
              <w:spacing w:after="40"/>
            </w:pPr>
            <w:r>
              <w:rPr>
                <w:rFonts w:ascii="Calibri" w:cs="Calibri" w:eastAsia="Calibri" w:hAnsi="Calibri"/>
                <w:sz w:val="22"/>
                <w:szCs w:val="22"/>
              </w:rPr>
              <w:t xml:space="preserve">26-32</w:t>
            </w:r>
          </w:p>
        </w:tc>
        <w:tc>
          <w:tcPr>
            <w:tcW w:type="dxa" w:w="2560"/>
            <w:shd w:fill="F5F5F5" w:color="auto" w:val="clear"/>
          </w:tcPr>
          <w:p>
            <w:pPr>
              <w:spacing w:after="40"/>
            </w:pPr>
            <w:r>
              <w:rPr>
                <w:rFonts w:ascii="Calibri" w:cs="Calibri" w:eastAsia="Calibri" w:hAnsi="Calibri"/>
                <w:sz w:val="22"/>
                <w:szCs w:val="22"/>
              </w:rPr>
              <w:t xml:space="preserve">Infrastructure</w:t>
            </w:r>
          </w:p>
        </w:tc>
        <w:tc>
          <w:tcPr>
            <w:tcW w:type="dxa" w:w="5200"/>
            <w:shd w:fill="F5F5F5" w:color="auto" w:val="clear"/>
          </w:tcPr>
          <w:p>
            <w:pPr>
              <w:spacing w:after="40"/>
            </w:pPr>
            <w:r>
              <w:rPr>
                <w:rFonts w:ascii="Calibri" w:cs="Calibri" w:eastAsia="Calibri" w:hAnsi="Calibri"/>
                <w:sz w:val="22"/>
                <w:szCs w:val="22"/>
              </w:rPr>
              <w:t xml:space="preserve">PostgreSQL metadata, WebAuthn passkeys, Coinbase wallet</w:t>
            </w:r>
          </w:p>
        </w:tc>
      </w:tr>
      <w:tr>
        <w:trPr>
          <w:tblHeader w:val="false"/>
        </w:trPr>
        <w:tc>
          <w:tcPr>
            <w:tcW w:type="dxa" w:w="1600"/>
          </w:tcPr>
          <w:p>
            <w:pPr>
              <w:spacing w:after="40"/>
            </w:pPr>
            <w:r>
              <w:rPr>
                <w:rFonts w:ascii="Calibri" w:cs="Calibri" w:eastAsia="Calibri" w:hAnsi="Calibri"/>
                <w:sz w:val="22"/>
                <w:szCs w:val="22"/>
              </w:rPr>
              <w:t xml:space="preserve">33-37</w:t>
            </w:r>
          </w:p>
        </w:tc>
        <w:tc>
          <w:tcPr>
            <w:tcW w:type="dxa" w:w="2560"/>
          </w:tcPr>
          <w:p>
            <w:pPr>
              <w:spacing w:after="40"/>
            </w:pPr>
            <w:r>
              <w:rPr>
                <w:rFonts w:ascii="Calibri" w:cs="Calibri" w:eastAsia="Calibri" w:hAnsi="Calibri"/>
                <w:sz w:val="22"/>
                <w:szCs w:val="22"/>
              </w:rPr>
              <w:t xml:space="preserve">On-Chain Settlement</w:t>
            </w:r>
          </w:p>
        </w:tc>
        <w:tc>
          <w:tcPr>
            <w:tcW w:type="dxa" w:w="5200"/>
          </w:tcPr>
          <w:p>
            <w:pPr>
              <w:spacing w:after="40"/>
            </w:pPr>
            <w:r>
              <w:rPr>
                <w:rFonts w:ascii="Calibri" w:cs="Calibri" w:eastAsia="Calibri" w:hAnsi="Calibri"/>
                <w:sz w:val="22"/>
                <w:szCs w:val="22"/>
              </w:rPr>
              <w:t xml:space="preserve">USDC escrow, fee split, re-identification mitigation</w:t>
            </w:r>
          </w:p>
        </w:tc>
      </w:tr>
      <w:tr>
        <w:trPr>
          <w:tblHeader w:val="false"/>
        </w:trPr>
        <w:tc>
          <w:tcPr>
            <w:tcW w:type="dxa" w:w="1600"/>
            <w:shd w:fill="F5F5F5" w:color="auto" w:val="clear"/>
          </w:tcPr>
          <w:p>
            <w:pPr>
              <w:spacing w:after="40"/>
            </w:pPr>
            <w:r>
              <w:rPr>
                <w:rFonts w:ascii="Calibri" w:cs="Calibri" w:eastAsia="Calibri" w:hAnsi="Calibri"/>
                <w:sz w:val="22"/>
                <w:szCs w:val="22"/>
              </w:rPr>
              <w:t xml:space="preserve">38-41</w:t>
            </w:r>
          </w:p>
        </w:tc>
        <w:tc>
          <w:tcPr>
            <w:tcW w:type="dxa" w:w="2560"/>
            <w:shd w:fill="F5F5F5" w:color="auto" w:val="clear"/>
          </w:tcPr>
          <w:p>
            <w:pPr>
              <w:spacing w:after="40"/>
            </w:pPr>
            <w:r>
              <w:rPr>
                <w:rFonts w:ascii="Calibri" w:cs="Calibri" w:eastAsia="Calibri" w:hAnsi="Calibri"/>
                <w:sz w:val="22"/>
                <w:szCs w:val="22"/>
              </w:rPr>
              <w:t xml:space="preserve">BYOD Connectors</w:t>
            </w:r>
          </w:p>
        </w:tc>
        <w:tc>
          <w:tcPr>
            <w:tcW w:type="dxa" w:w="5200"/>
            <w:shd w:fill="F5F5F5" w:color="auto" w:val="clear"/>
          </w:tcPr>
          <w:p>
            <w:pPr>
              <w:spacing w:after="40"/>
            </w:pPr>
            <w:r>
              <w:rPr>
                <w:rFonts w:ascii="Calibri" w:cs="Calibri" w:eastAsia="Calibri" w:hAnsi="Calibri"/>
                <w:sz w:val="22"/>
                <w:szCs w:val="22"/>
              </w:rPr>
              <w:t xml:space="preserve">Amazon, Uber, Instagram exports</w:t>
            </w:r>
          </w:p>
        </w:tc>
      </w:tr>
      <w:tr>
        <w:trPr>
          <w:tblHeader w:val="false"/>
        </w:trPr>
        <w:tc>
          <w:tcPr>
            <w:tcW w:type="dxa" w:w="1600"/>
          </w:tcPr>
          <w:p>
            <w:pPr>
              <w:spacing w:after="40"/>
            </w:pPr>
            <w:r>
              <w:rPr>
                <w:rFonts w:ascii="Calibri" w:cs="Calibri" w:eastAsia="Calibri" w:hAnsi="Calibri"/>
                <w:sz w:val="22"/>
                <w:szCs w:val="22"/>
              </w:rPr>
              <w:t xml:space="preserve">42-48</w:t>
            </w:r>
          </w:p>
        </w:tc>
        <w:tc>
          <w:tcPr>
            <w:tcW w:type="dxa" w:w="2560"/>
          </w:tcPr>
          <w:p>
            <w:pPr>
              <w:spacing w:after="40"/>
            </w:pPr>
            <w:r>
              <w:rPr>
                <w:rFonts w:ascii="Calibri" w:cs="Calibri" w:eastAsia="Calibri" w:hAnsi="Calibri"/>
                <w:sz w:val="22"/>
                <w:szCs w:val="22"/>
              </w:rPr>
              <w:t xml:space="preserve">Platform Surfaces</w:t>
            </w:r>
          </w:p>
        </w:tc>
        <w:tc>
          <w:tcPr>
            <w:tcW w:type="dxa" w:w="5200"/>
          </w:tcPr>
          <w:p>
            <w:pPr>
              <w:spacing w:after="40"/>
            </w:pPr>
            <w:r>
              <w:rPr>
                <w:rFonts w:ascii="Calibri" w:cs="Calibri" w:eastAsia="Calibri" w:hAnsi="Calibri"/>
                <w:sz w:val="22"/>
                <w:szCs w:val="22"/>
              </w:rPr>
              <w:t xml:space="preserve">Brand lifecycle, operator console, brand portal, soul app</w:t>
            </w:r>
          </w:p>
        </w:tc>
      </w:tr>
      <w:tr>
        <w:trPr>
          <w:tblHeader w:val="false"/>
        </w:trPr>
        <w:tc>
          <w:tcPr>
            <w:tcW w:type="dxa" w:w="1600"/>
            <w:shd w:fill="F5F5F5" w:color="auto" w:val="clear"/>
          </w:tcPr>
          <w:p>
            <w:pPr>
              <w:spacing w:after="40"/>
            </w:pPr>
            <w:r>
              <w:rPr>
                <w:rFonts w:ascii="Calibri" w:cs="Calibri" w:eastAsia="Calibri" w:hAnsi="Calibri"/>
                <w:sz w:val="22"/>
                <w:szCs w:val="22"/>
              </w:rPr>
              <w:t xml:space="preserve">49-55</w:t>
            </w:r>
          </w:p>
        </w:tc>
        <w:tc>
          <w:tcPr>
            <w:tcW w:type="dxa" w:w="2560"/>
            <w:shd w:fill="F5F5F5" w:color="auto" w:val="clear"/>
          </w:tcPr>
          <w:p>
            <w:pPr>
              <w:spacing w:after="40"/>
            </w:pPr>
            <w:r>
              <w:rPr>
                <w:rFonts w:ascii="Calibri" w:cs="Calibri" w:eastAsia="Calibri" w:hAnsi="Calibri"/>
                <w:sz w:val="22"/>
                <w:szCs w:val="22"/>
              </w:rPr>
              <w:t xml:space="preserve">Matching &amp; Scoring</w:t>
            </w:r>
          </w:p>
        </w:tc>
        <w:tc>
          <w:tcPr>
            <w:tcW w:type="dxa" w:w="5200"/>
            <w:shd w:fill="F5F5F5" w:color="auto" w:val="clear"/>
          </w:tcPr>
          <w:p>
            <w:pPr>
              <w:spacing w:after="40"/>
            </w:pPr>
            <w:r>
              <w:rPr>
                <w:rFonts w:ascii="Calibri" w:cs="Calibri" w:eastAsia="Calibri" w:hAnsi="Calibri"/>
                <w:sz w:val="22"/>
                <w:szCs w:val="22"/>
              </w:rPr>
              <w:t xml:space="preserve">Semantic engine, brand scoring, intent marketplace</w:t>
            </w:r>
          </w:p>
        </w:tc>
      </w:tr>
      <w:tr>
        <w:trPr>
          <w:tblHeader w:val="false"/>
        </w:trPr>
        <w:tc>
          <w:tcPr>
            <w:tcW w:type="dxa" w:w="1600"/>
          </w:tcPr>
          <w:p>
            <w:pPr>
              <w:spacing w:after="40"/>
            </w:pPr>
            <w:r>
              <w:rPr>
                <w:rFonts w:ascii="Calibri" w:cs="Calibri" w:eastAsia="Calibri" w:hAnsi="Calibri"/>
                <w:sz w:val="22"/>
                <w:szCs w:val="22"/>
              </w:rPr>
              <w:t xml:space="preserve">58-62</w:t>
            </w:r>
          </w:p>
        </w:tc>
        <w:tc>
          <w:tcPr>
            <w:tcW w:type="dxa" w:w="2560"/>
          </w:tcPr>
          <w:p>
            <w:pPr>
              <w:spacing w:after="40"/>
            </w:pPr>
            <w:r>
              <w:rPr>
                <w:rFonts w:ascii="Calibri" w:cs="Calibri" w:eastAsia="Calibri" w:hAnsi="Calibri"/>
                <w:sz w:val="22"/>
                <w:szCs w:val="22"/>
              </w:rPr>
              <w:t xml:space="preserve">Revenue &amp; Moat</w:t>
            </w:r>
          </w:p>
        </w:tc>
        <w:tc>
          <w:tcPr>
            <w:tcW w:type="dxa" w:w="5200"/>
          </w:tcPr>
          <w:p>
            <w:pPr>
              <w:spacing w:after="40"/>
            </w:pPr>
            <w:r>
              <w:rPr>
                <w:rFonts w:ascii="Calibri" w:cs="Calibri" w:eastAsia="Calibri" w:hAnsi="Calibri"/>
                <w:sz w:val="22"/>
                <w:szCs w:val="22"/>
              </w:rPr>
              <w:t xml:space="preserve">Revenue model, data rights, brand protection, positioning, competitive moat</w:t>
            </w:r>
          </w:p>
        </w:tc>
      </w:tr>
    </w:tbl>
    <w:p>
      <w:pPr>
        <w:spacing w:after="200"/>
      </w:pPr>
    </w:p>
    <w:p>
      <w:pPr>
        <w:spacing w:after="120" w:line="276"/>
      </w:pPr>
      <w:r>
        <w:rPr>
          <w:rFonts w:ascii="Calibri" w:cs="Calibri" w:eastAsia="Calibri" w:hAnsi="Calibri"/>
          <w:sz w:val="22"/>
          <w:szCs w:val="22"/>
        </w:rPr>
        <w:t xml:space="preserve">All 62 ADRs are available on request.</w:t>
      </w:r>
    </w:p>
    <w:p>
      <w:pPr>
        <w:spacing w:after="200"/>
      </w:pPr>
    </w:p>
    <w:p>
      <w:pPr>
        <w:spacing w:after="200" w:line="276"/>
      </w:pPr>
      <w:r>
        <w:rPr>
          <w:rFonts w:ascii="Calibri" w:cs="Calibri" w:eastAsia="Calibri" w:hAnsi="Calibri"/>
          <w:b/>
          <w:bCs/>
          <w:color w:val="1B7A4A"/>
          <w:sz w:val="28"/>
          <w:szCs w:val="28"/>
        </w:rPr>
        <w:t xml:space="preserve">CONCLUSION</w:t>
      </w:r>
    </w:p>
    <w:p>
      <w:pPr>
        <w:spacing w:after="120" w:line="276"/>
      </w:pPr>
      <w:r>
        <w:rPr>
          <w:rFonts w:ascii="Calibri" w:cs="Calibri" w:eastAsia="Calibri" w:hAnsi="Calibri"/>
          <w:sz w:val="22"/>
          <w:szCs w:val="22"/>
        </w:rPr>
        <w:t xml:space="preserve">The programmatic advertising industry wastes $26.8 billion annually across seven categories: supply chain fees, fraud, non-viewable impressions, wrong audience targeting, carbon costs, data leakage, and measurement gaps.</w:t>
      </w:r>
    </w:p>
    <w:p>
      <w:pPr>
        <w:spacing w:after="200"/>
      </w:pPr>
    </w:p>
    <w:p>
      <w:pPr>
        <w:spacing w:after="120" w:line="276"/>
      </w:pPr>
      <w:r>
        <w:rPr>
          <w:rFonts w:ascii="Calibri" w:cs="Calibri" w:eastAsia="Calibri" w:hAnsi="Calibri"/>
          <w:sz w:val="22"/>
          <w:szCs w:val="22"/>
        </w:rPr>
        <w:t xml:space="preserve">PersonalOS eliminates these structurally — not by being a better ad network, but by being a fundamentally different kind of platform: one where the consumer is the agent, not the product.</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1B7A4A" w:color="auto" w:val="clear"/>
          </w:tcPr>
          <w:p>
            <w:pPr>
              <w:spacing w:after="40"/>
            </w:pPr>
            <w:r>
              <w:rPr>
                <w:rFonts w:ascii="Calibri" w:cs="Calibri" w:eastAsia="Calibri" w:hAnsi="Calibri"/>
                <w:b/>
                <w:bCs/>
                <w:color w:val="FFFFFF"/>
                <w:sz w:val="22"/>
                <w:szCs w:val="22"/>
              </w:rPr>
              <w:t xml:space="preserve">What You Get</w:t>
            </w:r>
          </w:p>
        </w:tc>
        <w:tc>
          <w:tcPr>
            <w:tcW w:type="dxa" w:w="3120"/>
            <w:shd w:fill="1B7A4A" w:color="auto" w:val="clear"/>
          </w:tcPr>
          <w:p>
            <w:pPr>
              <w:spacing w:after="40"/>
            </w:pPr>
            <w:r>
              <w:rPr>
                <w:rFonts w:ascii="Calibri" w:cs="Calibri" w:eastAsia="Calibri" w:hAnsi="Calibri"/>
                <w:b/>
                <w:bCs/>
                <w:color w:val="FFFFFF"/>
                <w:sz w:val="22"/>
                <w:szCs w:val="22"/>
              </w:rPr>
              <w:t xml:space="preserve">Efficiency</w:t>
            </w:r>
          </w:p>
        </w:tc>
        <w:tc>
          <w:tcPr>
            <w:tcW w:type="dxa" w:w="3120"/>
            <w:shd w:fill="1B7A4A" w:color="auto" w:val="clear"/>
          </w:tcPr>
          <w:p>
            <w:pPr>
              <w:spacing w:after="40"/>
            </w:pPr>
            <w:r>
              <w:rPr>
                <w:rFonts w:ascii="Calibri" w:cs="Calibri" w:eastAsia="Calibri" w:hAnsi="Calibri"/>
                <w:b/>
                <w:bCs/>
                <w:color w:val="FFFFFF"/>
                <w:sz w:val="22"/>
                <w:szCs w:val="22"/>
              </w:rPr>
              <w:t xml:space="preserve">Evidence</w:t>
            </w:r>
          </w:p>
        </w:tc>
      </w:tr>
      <w:tr>
        <w:trPr>
          <w:tblHeader w:val="false"/>
        </w:trPr>
        <w:tc>
          <w:tcPr>
            <w:tcW w:type="dxa" w:w="3120"/>
          </w:tcPr>
          <w:p>
            <w:pPr>
              <w:spacing w:after="40"/>
            </w:pPr>
            <w:r>
              <w:rPr>
                <w:rFonts w:ascii="Calibri" w:cs="Calibri" w:eastAsia="Calibri" w:hAnsi="Calibri"/>
                <w:sz w:val="22"/>
                <w:szCs w:val="22"/>
              </w:rPr>
              <w:t xml:space="preserve">Direct channel (Soul App)</w:t>
            </w:r>
          </w:p>
        </w:tc>
        <w:tc>
          <w:tcPr>
            <w:tcW w:type="dxa" w:w="3120"/>
          </w:tcPr>
          <w:p>
            <w:pPr>
              <w:spacing w:after="40"/>
            </w:pPr>
            <w:r>
              <w:rPr>
                <w:rFonts w:ascii="Calibri" w:cs="Calibri" w:eastAsia="Calibri" w:hAnsi="Calibri"/>
                <w:sz w:val="22"/>
                <w:szCs w:val="22"/>
              </w:rPr>
              <w:t xml:space="preserve">41x vs. programmatic</w:t>
            </w:r>
          </w:p>
        </w:tc>
        <w:tc>
          <w:tcPr>
            <w:tcW w:type="dxa" w:w="3120"/>
          </w:tcPr>
          <w:p>
            <w:pPr>
              <w:spacing w:after="40"/>
            </w:pPr>
            <w:r>
              <w:rPr>
                <w:rFonts w:ascii="Calibri" w:cs="Calibri" w:eastAsia="Calibri" w:hAnsi="Calibri"/>
                <w:sz w:val="22"/>
                <w:szCs w:val="22"/>
              </w:rPr>
              <w:t xml:space="preserve">Smart contract on Base blockchain</w:t>
            </w:r>
          </w:p>
        </w:tc>
      </w:tr>
      <w:tr>
        <w:trPr>
          <w:tblHeader w:val="false"/>
        </w:trPr>
        <w:tc>
          <w:tcPr>
            <w:tcW w:type="dxa" w:w="3120"/>
            <w:shd w:fill="F5F5F5" w:color="auto" w:val="clear"/>
          </w:tcPr>
          <w:p>
            <w:pPr>
              <w:spacing w:after="40"/>
            </w:pPr>
            <w:r>
              <w:rPr>
                <w:rFonts w:ascii="Calibri" w:cs="Calibri" w:eastAsia="Calibri" w:hAnsi="Calibri"/>
                <w:sz w:val="22"/>
                <w:szCs w:val="22"/>
              </w:rPr>
              <w:t xml:space="preserve">Existing channel optimization</w:t>
            </w:r>
          </w:p>
        </w:tc>
        <w:tc>
          <w:tcPr>
            <w:tcW w:type="dxa" w:w="3120"/>
            <w:shd w:fill="F5F5F5" w:color="auto" w:val="clear"/>
          </w:tcPr>
          <w:p>
            <w:pPr>
              <w:spacing w:after="40"/>
            </w:pPr>
            <w:r>
              <w:rPr>
                <w:rFonts w:ascii="Calibri" w:cs="Calibri" w:eastAsia="Calibri" w:hAnsi="Calibri"/>
                <w:sz w:val="22"/>
                <w:szCs w:val="22"/>
              </w:rPr>
              <w:t xml:space="preserve">3-5x improvement</w:t>
            </w:r>
          </w:p>
        </w:tc>
        <w:tc>
          <w:tcPr>
            <w:tcW w:type="dxa" w:w="3120"/>
            <w:shd w:fill="F5F5F5" w:color="auto" w:val="clear"/>
          </w:tcPr>
          <w:p>
            <w:pPr>
              <w:spacing w:after="40"/>
            </w:pPr>
            <w:r>
              <w:rPr>
                <w:rFonts w:ascii="Calibri" w:cs="Calibri" w:eastAsia="Calibri" w:hAnsi="Calibri"/>
                <w:sz w:val="22"/>
                <w:szCs w:val="22"/>
              </w:rPr>
              <w:t xml:space="preserve">Aggregate conversion data from verified intent</w:t>
            </w:r>
          </w:p>
        </w:tc>
      </w:tr>
      <w:tr>
        <w:trPr>
          <w:tblHeader w:val="false"/>
        </w:trPr>
        <w:tc>
          <w:tcPr>
            <w:tcW w:type="dxa" w:w="3120"/>
          </w:tcPr>
          <w:p>
            <w:pPr>
              <w:spacing w:after="40"/>
            </w:pPr>
            <w:r>
              <w:rPr>
                <w:rFonts w:ascii="Calibri" w:cs="Calibri" w:eastAsia="Calibri" w:hAnsi="Calibri"/>
                <w:sz w:val="22"/>
                <w:szCs w:val="22"/>
              </w:rPr>
              <w:t xml:space="preserve">Portfolio effect (blended)</w:t>
            </w:r>
          </w:p>
        </w:tc>
        <w:tc>
          <w:tcPr>
            <w:tcW w:type="dxa" w:w="3120"/>
          </w:tcPr>
          <w:p>
            <w:pPr>
              <w:spacing w:after="40"/>
            </w:pPr>
            <w:r>
              <w:rPr>
                <w:rFonts w:ascii="Calibri" w:cs="Calibri" w:eastAsia="Calibri" w:hAnsi="Calibri"/>
                <w:sz w:val="22"/>
                <w:szCs w:val="22"/>
              </w:rPr>
              <w:t xml:space="preserve">8-15x overall</w:t>
            </w:r>
          </w:p>
        </w:tc>
        <w:tc>
          <w:tcPr>
            <w:tcW w:type="dxa" w:w="3120"/>
          </w:tcPr>
          <w:p>
            <w:pPr>
              <w:spacing w:after="40"/>
            </w:pPr>
            <w:r>
              <w:rPr>
                <w:rFonts w:ascii="Calibri" w:cs="Calibri" w:eastAsia="Calibri" w:hAnsi="Calibri"/>
                <w:sz w:val="22"/>
                <w:szCs w:val="22"/>
              </w:rPr>
              <w:t xml:space="preserve">Both channels combined</w:t>
            </w:r>
          </w:p>
        </w:tc>
      </w:tr>
    </w:tbl>
    <w:p>
      <w:pPr>
        <w:spacing w:after="200"/>
      </w:pPr>
    </w:p>
    <w:p>
      <w:pPr>
        <w:spacing w:after="120" w:line="276"/>
      </w:pPr>
      <w:r>
        <w:rPr>
          <w:rFonts w:ascii="Calibri" w:cs="Calibri" w:eastAsia="Calibri" w:hAnsi="Calibri"/>
          <w:sz w:val="22"/>
          <w:szCs w:val="22"/>
        </w:rPr>
        <w:t xml:space="preserve">PersonalOS doesn't ask you to believe a pitch deck. It asks you to verify a smart contract. The 10% fee is bytecode. The settlements are on-chain. The matching is consent-gated. The data stays on the consumer's device. Every claim in this paper traces to code you can audit.</w:t>
      </w:r>
    </w:p>
    <w:p>
      <w:pPr>
        <w:spacing w:after="200"/>
      </w:pPr>
    </w:p>
    <w:p>
      <w:pPr>
        <w:spacing w:after="120" w:line="276"/>
      </w:pPr>
      <w:r>
        <w:rPr>
          <w:rFonts w:ascii="Calibri" w:cs="Calibri" w:eastAsia="Calibri" w:hAnsi="Calibri"/>
          <w:b/>
          <w:bCs/>
          <w:sz w:val="22"/>
          <w:szCs w:val="22"/>
        </w:rPr>
        <w:t xml:space="preserve">Start for free. See demand. Test with $199/month. Scale on proof.</w:t>
      </w:r>
    </w:p>
    <w:p>
      <w:pPr>
        <w:spacing w:after="200"/>
      </w:pPr>
    </w:p>
    <w:p>
      <w:pPr>
        <w:spacing w:after="120" w:line="276"/>
        <w:jc w:val="center"/>
      </w:pPr>
      <w:r>
        <w:rPr>
          <w:rFonts w:ascii="Calibri" w:cs="Calibri" w:eastAsia="Calibri" w:hAnsi="Calibri"/>
          <w:color w:val="666666"/>
          <w:sz w:val="20"/>
          <w:szCs w:val="20"/>
        </w:rPr>
        <w:t xml:space="preserve">PersonalOS Inc. — July 2026 · hello@personalos.io</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100"/>
    </w:pPr>
    <w:r>
      <w:rPr>
        <w:rFonts w:ascii="Calibri" w:cs="Calibri" w:eastAsia="Calibri" w:hAnsi="Calibri"/>
        <w:color w:val="999999"/>
        <w:sz w:val="18"/>
        <w:szCs w:val="18"/>
      </w:rPr>
      <w:t xml:space="preserve">Confidential — For Decision Makers</w:t>
    </w:r>
    <w:r>
      <w:rPr>
        <w:rFonts w:ascii="Calibri" w:cs="Calibri" w:eastAsia="Calibri" w:hAnsi="Calibri"/>
        <w:sz w:val="18"/>
        <w:szCs w:val="18"/>
      </w:rPr>
      <w:t xml:space="preserve">		</w:t>
    </w:r>
    <w:r>
      <w:rPr>
        <w:rFonts w:ascii="Calibri" w:cs="Calibri" w:eastAsia="Calibri" w:hAnsi="Calibri"/>
        <w:color w:val="999999"/>
        <w:sz w:val="18"/>
        <w:szCs w:val="18"/>
      </w:rPr>
      <w:t xml:space="preserve">Page </w:t>
    </w:r>
    <w:r>
      <w:rPr>
        <w:rFonts w:ascii="Calibri" w:cs="Calibri" w:eastAsia="Calibri" w:hAnsi="Calibri"/>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20" w:line="276"/>
      <w:jc w:val="right"/>
    </w:pPr>
    <w:r>
      <w:rPr>
        <w:rFonts w:ascii="Calibri" w:cs="Calibri" w:eastAsia="Calibri" w:hAnsi="Calibri"/>
        <w:color w:val="999999"/>
        <w:sz w:val="18"/>
        <w:szCs w:val="18"/>
      </w:rPr>
      <w:t xml:space="preserve">PersonalOS — White Paper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2026-07-18T22:58:00.631Z</dcterms:created>
  <dcterms:modified xsi:type="dcterms:W3CDTF">2026-07-18T22:58:00.634Z</dcterms:modified>
</cp:coreProperties>
</file>

<file path=docProps/custom.xml><?xml version="1.0" encoding="utf-8"?>
<Properties xmlns="http://schemas.openxmlformats.org/officeDocument/2006/custom-properties" xmlns:vt="http://schemas.openxmlformats.org/officeDocument/2006/docPropsVTypes"/>
</file>