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Calibri" w:cs="Calibri" w:eastAsia="Calibri" w:hAnsi="Calibri"/>
          <w:b/>
          <w:bCs/>
          <w:color w:val="8B0000"/>
          <w:sz w:val="48"/>
          <w:szCs w:val="48"/>
        </w:rPr>
        <w:t xml:space="preserve">The $500 Billion Ad Waste Problem</w:t>
      </w:r>
    </w:p>
    <w:p>
      <w:pPr>
        <w:spacing w:after="400"/>
        <w:jc w:val="center"/>
      </w:pPr>
      <w:r>
        <w:rPr>
          <w:rFonts w:ascii="Calibri" w:cs="Calibri" w:eastAsia="Calibri" w:hAnsi="Calibri"/>
          <w:i/>
          <w:iCs/>
          <w:color w:val="666666"/>
          <w:sz w:val="24"/>
          <w:szCs w:val="24"/>
        </w:rPr>
        <w:t xml:space="preserve">How PersonalOS Eliminates Intermediary Tax, Inference Error, and Signal Fraud</w:t>
      </w:r>
    </w:p>
    <w:p>
      <w:pPr>
        <w:spacing w:after="400"/>
        <w:jc w:val="center"/>
      </w:pPr>
      <w:r>
        <w:rPr>
          <w:rFonts w:ascii="Calibri" w:cs="Calibri" w:eastAsia="Calibri" w:hAnsi="Calibri"/>
          <w:i/>
          <w:iCs/>
          <w:color w:val="666666"/>
          <w:sz w:val="24"/>
          <w:szCs w:val="24"/>
        </w:rPr>
        <w:t xml:space="preserve">Version 2.0 — July 2026 — Updated with Intent Declaration Architecture (ADR-53/54/55)</w:t>
      </w:r>
    </w:p>
    <w:p>
      <w:pPr>
        <w:spacing w:after="200"/>
      </w:pPr>
    </w:p>
    <w:p>
      <w:pPr>
        <w:pStyle w:val="Heading1"/>
        <w:spacing w:after="200" w:before="400"/>
      </w:pPr>
      <w:r>
        <w:rPr>
          <w:rFonts w:ascii="Calibri" w:cs="Calibri" w:eastAsia="Calibri" w:hAnsi="Calibri"/>
          <w:b/>
          <w:bCs/>
          <w:color w:val="8B0000"/>
          <w:sz w:val="32"/>
          <w:szCs w:val="32"/>
        </w:rPr>
        <w:t xml:space="preserve">1. The Scale of Ad Waste</w:t>
      </w:r>
    </w:p>
    <w:p>
      <w:pPr>
        <w:spacing w:after="150"/>
      </w:pPr>
      <w:r>
        <w:rPr>
          <w:rFonts w:ascii="Calibri" w:cs="Calibri" w:eastAsia="Calibri" w:hAnsi="Calibri"/>
          <w:sz w:val="22"/>
          <w:szCs w:val="22"/>
        </w:rPr>
        <w:t xml:space="preserve">Digital advertising is a $680 billion global market. The industry's own auditors — the ANA (Association of National Advertisers) and WFA (World Federation of Advertisers) — have repeatedly documented that less than 44% of programmatic spend reaches the consumer. For every dollar a brand spends, 56 cents or more is absorbed by intermediaries, lost to fraud, or wasted on irrelevant audiences.</w:t>
      </w:r>
    </w:p>
    <w:p>
      <w:pPr>
        <w:spacing w:after="150"/>
      </w:pPr>
      <w:r>
        <w:rPr>
          <w:rFonts w:ascii="Calibri" w:cs="Calibri" w:eastAsia="Calibri" w:hAnsi="Calibri"/>
          <w:sz w:val="22"/>
          <w:szCs w:val="22"/>
        </w:rPr>
        <w:t xml:space="preserve">This is not a technology problem waiting for better algorithms. It is a structural problem created by the architecture of the digital advertising supply chain.</w:t>
      </w:r>
    </w:p>
    <w:p>
      <w:pPr>
        <w:pStyle w:val="Heading2"/>
        <w:spacing w:after="150" w:before="300"/>
      </w:pPr>
      <w:r>
        <w:rPr>
          <w:rFonts w:ascii="Calibri" w:cs="Calibri" w:eastAsia="Calibri" w:hAnsi="Calibri"/>
          <w:b/>
          <w:bCs/>
          <w:color w:val="A0522D"/>
          <w:sz w:val="26"/>
          <w:szCs w:val="26"/>
        </w:rPr>
        <w:t xml:space="preserve">1.1 The Intermediary Tax</w:t>
      </w:r>
    </w:p>
    <w:p>
      <w:pPr>
        <w:spacing w:after="150"/>
      </w:pPr>
      <w:r>
        <w:rPr>
          <w:rFonts w:ascii="Calibri" w:cs="Calibri" w:eastAsia="Calibri" w:hAnsi="Calibri"/>
          <w:sz w:val="22"/>
          <w:szCs w:val="22"/>
        </w:rPr>
        <w:t xml:space="preserve">A typical programmatic transaction passes through 5-15 intermediaries between brand and consumer:</w:t>
      </w:r>
    </w:p>
    <w:p>
      <w:pPr>
        <w:pStyle w:val="ListParagraph"/>
        <w:numPr>
          <w:ilvl w:val="0"/>
          <w:numId w:val="1"/>
        </w:numPr>
        <w:spacing w:after="80"/>
      </w:pPr>
      <w:r>
        <w:rPr>
          <w:rFonts w:ascii="Calibri" w:cs="Calibri" w:eastAsia="Calibri" w:hAnsi="Calibri"/>
          <w:sz w:val="22"/>
          <w:szCs w:val="22"/>
        </w:rPr>
        <w:t xml:space="preserve">Demand-Side Platform (DSP): 10-15% fee</w:t>
      </w:r>
    </w:p>
    <w:p>
      <w:pPr>
        <w:pStyle w:val="ListParagraph"/>
        <w:numPr>
          <w:ilvl w:val="0"/>
          <w:numId w:val="1"/>
        </w:numPr>
        <w:spacing w:after="80"/>
      </w:pPr>
      <w:r>
        <w:rPr>
          <w:rFonts w:ascii="Calibri" w:cs="Calibri" w:eastAsia="Calibri" w:hAnsi="Calibri"/>
          <w:sz w:val="22"/>
          <w:szCs w:val="22"/>
        </w:rPr>
        <w:t xml:space="preserve">Supply-Side Platform (SSP): 10-15% fee</w:t>
      </w:r>
    </w:p>
    <w:p>
      <w:pPr>
        <w:pStyle w:val="ListParagraph"/>
        <w:numPr>
          <w:ilvl w:val="0"/>
          <w:numId w:val="1"/>
        </w:numPr>
        <w:spacing w:after="80"/>
      </w:pPr>
      <w:r>
        <w:rPr>
          <w:rFonts w:ascii="Calibri" w:cs="Calibri" w:eastAsia="Calibri" w:hAnsi="Calibri"/>
          <w:sz w:val="22"/>
          <w:szCs w:val="22"/>
        </w:rPr>
        <w:t xml:space="preserve">Data Management Platform (DMP): 5-10% fee</w:t>
      </w:r>
    </w:p>
    <w:p>
      <w:pPr>
        <w:pStyle w:val="ListParagraph"/>
        <w:numPr>
          <w:ilvl w:val="0"/>
          <w:numId w:val="1"/>
        </w:numPr>
        <w:spacing w:after="80"/>
      </w:pPr>
      <w:r>
        <w:rPr>
          <w:rFonts w:ascii="Calibri" w:cs="Calibri" w:eastAsia="Calibri" w:hAnsi="Calibri"/>
          <w:sz w:val="22"/>
          <w:szCs w:val="22"/>
        </w:rPr>
        <w:t xml:space="preserve">Verification &amp; Viewability vendors: 3-5% fee</w:t>
      </w:r>
    </w:p>
    <w:p>
      <w:pPr>
        <w:pStyle w:val="ListParagraph"/>
        <w:numPr>
          <w:ilvl w:val="0"/>
          <w:numId w:val="1"/>
        </w:numPr>
        <w:spacing w:after="80"/>
      </w:pPr>
      <w:r>
        <w:rPr>
          <w:rFonts w:ascii="Calibri" w:cs="Calibri" w:eastAsia="Calibri" w:hAnsi="Calibri"/>
          <w:sz w:val="22"/>
          <w:szCs w:val="22"/>
        </w:rPr>
        <w:t xml:space="preserve">Ad Exchange spread: 5-10%</w:t>
      </w:r>
    </w:p>
    <w:p>
      <w:pPr>
        <w:pStyle w:val="ListParagraph"/>
        <w:numPr>
          <w:ilvl w:val="0"/>
          <w:numId w:val="1"/>
        </w:numPr>
        <w:spacing w:after="80"/>
      </w:pPr>
      <w:r>
        <w:rPr>
          <w:rFonts w:ascii="Calibri" w:cs="Calibri" w:eastAsia="Calibri" w:hAnsi="Calibri"/>
          <w:sz w:val="22"/>
          <w:szCs w:val="22"/>
        </w:rPr>
        <w:t xml:space="preserve">Agency trading desk margin: 3-7%</w:t>
      </w:r>
    </w:p>
    <w:p>
      <w:pPr>
        <w:spacing w:after="150"/>
      </w:pPr>
      <w:r>
        <w:rPr>
          <w:rFonts w:ascii="Calibri" w:cs="Calibri" w:eastAsia="Calibri" w:hAnsi="Calibri"/>
          <w:sz w:val="22"/>
          <w:szCs w:val="22"/>
        </w:rPr>
        <w:t xml:space="preserve">Cumulative intermediary tax: 36-62% of the original spend. The ANA's 2023 Programmatic Media Supply Chain Transparency Study confirmed that in open-web programmatic, only $0.36 of every dollar reaches a consumer. The remaining $0.64 is extracted by the supply chain.</w:t>
      </w:r>
    </w:p>
    <w:p>
      <w:pPr>
        <w:pStyle w:val="Heading2"/>
        <w:spacing w:after="150" w:before="300"/>
      </w:pPr>
      <w:r>
        <w:rPr>
          <w:rFonts w:ascii="Calibri" w:cs="Calibri" w:eastAsia="Calibri" w:hAnsi="Calibri"/>
          <w:b/>
          <w:bCs/>
          <w:color w:val="A0522D"/>
          <w:sz w:val="26"/>
          <w:szCs w:val="26"/>
        </w:rPr>
        <w:t xml:space="preserve">1.2 The Inference Problem</w:t>
      </w:r>
    </w:p>
    <w:p>
      <w:pPr>
        <w:spacing w:after="150"/>
      </w:pPr>
      <w:r>
        <w:rPr>
          <w:rFonts w:ascii="Calibri" w:cs="Calibri" w:eastAsia="Calibri" w:hAnsi="Calibri"/>
          <w:sz w:val="22"/>
          <w:szCs w:val="22"/>
        </w:rPr>
        <w:t xml:space="preserve">Beyond intermediary costs, the fundamental matching mechanism is broken. Brands pay to reach audiences defined by probabilistic inference — "people who look like past buyers" or "users who visited competitor sites." These signals are:</w:t>
      </w:r>
    </w:p>
    <w:p>
      <w:pPr>
        <w:pStyle w:val="ListParagraph"/>
        <w:numPr>
          <w:ilvl w:val="0"/>
          <w:numId w:val="1"/>
        </w:numPr>
        <w:spacing w:after="80"/>
      </w:pPr>
      <w:r>
        <w:rPr>
          <w:rFonts w:ascii="Calibri" w:cs="Calibri" w:eastAsia="Calibri" w:hAnsi="Calibri"/>
          <w:sz w:val="22"/>
          <w:szCs w:val="22"/>
        </w:rPr>
        <w:t xml:space="preserve">Stale: Behavioral data is days to weeks old by the time it reaches a bidding system.</w:t>
      </w:r>
    </w:p>
    <w:p>
      <w:pPr>
        <w:pStyle w:val="ListParagraph"/>
        <w:numPr>
          <w:ilvl w:val="0"/>
          <w:numId w:val="1"/>
        </w:numPr>
        <w:spacing w:after="80"/>
      </w:pPr>
      <w:r>
        <w:rPr>
          <w:rFonts w:ascii="Calibri" w:cs="Calibri" w:eastAsia="Calibri" w:hAnsi="Calibri"/>
          <w:sz w:val="22"/>
          <w:szCs w:val="22"/>
        </w:rPr>
        <w:t xml:space="preserve">Incomplete: Each platform (Meta, Google, Amazon) sees only its own silo. No platform has cross-source behavioral context.</w:t>
      </w:r>
    </w:p>
    <w:p>
      <w:pPr>
        <w:pStyle w:val="ListParagraph"/>
        <w:numPr>
          <w:ilvl w:val="0"/>
          <w:numId w:val="1"/>
        </w:numPr>
        <w:spacing w:after="80"/>
      </w:pPr>
      <w:r>
        <w:rPr>
          <w:rFonts w:ascii="Calibri" w:cs="Calibri" w:eastAsia="Calibri" w:hAnsi="Calibri"/>
          <w:sz w:val="22"/>
          <w:szCs w:val="22"/>
        </w:rPr>
        <w:t xml:space="preserve">Inferred, not declared: The consumer never said they want this product. A browsing pattern was interpreted as interest.</w:t>
      </w:r>
    </w:p>
    <w:p>
      <w:pPr>
        <w:pStyle w:val="ListParagraph"/>
        <w:numPr>
          <w:ilvl w:val="0"/>
          <w:numId w:val="1"/>
        </w:numPr>
        <w:spacing w:after="80"/>
      </w:pPr>
      <w:r>
        <w:rPr>
          <w:rFonts w:ascii="Calibri" w:cs="Calibri" w:eastAsia="Calibri" w:hAnsi="Calibri"/>
          <w:sz w:val="22"/>
          <w:szCs w:val="22"/>
        </w:rPr>
        <w:t xml:space="preserve">Unverified: There is no mechanism to confirm whether the inferred interest was real.</w:t>
      </w:r>
    </w:p>
    <w:p>
      <w:pPr>
        <w:spacing w:after="150"/>
      </w:pPr>
      <w:r>
        <w:rPr>
          <w:rFonts w:ascii="Calibri" w:cs="Calibri" w:eastAsia="Calibri" w:hAnsi="Calibri"/>
          <w:sz w:val="22"/>
          <w:szCs w:val="22"/>
        </w:rPr>
        <w:t xml:space="preserve">Result: Meta and Google lookalike audiences convert at 3-8%. Brands accept this because there is no alternative — until now.</w:t>
      </w:r>
    </w:p>
    <w:p>
      <w:pPr>
        <w:pStyle w:val="Heading2"/>
        <w:spacing w:after="150" w:before="300"/>
      </w:pPr>
      <w:r>
        <w:rPr>
          <w:rFonts w:ascii="Calibri" w:cs="Calibri" w:eastAsia="Calibri" w:hAnsi="Calibri"/>
          <w:b/>
          <w:bCs/>
          <w:color w:val="A0522D"/>
          <w:sz w:val="26"/>
          <w:szCs w:val="26"/>
        </w:rPr>
        <w:t xml:space="preserve">1.3 The Fraud Problem</w:t>
      </w:r>
    </w:p>
    <w:p>
      <w:pPr>
        <w:spacing w:after="150"/>
      </w:pPr>
      <w:r>
        <w:rPr>
          <w:rFonts w:ascii="Calibri" w:cs="Calibri" w:eastAsia="Calibri" w:hAnsi="Calibri"/>
          <w:sz w:val="22"/>
          <w:szCs w:val="22"/>
        </w:rPr>
        <w:t xml:space="preserve">The opacity of the programmatic supply chain enables systematic fraud:</w:t>
      </w:r>
    </w:p>
    <w:p>
      <w:pPr>
        <w:pStyle w:val="ListParagraph"/>
        <w:numPr>
          <w:ilvl w:val="0"/>
          <w:numId w:val="1"/>
        </w:numPr>
        <w:spacing w:after="80"/>
      </w:pPr>
      <w:r>
        <w:rPr>
          <w:rFonts w:ascii="Calibri" w:cs="Calibri" w:eastAsia="Calibri" w:hAnsi="Calibri"/>
          <w:sz w:val="22"/>
          <w:szCs w:val="22"/>
        </w:rPr>
        <w:t xml:space="preserve">Bot traffic: 15-30% of programmatic impressions are non-human (IAS/MOAT estimates).</w:t>
      </w:r>
    </w:p>
    <w:p>
      <w:pPr>
        <w:pStyle w:val="ListParagraph"/>
        <w:numPr>
          <w:ilvl w:val="0"/>
          <w:numId w:val="1"/>
        </w:numPr>
        <w:spacing w:after="80"/>
      </w:pPr>
      <w:r>
        <w:rPr>
          <w:rFonts w:ascii="Calibri" w:cs="Calibri" w:eastAsia="Calibri" w:hAnsi="Calibri"/>
          <w:sz w:val="22"/>
          <w:szCs w:val="22"/>
        </w:rPr>
        <w:t xml:space="preserve">Domain spoofing: Low-quality sites misrepresent themselves as premium publishers.</w:t>
      </w:r>
    </w:p>
    <w:p>
      <w:pPr>
        <w:pStyle w:val="ListParagraph"/>
        <w:numPr>
          <w:ilvl w:val="0"/>
          <w:numId w:val="1"/>
        </w:numPr>
        <w:spacing w:after="80"/>
      </w:pPr>
      <w:r>
        <w:rPr>
          <w:rFonts w:ascii="Calibri" w:cs="Calibri" w:eastAsia="Calibri" w:hAnsi="Calibri"/>
          <w:sz w:val="22"/>
          <w:szCs w:val="22"/>
        </w:rPr>
        <w:t xml:space="preserve">Click injection: Mobile apps generate fake ad interactions.</w:t>
      </w:r>
    </w:p>
    <w:p>
      <w:pPr>
        <w:pStyle w:val="ListParagraph"/>
        <w:numPr>
          <w:ilvl w:val="0"/>
          <w:numId w:val="1"/>
        </w:numPr>
        <w:spacing w:after="80"/>
      </w:pPr>
      <w:r>
        <w:rPr>
          <w:rFonts w:ascii="Calibri" w:cs="Calibri" w:eastAsia="Calibri" w:hAnsi="Calibri"/>
          <w:sz w:val="22"/>
          <w:szCs w:val="22"/>
        </w:rPr>
        <w:t xml:space="preserve">MFA sites (Made for Advertising): Sites designed to maximize ad impressions with no real audience value — accounting for up to 20% of programmatic spend.</w:t>
      </w:r>
    </w:p>
    <w:p>
      <w:pPr>
        <w:spacing w:after="150"/>
      </w:pPr>
      <w:r>
        <w:rPr>
          <w:rFonts w:ascii="Calibri" w:cs="Calibri" w:eastAsia="Calibri" w:hAnsi="Calibri"/>
          <w:sz w:val="22"/>
          <w:szCs w:val="22"/>
        </w:rPr>
        <w:t xml:space="preserve">Brands cannot distinguish real human attention from synthetic engagement because the supply chain is optimized for volume, not verification.</w:t>
      </w:r>
    </w:p>
    <w:p>
      <w:pPr>
        <w:pStyle w:val="Heading1"/>
        <w:spacing w:after="200" w:before="400"/>
      </w:pPr>
      <w:r>
        <w:rPr>
          <w:rFonts w:ascii="Calibri" w:cs="Calibri" w:eastAsia="Calibri" w:hAnsi="Calibri"/>
          <w:b/>
          <w:bCs/>
          <w:color w:val="8B0000"/>
          <w:sz w:val="32"/>
          <w:szCs w:val="32"/>
        </w:rPr>
        <w:t xml:space="preserve">2. PersonalOS: Structural Elimination of Ad Waste</w:t>
      </w:r>
    </w:p>
    <w:p>
      <w:pPr>
        <w:spacing w:after="150"/>
      </w:pPr>
      <w:r>
        <w:rPr>
          <w:rFonts w:ascii="Calibri" w:cs="Calibri" w:eastAsia="Calibri" w:hAnsi="Calibri"/>
          <w:sz w:val="22"/>
          <w:szCs w:val="22"/>
        </w:rPr>
        <w:t xml:space="preserve">PersonalOS does not optimize the existing supply chain — it replaces it. Three architectural decisions eliminate the three sources of waste:</w:t>
      </w:r>
    </w:p>
    <w:p>
      <w:pPr>
        <w:pStyle w:val="Heading2"/>
        <w:spacing w:after="150" w:before="300"/>
      </w:pPr>
      <w:r>
        <w:rPr>
          <w:rFonts w:ascii="Calibri" w:cs="Calibri" w:eastAsia="Calibri" w:hAnsi="Calibri"/>
          <w:b/>
          <w:bCs/>
          <w:color w:val="A0522D"/>
          <w:sz w:val="26"/>
          <w:szCs w:val="26"/>
        </w:rPr>
        <w:t xml:space="preserve">2.1 Eliminating the Intermediary Tax: Direct Settlement</w:t>
      </w:r>
    </w:p>
    <w:p>
      <w:pPr>
        <w:spacing w:after="150"/>
      </w:pPr>
      <w:r>
        <w:rPr>
          <w:rFonts w:ascii="Calibri" w:cs="Calibri" w:eastAsia="Calibri" w:hAnsi="Calibri"/>
          <w:sz w:val="22"/>
          <w:szCs w:val="22"/>
        </w:rPr>
        <w:t xml:space="preserve">PersonalOS removes all intermediaries between brand and consumer:</w:t>
      </w:r>
    </w:p>
    <w:p>
      <w:pPr>
        <w:pStyle w:val="ListParagraph"/>
        <w:numPr>
          <w:ilvl w:val="0"/>
          <w:numId w:val="1"/>
        </w:numPr>
        <w:spacing w:after="80"/>
      </w:pPr>
      <w:r>
        <w:rPr>
          <w:rFonts w:ascii="Calibri" w:cs="Calibri" w:eastAsia="Calibri" w:hAnsi="Calibri"/>
          <w:sz w:val="22"/>
          <w:szCs w:val="22"/>
        </w:rPr>
        <w:t xml:space="preserve">Brands deposit USDC directly into a smart contract (BudgetEscrow.sol on Base chain).</w:t>
      </w:r>
    </w:p>
    <w:p>
      <w:pPr>
        <w:pStyle w:val="ListParagraph"/>
        <w:numPr>
          <w:ilvl w:val="0"/>
          <w:numId w:val="1"/>
        </w:numPr>
        <w:spacing w:after="80"/>
      </w:pPr>
      <w:r>
        <w:rPr>
          <w:rFonts w:ascii="Calibri" w:cs="Calibri" w:eastAsia="Calibri" w:hAnsi="Calibri"/>
          <w:sz w:val="22"/>
          <w:szCs w:val="22"/>
        </w:rPr>
        <w:t xml:space="preserve">On claim, the contract atomically settles 90% to the soul and 10% as platform fee.</w:t>
      </w:r>
    </w:p>
    <w:p>
      <w:pPr>
        <w:pStyle w:val="ListParagraph"/>
        <w:numPr>
          <w:ilvl w:val="0"/>
          <w:numId w:val="1"/>
        </w:numPr>
        <w:spacing w:after="80"/>
      </w:pPr>
      <w:r>
        <w:rPr>
          <w:rFonts w:ascii="Calibri" w:cs="Calibri" w:eastAsia="Calibri" w:hAnsi="Calibri"/>
          <w:sz w:val="22"/>
          <w:szCs w:val="22"/>
        </w:rPr>
        <w:t xml:space="preserve">The fee split is immutable in bytecode — PersonalOS cannot change it post-deployment.</w:t>
      </w:r>
    </w:p>
    <w:p>
      <w:pPr>
        <w:pStyle w:val="ListParagraph"/>
        <w:numPr>
          <w:ilvl w:val="0"/>
          <w:numId w:val="1"/>
        </w:numPr>
        <w:spacing w:after="80"/>
      </w:pPr>
      <w:r>
        <w:rPr>
          <w:rFonts w:ascii="Calibri" w:cs="Calibri" w:eastAsia="Calibri" w:hAnsi="Calibri"/>
          <w:sz w:val="22"/>
          <w:szCs w:val="22"/>
        </w:rPr>
        <w:t xml:space="preserve">Total intermediary cost: 10% (vs. 36-62% in programmatic).</w:t>
      </w:r>
    </w:p>
    <w:p>
      <w:pPr>
        <w:spacing w:after="150"/>
      </w:pPr>
      <w:r>
        <w:rPr>
          <w:rFonts w:ascii="Calibri" w:cs="Calibri" w:eastAsia="Calibri" w:hAnsi="Calibri"/>
          <w:sz w:val="22"/>
          <w:szCs w:val="22"/>
        </w:rPr>
        <w:t xml:space="preserve">There is no DSP, SSP, DMP, exchange, or agency desk. The smart contract is the entire settlement infrastructure. Every transaction is publicly verifiable on-chain.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8B0000"/>
          </w:tcPr>
          <w:p>
            <w:pPr>
              <w:jc w:val="center"/>
            </w:pPr>
            <w:r>
              <w:rPr>
                <w:rFonts w:ascii="Calibri" w:cs="Calibri" w:eastAsia="Calibri" w:hAnsi="Calibri"/>
                <w:b/>
                <w:bCs/>
                <w:color w:val="FFFFFF"/>
                <w:sz w:val="20"/>
                <w:szCs w:val="20"/>
              </w:rPr>
              <w:t xml:space="preserve">Cost Component</w:t>
            </w:r>
          </w:p>
        </w:tc>
        <w:tc>
          <w:tcPr>
            <w:tcW w:type="dxa" w:w="3000"/>
            <w:shd w:fill="8B0000"/>
          </w:tcPr>
          <w:p>
            <w:pPr>
              <w:jc w:val="center"/>
            </w:pPr>
            <w:r>
              <w:rPr>
                <w:rFonts w:ascii="Calibri" w:cs="Calibri" w:eastAsia="Calibri" w:hAnsi="Calibri"/>
                <w:b/>
                <w:bCs/>
                <w:color w:val="FFFFFF"/>
                <w:sz w:val="20"/>
                <w:szCs w:val="20"/>
              </w:rPr>
              <w:t xml:space="preserve">Programmatic</w:t>
            </w:r>
          </w:p>
        </w:tc>
        <w:tc>
          <w:tcPr>
            <w:tcW w:type="dxa" w:w="3000"/>
            <w:shd w:fill="8B0000"/>
          </w:tcPr>
          <w:p>
            <w:pPr>
              <w:jc w:val="center"/>
            </w:pPr>
            <w:r>
              <w:rPr>
                <w:rFonts w:ascii="Calibri" w:cs="Calibri" w:eastAsia="Calibri" w:hAnsi="Calibri"/>
                <w:b/>
                <w:bCs/>
                <w:color w:val="FFFFFF"/>
                <w:sz w:val="20"/>
                <w:szCs w:val="20"/>
              </w:rPr>
              <w:t xml:space="preserve">PersonalOS</w:t>
            </w:r>
          </w:p>
        </w:tc>
      </w:tr>
      <w:tr>
        <w:tc>
          <w:tcPr>
            <w:tcW w:type="dxa" w:w="3000"/>
            <w:shd w:fill="FFF0F0"/>
          </w:tcPr>
          <w:p>
            <w:pPr>
              <w:spacing w:after="40" w:before="40"/>
            </w:pPr>
            <w:r>
              <w:rPr>
                <w:rFonts w:ascii="Calibri" w:cs="Calibri" w:eastAsia="Calibri" w:hAnsi="Calibri"/>
                <w:sz w:val="20"/>
                <w:szCs w:val="20"/>
              </w:rPr>
              <w:t xml:space="preserve">Intermediary fees</w:t>
            </w:r>
          </w:p>
        </w:tc>
        <w:tc>
          <w:tcPr>
            <w:tcW w:type="dxa" w:w="3000"/>
            <w:shd w:fill="FFF0F0"/>
          </w:tcPr>
          <w:p>
            <w:pPr>
              <w:spacing w:after="40" w:before="40"/>
            </w:pPr>
            <w:r>
              <w:rPr>
                <w:rFonts w:ascii="Calibri" w:cs="Calibri" w:eastAsia="Calibri" w:hAnsi="Calibri"/>
                <w:sz w:val="20"/>
                <w:szCs w:val="20"/>
              </w:rPr>
              <w:t xml:space="preserve">36-62%</w:t>
            </w:r>
          </w:p>
        </w:tc>
        <w:tc>
          <w:tcPr>
            <w:tcW w:type="dxa" w:w="3000"/>
            <w:shd w:fill="FFF0F0"/>
          </w:tcPr>
          <w:p>
            <w:pPr>
              <w:spacing w:after="40" w:before="40"/>
            </w:pPr>
            <w:r>
              <w:rPr>
                <w:rFonts w:ascii="Calibri" w:cs="Calibri" w:eastAsia="Calibri" w:hAnsi="Calibri"/>
                <w:sz w:val="20"/>
                <w:szCs w:val="20"/>
              </w:rPr>
              <w:t xml:space="preserve">0%</w:t>
            </w:r>
          </w:p>
        </w:tc>
      </w:tr>
      <w:tr>
        <w:tc>
          <w:tcPr>
            <w:tcW w:type="dxa" w:w="3000"/>
          </w:tcPr>
          <w:p>
            <w:pPr>
              <w:spacing w:after="40" w:before="40"/>
            </w:pPr>
            <w:r>
              <w:rPr>
                <w:rFonts w:ascii="Calibri" w:cs="Calibri" w:eastAsia="Calibri" w:hAnsi="Calibri"/>
                <w:sz w:val="20"/>
                <w:szCs w:val="20"/>
              </w:rPr>
              <w:t xml:space="preserve">Platform fee</w:t>
            </w:r>
          </w:p>
        </w:tc>
        <w:tc>
          <w:tcPr>
            <w:tcW w:type="dxa" w:w="3000"/>
          </w:tcPr>
          <w:p>
            <w:pPr>
              <w:spacing w:after="40" w:before="40"/>
            </w:pPr>
            <w:r>
              <w:rPr>
                <w:rFonts w:ascii="Calibri" w:cs="Calibri" w:eastAsia="Calibri" w:hAnsi="Calibri"/>
                <w:sz w:val="20"/>
                <w:szCs w:val="20"/>
              </w:rPr>
              <w:t xml:space="preserve">Included above</w:t>
            </w:r>
          </w:p>
        </w:tc>
        <w:tc>
          <w:tcPr>
            <w:tcW w:type="dxa" w:w="3000"/>
          </w:tcPr>
          <w:p>
            <w:pPr>
              <w:spacing w:after="40" w:before="40"/>
            </w:pPr>
            <w:r>
              <w:rPr>
                <w:rFonts w:ascii="Calibri" w:cs="Calibri" w:eastAsia="Calibri" w:hAnsi="Calibri"/>
                <w:sz w:val="20"/>
                <w:szCs w:val="20"/>
              </w:rPr>
              <w:t xml:space="preserve">10% (immutable)</w:t>
            </w:r>
          </w:p>
        </w:tc>
      </w:tr>
      <w:tr>
        <w:tc>
          <w:tcPr>
            <w:tcW w:type="dxa" w:w="3000"/>
            <w:shd w:fill="FFF0F0"/>
          </w:tcPr>
          <w:p>
            <w:pPr>
              <w:spacing w:after="40" w:before="40"/>
            </w:pPr>
            <w:r>
              <w:rPr>
                <w:rFonts w:ascii="Calibri" w:cs="Calibri" w:eastAsia="Calibri" w:hAnsi="Calibri"/>
                <w:sz w:val="20"/>
                <w:szCs w:val="20"/>
              </w:rPr>
              <w:t xml:space="preserve">Total to consumer</w:t>
            </w:r>
          </w:p>
        </w:tc>
        <w:tc>
          <w:tcPr>
            <w:tcW w:type="dxa" w:w="3000"/>
            <w:shd w:fill="FFF0F0"/>
          </w:tcPr>
          <w:p>
            <w:pPr>
              <w:spacing w:after="40" w:before="40"/>
            </w:pPr>
            <w:r>
              <w:rPr>
                <w:rFonts w:ascii="Calibri" w:cs="Calibri" w:eastAsia="Calibri" w:hAnsi="Calibri"/>
                <w:sz w:val="20"/>
                <w:szCs w:val="20"/>
              </w:rPr>
              <w:t xml:space="preserve">36-44%</w:t>
            </w:r>
          </w:p>
        </w:tc>
        <w:tc>
          <w:tcPr>
            <w:tcW w:type="dxa" w:w="3000"/>
            <w:shd w:fill="FFF0F0"/>
          </w:tcPr>
          <w:p>
            <w:pPr>
              <w:spacing w:after="40" w:before="40"/>
            </w:pPr>
            <w:r>
              <w:rPr>
                <w:rFonts w:ascii="Calibri" w:cs="Calibri" w:eastAsia="Calibri" w:hAnsi="Calibri"/>
                <w:sz w:val="20"/>
                <w:szCs w:val="20"/>
              </w:rPr>
              <w:t xml:space="preserve">90%</w:t>
            </w:r>
          </w:p>
        </w:tc>
      </w:tr>
      <w:tr>
        <w:tc>
          <w:tcPr>
            <w:tcW w:type="dxa" w:w="3000"/>
          </w:tcPr>
          <w:p>
            <w:pPr>
              <w:spacing w:after="40" w:before="40"/>
            </w:pPr>
            <w:r>
              <w:rPr>
                <w:rFonts w:ascii="Calibri" w:cs="Calibri" w:eastAsia="Calibri" w:hAnsi="Calibri"/>
                <w:sz w:val="20"/>
                <w:szCs w:val="20"/>
              </w:rPr>
              <w:t xml:space="preserve">Verification cost</w:t>
            </w:r>
          </w:p>
        </w:tc>
        <w:tc>
          <w:tcPr>
            <w:tcW w:type="dxa" w:w="3000"/>
          </w:tcPr>
          <w:p>
            <w:pPr>
              <w:spacing w:after="40" w:before="40"/>
            </w:pPr>
            <w:r>
              <w:rPr>
                <w:rFonts w:ascii="Calibri" w:cs="Calibri" w:eastAsia="Calibri" w:hAnsi="Calibri"/>
                <w:sz w:val="20"/>
                <w:szCs w:val="20"/>
              </w:rPr>
              <w:t xml:space="preserve">3-5%</w:t>
            </w:r>
          </w:p>
        </w:tc>
        <w:tc>
          <w:tcPr>
            <w:tcW w:type="dxa" w:w="3000"/>
          </w:tcPr>
          <w:p>
            <w:pPr>
              <w:spacing w:after="40" w:before="40"/>
            </w:pPr>
            <w:r>
              <w:rPr>
                <w:rFonts w:ascii="Calibri" w:cs="Calibri" w:eastAsia="Calibri" w:hAnsi="Calibri"/>
                <w:sz w:val="20"/>
                <w:szCs w:val="20"/>
              </w:rPr>
              <w:t xml:space="preserve">0% (on-chain)</w:t>
            </w:r>
          </w:p>
        </w:tc>
      </w:tr>
      <w:tr>
        <w:tc>
          <w:tcPr>
            <w:tcW w:type="dxa" w:w="3000"/>
            <w:shd w:fill="FFF0F0"/>
          </w:tcPr>
          <w:p>
            <w:pPr>
              <w:spacing w:after="40" w:before="40"/>
            </w:pPr>
            <w:r>
              <w:rPr>
                <w:rFonts w:ascii="Calibri" w:cs="Calibri" w:eastAsia="Calibri" w:hAnsi="Calibri"/>
                <w:sz w:val="20"/>
                <w:szCs w:val="20"/>
              </w:rPr>
              <w:t xml:space="preserve">Fraud-related waste</w:t>
            </w:r>
          </w:p>
        </w:tc>
        <w:tc>
          <w:tcPr>
            <w:tcW w:type="dxa" w:w="3000"/>
            <w:shd w:fill="FFF0F0"/>
          </w:tcPr>
          <w:p>
            <w:pPr>
              <w:spacing w:after="40" w:before="40"/>
            </w:pPr>
            <w:r>
              <w:rPr>
                <w:rFonts w:ascii="Calibri" w:cs="Calibri" w:eastAsia="Calibri" w:hAnsi="Calibri"/>
                <w:sz w:val="20"/>
                <w:szCs w:val="20"/>
              </w:rPr>
              <w:t xml:space="preserve">15-30%</w:t>
            </w:r>
          </w:p>
        </w:tc>
        <w:tc>
          <w:tcPr>
            <w:tcW w:type="dxa" w:w="3000"/>
            <w:shd w:fill="FFF0F0"/>
          </w:tcPr>
          <w:p>
            <w:pPr>
              <w:spacing w:after="40" w:before="40"/>
            </w:pPr>
            <w:r>
              <w:rPr>
                <w:rFonts w:ascii="Calibri" w:cs="Calibri" w:eastAsia="Calibri" w:hAnsi="Calibri"/>
                <w:sz w:val="20"/>
                <w:szCs w:val="20"/>
              </w:rPr>
              <w:t xml:space="preserve">~0% (verified humans)</w:t>
            </w:r>
          </w:p>
        </w:tc>
      </w:tr>
    </w:tbl>
    <w:p>
      <w:pPr>
        <w:pStyle w:val="Heading2"/>
        <w:spacing w:after="150" w:before="300"/>
      </w:pPr>
      <w:r>
        <w:rPr>
          <w:rFonts w:ascii="Calibri" w:cs="Calibri" w:eastAsia="Calibri" w:hAnsi="Calibri"/>
          <w:b/>
          <w:bCs/>
          <w:color w:val="A0522D"/>
          <w:sz w:val="26"/>
          <w:szCs w:val="26"/>
        </w:rPr>
        <w:t xml:space="preserve">2.2 Eliminating Inference Error: Declared &amp; Verified Intent (ADR-53)</w:t>
      </w:r>
    </w:p>
    <w:p>
      <w:pPr>
        <w:spacing w:after="150"/>
      </w:pPr>
      <w:r>
        <w:rPr>
          <w:rFonts w:ascii="Calibri" w:cs="Calibri" w:eastAsia="Calibri" w:hAnsi="Calibri"/>
          <w:sz w:val="22"/>
          <w:szCs w:val="22"/>
        </w:rPr>
        <w:t xml:space="preserve">The most transformative innovation in PersonalOS is the replacement of inferred interest with declared, verified intent. The four-level engagement model (ADR-53) creates a spectrum from passive consent to active purchase declaration: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8B0000"/>
          </w:tcPr>
          <w:p>
            <w:pPr>
              <w:jc w:val="center"/>
            </w:pPr>
            <w:r>
              <w:rPr>
                <w:rFonts w:ascii="Calibri" w:cs="Calibri" w:eastAsia="Calibri" w:hAnsi="Calibri"/>
                <w:b/>
                <w:bCs/>
                <w:color w:val="FFFFFF"/>
                <w:sz w:val="20"/>
                <w:szCs w:val="20"/>
              </w:rPr>
              <w:t xml:space="preserve">Level</w:t>
            </w:r>
          </w:p>
        </w:tc>
        <w:tc>
          <w:tcPr>
            <w:tcW w:type="dxa" w:w="2250"/>
            <w:shd w:fill="8B0000"/>
          </w:tcPr>
          <w:p>
            <w:pPr>
              <w:jc w:val="center"/>
            </w:pPr>
            <w:r>
              <w:rPr>
                <w:rFonts w:ascii="Calibri" w:cs="Calibri" w:eastAsia="Calibri" w:hAnsi="Calibri"/>
                <w:b/>
                <w:bCs/>
                <w:color w:val="FFFFFF"/>
                <w:sz w:val="20"/>
                <w:szCs w:val="20"/>
              </w:rPr>
              <w:t xml:space="preserve">Signal Type</w:t>
            </w:r>
          </w:p>
        </w:tc>
        <w:tc>
          <w:tcPr>
            <w:tcW w:type="dxa" w:w="2250"/>
            <w:shd w:fill="8B0000"/>
          </w:tcPr>
          <w:p>
            <w:pPr>
              <w:jc w:val="center"/>
            </w:pPr>
            <w:r>
              <w:rPr>
                <w:rFonts w:ascii="Calibri" w:cs="Calibri" w:eastAsia="Calibri" w:hAnsi="Calibri"/>
                <w:b/>
                <w:bCs/>
                <w:color w:val="FFFFFF"/>
                <w:sz w:val="20"/>
                <w:szCs w:val="20"/>
              </w:rPr>
              <w:t xml:space="preserve">Verification</w:t>
            </w:r>
          </w:p>
        </w:tc>
        <w:tc>
          <w:tcPr>
            <w:tcW w:type="dxa" w:w="2250"/>
            <w:shd w:fill="8B0000"/>
          </w:tcPr>
          <w:p>
            <w:pPr>
              <w:jc w:val="center"/>
            </w:pPr>
            <w:r>
              <w:rPr>
                <w:rFonts w:ascii="Calibri" w:cs="Calibri" w:eastAsia="Calibri" w:hAnsi="Calibri"/>
                <w:b/>
                <w:bCs/>
                <w:color w:val="FFFFFF"/>
                <w:sz w:val="20"/>
                <w:szCs w:val="20"/>
              </w:rPr>
              <w:t xml:space="preserve">Conversion Rate</w:t>
            </w:r>
          </w:p>
        </w:tc>
      </w:tr>
      <w:tr>
        <w:tc>
          <w:tcPr>
            <w:tcW w:type="dxa" w:w="2250"/>
            <w:shd w:fill="FFF0F0"/>
          </w:tcPr>
          <w:p>
            <w:pPr>
              <w:spacing w:after="40" w:before="40"/>
            </w:pPr>
            <w:r>
              <w:rPr>
                <w:rFonts w:ascii="Calibri" w:cs="Calibri" w:eastAsia="Calibri" w:hAnsi="Calibri"/>
                <w:sz w:val="20"/>
                <w:szCs w:val="20"/>
              </w:rPr>
              <w:t xml:space="preserve">0 - Off</w:t>
            </w:r>
          </w:p>
        </w:tc>
        <w:tc>
          <w:tcPr>
            <w:tcW w:type="dxa" w:w="2250"/>
            <w:shd w:fill="FFF0F0"/>
          </w:tcPr>
          <w:p>
            <w:pPr>
              <w:spacing w:after="40" w:before="40"/>
            </w:pPr>
            <w:r>
              <w:rPr>
                <w:rFonts w:ascii="Calibri" w:cs="Calibri" w:eastAsia="Calibri" w:hAnsi="Calibri"/>
                <w:sz w:val="20"/>
                <w:szCs w:val="20"/>
              </w:rPr>
              <w:t xml:space="preserve">No signal</w:t>
            </w:r>
          </w:p>
        </w:tc>
        <w:tc>
          <w:tcPr>
            <w:tcW w:type="dxa" w:w="2250"/>
            <w:shd w:fill="FFF0F0"/>
          </w:tcPr>
          <w:p>
            <w:pPr>
              <w:spacing w:after="40" w:before="40"/>
            </w:pPr>
            <w:r>
              <w:rPr>
                <w:rFonts w:ascii="Calibri" w:cs="Calibri" w:eastAsia="Calibri" w:hAnsi="Calibri"/>
                <w:sz w:val="20"/>
                <w:szCs w:val="20"/>
              </w:rPr>
              <w:t xml:space="preserve">N/A</w:t>
            </w:r>
          </w:p>
        </w:tc>
        <w:tc>
          <w:tcPr>
            <w:tcW w:type="dxa" w:w="2250"/>
            <w:shd w:fill="FFF0F0"/>
          </w:tcPr>
          <w:p>
            <w:pPr>
              <w:spacing w:after="40" w:before="40"/>
            </w:pPr>
            <w:r>
              <w:rPr>
                <w:rFonts w:ascii="Calibri" w:cs="Calibri" w:eastAsia="Calibri" w:hAnsi="Calibri"/>
                <w:sz w:val="20"/>
                <w:szCs w:val="20"/>
              </w:rPr>
              <w:t xml:space="preserve">N/A</w:t>
            </w:r>
          </w:p>
        </w:tc>
      </w:tr>
      <w:tr>
        <w:tc>
          <w:tcPr>
            <w:tcW w:type="dxa" w:w="2250"/>
          </w:tcPr>
          <w:p>
            <w:pPr>
              <w:spacing w:after="40" w:before="40"/>
            </w:pPr>
            <w:r>
              <w:rPr>
                <w:rFonts w:ascii="Calibri" w:cs="Calibri" w:eastAsia="Calibri" w:hAnsi="Calibri"/>
                <w:sz w:val="20"/>
                <w:szCs w:val="20"/>
              </w:rPr>
              <w:t xml:space="preserve">1 - Open</w:t>
            </w:r>
          </w:p>
        </w:tc>
        <w:tc>
          <w:tcPr>
            <w:tcW w:type="dxa" w:w="2250"/>
          </w:tcPr>
          <w:p>
            <w:pPr>
              <w:spacing w:after="40" w:before="40"/>
            </w:pPr>
            <w:r>
              <w:rPr>
                <w:rFonts w:ascii="Calibri" w:cs="Calibri" w:eastAsia="Calibri" w:hAnsi="Calibri"/>
                <w:sz w:val="20"/>
                <w:szCs w:val="20"/>
              </w:rPr>
              <w:t xml:space="preserve">Passive consent (equivalent to today's targeting)</w:t>
            </w:r>
          </w:p>
        </w:tc>
        <w:tc>
          <w:tcPr>
            <w:tcW w:type="dxa" w:w="2250"/>
          </w:tcPr>
          <w:p>
            <w:pPr>
              <w:spacing w:after="40" w:before="40"/>
            </w:pPr>
            <w:r>
              <w:rPr>
                <w:rFonts w:ascii="Calibri" w:cs="Calibri" w:eastAsia="Calibri" w:hAnsi="Calibri"/>
                <w:sz w:val="20"/>
                <w:szCs w:val="20"/>
              </w:rPr>
              <w:t xml:space="preserve">Category-level</w:t>
            </w:r>
          </w:p>
        </w:tc>
        <w:tc>
          <w:tcPr>
            <w:tcW w:type="dxa" w:w="2250"/>
          </w:tcPr>
          <w:p>
            <w:pPr>
              <w:spacing w:after="40" w:before="40"/>
            </w:pPr>
            <w:r>
              <w:rPr>
                <w:rFonts w:ascii="Calibri" w:cs="Calibri" w:eastAsia="Calibri" w:hAnsi="Calibri"/>
                <w:sz w:val="20"/>
                <w:szCs w:val="20"/>
              </w:rPr>
              <w:t xml:space="preserve">3-8%</w:t>
            </w:r>
          </w:p>
        </w:tc>
      </w:tr>
      <w:tr>
        <w:tc>
          <w:tcPr>
            <w:tcW w:type="dxa" w:w="2250"/>
            <w:shd w:fill="FFF0F0"/>
          </w:tcPr>
          <w:p>
            <w:pPr>
              <w:spacing w:after="40" w:before="40"/>
            </w:pPr>
            <w:r>
              <w:rPr>
                <w:rFonts w:ascii="Calibri" w:cs="Calibri" w:eastAsia="Calibri" w:hAnsi="Calibri"/>
                <w:sz w:val="20"/>
                <w:szCs w:val="20"/>
              </w:rPr>
              <w:t xml:space="preserve">2 - Exploring</w:t>
            </w:r>
          </w:p>
        </w:tc>
        <w:tc>
          <w:tcPr>
            <w:tcW w:type="dxa" w:w="2250"/>
            <w:shd w:fill="FFF0F0"/>
          </w:tcPr>
          <w:p>
            <w:pPr>
              <w:spacing w:after="40" w:before="40"/>
            </w:pPr>
            <w:r>
              <w:rPr>
                <w:rFonts w:ascii="Calibri" w:cs="Calibri" w:eastAsia="Calibri" w:hAnsi="Calibri"/>
                <w:sz w:val="20"/>
                <w:szCs w:val="20"/>
              </w:rPr>
              <w:t xml:space="preserve">Active research declaration</w:t>
            </w:r>
          </w:p>
        </w:tc>
        <w:tc>
          <w:tcPr>
            <w:tcW w:type="dxa" w:w="2250"/>
            <w:shd w:fill="FFF0F0"/>
          </w:tcPr>
          <w:p>
            <w:pPr>
              <w:spacing w:after="40" w:before="40"/>
            </w:pPr>
            <w:r>
              <w:rPr>
                <w:rFonts w:ascii="Calibri" w:cs="Calibri" w:eastAsia="Calibri" w:hAnsi="Calibri"/>
                <w:sz w:val="20"/>
                <w:szCs w:val="20"/>
              </w:rPr>
              <w:t xml:space="preserve">Cross-source alignment</w:t>
            </w:r>
          </w:p>
        </w:tc>
        <w:tc>
          <w:tcPr>
            <w:tcW w:type="dxa" w:w="2250"/>
            <w:shd w:fill="FFF0F0"/>
          </w:tcPr>
          <w:p>
            <w:pPr>
              <w:spacing w:after="40" w:before="40"/>
            </w:pPr>
            <w:r>
              <w:rPr>
                <w:rFonts w:ascii="Calibri" w:cs="Calibri" w:eastAsia="Calibri" w:hAnsi="Calibri"/>
                <w:sz w:val="20"/>
                <w:szCs w:val="20"/>
              </w:rPr>
              <w:t xml:space="preserve">20-35%</w:t>
            </w:r>
          </w:p>
        </w:tc>
      </w:tr>
      <w:tr>
        <w:tc>
          <w:tcPr>
            <w:tcW w:type="dxa" w:w="2250"/>
          </w:tcPr>
          <w:p>
            <w:pPr>
              <w:spacing w:after="40" w:before="40"/>
            </w:pPr>
            <w:r>
              <w:rPr>
                <w:rFonts w:ascii="Calibri" w:cs="Calibri" w:eastAsia="Calibri" w:hAnsi="Calibri"/>
                <w:sz w:val="20"/>
                <w:szCs w:val="20"/>
              </w:rPr>
              <w:t xml:space="preserve">3 - Ready</w:t>
            </w:r>
          </w:p>
        </w:tc>
        <w:tc>
          <w:tcPr>
            <w:tcW w:type="dxa" w:w="2250"/>
          </w:tcPr>
          <w:p>
            <w:pPr>
              <w:spacing w:after="40" w:before="40"/>
            </w:pPr>
            <w:r>
              <w:rPr>
                <w:rFonts w:ascii="Calibri" w:cs="Calibri" w:eastAsia="Calibri" w:hAnsi="Calibri"/>
                <w:sz w:val="20"/>
                <w:szCs w:val="20"/>
              </w:rPr>
              <w:t xml:space="preserve">Purchase intent within 30-60 days</w:t>
            </w:r>
          </w:p>
        </w:tc>
        <w:tc>
          <w:tcPr>
            <w:tcW w:type="dxa" w:w="2250"/>
          </w:tcPr>
          <w:p>
            <w:pPr>
              <w:spacing w:after="40" w:before="40"/>
            </w:pPr>
            <w:r>
              <w:rPr>
                <w:rFonts w:ascii="Calibri" w:cs="Calibri" w:eastAsia="Calibri" w:hAnsi="Calibri"/>
                <w:sz w:val="20"/>
                <w:szCs w:val="20"/>
              </w:rPr>
              <w:t xml:space="preserve">Multi-source verified</w:t>
            </w:r>
          </w:p>
        </w:tc>
        <w:tc>
          <w:tcPr>
            <w:tcW w:type="dxa" w:w="2250"/>
          </w:tcPr>
          <w:p>
            <w:pPr>
              <w:spacing w:after="40" w:before="40"/>
            </w:pPr>
            <w:r>
              <w:rPr>
                <w:rFonts w:ascii="Calibri" w:cs="Calibri" w:eastAsia="Calibri" w:hAnsi="Calibri"/>
                <w:sz w:val="20"/>
                <w:szCs w:val="20"/>
              </w:rPr>
              <w:t xml:space="preserve">40-60%</w:t>
            </w:r>
          </w:p>
        </w:tc>
      </w:tr>
    </w:tbl>
    <w:p>
      <w:pPr>
        <w:spacing w:after="100"/>
      </w:pPr>
    </w:p>
    <w:p>
      <w:pPr>
        <w:spacing w:after="150"/>
      </w:pPr>
      <w:r>
        <w:rPr>
          <w:rFonts w:ascii="Calibri" w:cs="Calibri" w:eastAsia="Calibri" w:hAnsi="Calibri"/>
          <w:b/>
          <w:bCs/>
          <w:sz w:val="22"/>
          <w:szCs w:val="22"/>
        </w:rPr>
        <w:t xml:space="preserve">Why this works: </w:t>
      </w:r>
      <w:r>
        <w:rPr>
          <w:rFonts w:ascii="Calibri" w:cs="Calibri" w:eastAsia="Calibri" w:hAnsi="Calibri"/>
          <w:sz w:val="22"/>
          <w:szCs w:val="22"/>
        </w:rPr>
        <w:t xml:space="preserve">A soul who declares "Ready" for automotive has been verified through cross-source behavioral alignment (ADR-55): Plaid shows dealer-related transactions, location data shows dealership visits, Amazon shows car accessory purchases. This verification happens entirely on-device — raw data never leaves the phone. Only the alignment score (a single number) is transmitted. The brand sees verified demand, not inferred interest.</w:t>
      </w:r>
    </w:p>
    <w:p>
      <w:pPr>
        <w:pStyle w:val="Heading2"/>
        <w:spacing w:after="150" w:before="300"/>
      </w:pPr>
      <w:r>
        <w:rPr>
          <w:rFonts w:ascii="Calibri" w:cs="Calibri" w:eastAsia="Calibri" w:hAnsi="Calibri"/>
          <w:b/>
          <w:bCs/>
          <w:color w:val="A0522D"/>
          <w:sz w:val="26"/>
          <w:szCs w:val="26"/>
        </w:rPr>
        <w:t xml:space="preserve">2.3 Eliminating Fraud: Verified Humans with Stake</w:t>
      </w:r>
    </w:p>
    <w:p>
      <w:pPr>
        <w:spacing w:after="150"/>
      </w:pPr>
      <w:r>
        <w:rPr>
          <w:rFonts w:ascii="Calibri" w:cs="Calibri" w:eastAsia="Calibri" w:hAnsi="Calibri"/>
          <w:sz w:val="22"/>
          <w:szCs w:val="22"/>
        </w:rPr>
        <w:t xml:space="preserve">PersonalOS eliminates bot traffic and synthetic engagement through structural verification:</w:t>
      </w:r>
    </w:p>
    <w:p>
      <w:pPr>
        <w:pStyle w:val="ListParagraph"/>
        <w:numPr>
          <w:ilvl w:val="0"/>
          <w:numId w:val="1"/>
        </w:numPr>
        <w:spacing w:after="80"/>
      </w:pPr>
      <w:r>
        <w:rPr>
          <w:rFonts w:ascii="Calibri" w:cs="Calibri" w:eastAsia="Calibri" w:hAnsi="Calibri"/>
          <w:sz w:val="22"/>
          <w:szCs w:val="22"/>
        </w:rPr>
        <w:t xml:space="preserve">WebAuthn Passkey Identity: Every soul is anchored to a device-bound passkey (ADR-31). No passwords, no account sharing, no bot accounts.</w:t>
      </w:r>
    </w:p>
    <w:p>
      <w:pPr>
        <w:pStyle w:val="ListParagraph"/>
        <w:numPr>
          <w:ilvl w:val="0"/>
          <w:numId w:val="1"/>
        </w:numPr>
        <w:spacing w:after="80"/>
      </w:pPr>
      <w:r>
        <w:rPr>
          <w:rFonts w:ascii="Calibri" w:cs="Calibri" w:eastAsia="Calibri" w:hAnsi="Calibri"/>
          <w:sz w:val="22"/>
          <w:szCs w:val="22"/>
        </w:rPr>
        <w:t xml:space="preserve">Multi-Source Verification: Intent integrity scoring (ADR-55) requires cross-source behavioral evidence from independent data providers. A bot cannot simultaneously generate Plaid transactions, Apple Health data, and location history.</w:t>
      </w:r>
    </w:p>
    <w:p>
      <w:pPr>
        <w:pStyle w:val="ListParagraph"/>
        <w:numPr>
          <w:ilvl w:val="0"/>
          <w:numId w:val="1"/>
        </w:numPr>
        <w:spacing w:after="80"/>
      </w:pPr>
      <w:r>
        <w:rPr>
          <w:rFonts w:ascii="Calibri" w:cs="Calibri" w:eastAsia="Calibri" w:hAnsi="Calibri"/>
          <w:sz w:val="22"/>
          <w:szCs w:val="22"/>
        </w:rPr>
        <w:t xml:space="preserve">On-Chain Settlement: Every claim is an on-chain transaction with real USDC. Fraud requires actual economic activity, not just clicks.</w:t>
      </w:r>
    </w:p>
    <w:p>
      <w:pPr>
        <w:pStyle w:val="ListParagraph"/>
        <w:numPr>
          <w:ilvl w:val="0"/>
          <w:numId w:val="1"/>
        </w:numPr>
        <w:spacing w:after="80"/>
      </w:pPr>
      <w:r>
        <w:rPr>
          <w:rFonts w:ascii="Calibri" w:cs="Calibri" w:eastAsia="Calibri" w:hAnsi="Calibri"/>
          <w:sz w:val="22"/>
          <w:szCs w:val="22"/>
        </w:rPr>
        <w:t xml:space="preserve">Soul Tier System (ADR-54): Souls build reputation through sustained genuine behavior. Tier status (Standard/Gold/Platinum) reflects verified track record, not self-reported demographics.</w:t>
      </w:r>
    </w:p>
    <w:p>
      <w:pPr>
        <w:pStyle w:val="ListParagraph"/>
        <w:numPr>
          <w:ilvl w:val="0"/>
          <w:numId w:val="1"/>
        </w:numPr>
        <w:spacing w:after="80"/>
      </w:pPr>
      <w:r>
        <w:rPr>
          <w:rFonts w:ascii="Calibri" w:cs="Calibri" w:eastAsia="Calibri" w:hAnsi="Calibri"/>
          <w:sz w:val="22"/>
          <w:szCs w:val="22"/>
        </w:rPr>
        <w:t xml:space="preserve">Brand Reputation Bond (ADR-55): Brands deposit $1-5K refundable USDC. Confirmed manipulation triggers bond slashing. Cross-brand pattern detection identifies wallet clustering and coordinated fraud.</w:t>
      </w:r>
    </w:p>
    <w:p>
      <w:pPr>
        <w:pStyle w:val="Heading1"/>
        <w:spacing w:after="200" w:before="400"/>
      </w:pPr>
      <w:r>
        <w:rPr>
          <w:rFonts w:ascii="Calibri" w:cs="Calibri" w:eastAsia="Calibri" w:hAnsi="Calibri"/>
          <w:b/>
          <w:bCs/>
          <w:color w:val="8B0000"/>
          <w:sz w:val="32"/>
          <w:szCs w:val="32"/>
        </w:rPr>
        <w:t xml:space="preserve">3. The Economics: Brand ROI Comparison</w:t>
      </w:r>
    </w:p>
    <w:p>
      <w:pPr>
        <w:pStyle w:val="Heading2"/>
        <w:spacing w:after="150" w:before="300"/>
      </w:pPr>
      <w:r>
        <w:rPr>
          <w:rFonts w:ascii="Calibri" w:cs="Calibri" w:eastAsia="Calibri" w:hAnsi="Calibri"/>
          <w:b/>
          <w:bCs/>
          <w:color w:val="A0522D"/>
          <w:sz w:val="26"/>
          <w:szCs w:val="26"/>
        </w:rPr>
        <w:t xml:space="preserve">3.1 Cost Per Acquisition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8B0000"/>
          </w:tcPr>
          <w:p>
            <w:pPr>
              <w:jc w:val="center"/>
            </w:pPr>
            <w:r>
              <w:rPr>
                <w:rFonts w:ascii="Calibri" w:cs="Calibri" w:eastAsia="Calibri" w:hAnsi="Calibri"/>
                <w:b/>
                <w:bCs/>
                <w:color w:val="FFFFFF"/>
                <w:sz w:val="20"/>
                <w:szCs w:val="20"/>
              </w:rPr>
              <w:t xml:space="preserve">Channel</w:t>
            </w:r>
          </w:p>
        </w:tc>
        <w:tc>
          <w:tcPr>
            <w:tcW w:type="dxa" w:w="1800"/>
            <w:shd w:fill="8B0000"/>
          </w:tcPr>
          <w:p>
            <w:pPr>
              <w:jc w:val="center"/>
            </w:pPr>
            <w:r>
              <w:rPr>
                <w:rFonts w:ascii="Calibri" w:cs="Calibri" w:eastAsia="Calibri" w:hAnsi="Calibri"/>
                <w:b/>
                <w:bCs/>
                <w:color w:val="FFFFFF"/>
                <w:sz w:val="20"/>
                <w:szCs w:val="20"/>
              </w:rPr>
              <w:t xml:space="preserve">CPA Range</w:t>
            </w:r>
          </w:p>
        </w:tc>
        <w:tc>
          <w:tcPr>
            <w:tcW w:type="dxa" w:w="1800"/>
            <w:shd w:fill="8B0000"/>
          </w:tcPr>
          <w:p>
            <w:pPr>
              <w:jc w:val="center"/>
            </w:pPr>
            <w:r>
              <w:rPr>
                <w:rFonts w:ascii="Calibri" w:cs="Calibri" w:eastAsia="Calibri" w:hAnsi="Calibri"/>
                <w:b/>
                <w:bCs/>
                <w:color w:val="FFFFFF"/>
                <w:sz w:val="20"/>
                <w:szCs w:val="20"/>
              </w:rPr>
              <w:t xml:space="preserve">Conversion Rate</w:t>
            </w:r>
          </w:p>
        </w:tc>
        <w:tc>
          <w:tcPr>
            <w:tcW w:type="dxa" w:w="1800"/>
            <w:shd w:fill="8B0000"/>
          </w:tcPr>
          <w:p>
            <w:pPr>
              <w:jc w:val="center"/>
            </w:pPr>
            <w:r>
              <w:rPr>
                <w:rFonts w:ascii="Calibri" w:cs="Calibri" w:eastAsia="Calibri" w:hAnsi="Calibri"/>
                <w:b/>
                <w:bCs/>
                <w:color w:val="FFFFFF"/>
                <w:sz w:val="20"/>
                <w:szCs w:val="20"/>
              </w:rPr>
              <w:t xml:space="preserve">Verification</w:t>
            </w:r>
          </w:p>
        </w:tc>
        <w:tc>
          <w:tcPr>
            <w:tcW w:type="dxa" w:w="1800"/>
            <w:shd w:fill="8B0000"/>
          </w:tcPr>
          <w:p>
            <w:pPr>
              <w:jc w:val="center"/>
            </w:pPr>
            <w:r>
              <w:rPr>
                <w:rFonts w:ascii="Calibri" w:cs="Calibri" w:eastAsia="Calibri" w:hAnsi="Calibri"/>
                <w:b/>
                <w:bCs/>
                <w:color w:val="FFFFFF"/>
                <w:sz w:val="20"/>
                <w:szCs w:val="20"/>
              </w:rPr>
              <w:t xml:space="preserve">Data Freshness</w:t>
            </w:r>
          </w:p>
        </w:tc>
      </w:tr>
      <w:tr>
        <w:tc>
          <w:tcPr>
            <w:tcW w:type="dxa" w:w="1800"/>
            <w:shd w:fill="FFF0F0"/>
          </w:tcPr>
          <w:p>
            <w:pPr>
              <w:spacing w:after="40" w:before="40"/>
            </w:pPr>
            <w:r>
              <w:rPr>
                <w:rFonts w:ascii="Calibri" w:cs="Calibri" w:eastAsia="Calibri" w:hAnsi="Calibri"/>
                <w:sz w:val="20"/>
                <w:szCs w:val="20"/>
              </w:rPr>
              <w:t xml:space="preserve">Meta Lookalike</w:t>
            </w:r>
          </w:p>
        </w:tc>
        <w:tc>
          <w:tcPr>
            <w:tcW w:type="dxa" w:w="1800"/>
            <w:shd w:fill="FFF0F0"/>
          </w:tcPr>
          <w:p>
            <w:pPr>
              <w:spacing w:after="40" w:before="40"/>
            </w:pPr>
            <w:r>
              <w:rPr>
                <w:rFonts w:ascii="Calibri" w:cs="Calibri" w:eastAsia="Calibri" w:hAnsi="Calibri"/>
                <w:sz w:val="20"/>
                <w:szCs w:val="20"/>
              </w:rPr>
              <w:t xml:space="preserve">$30-80</w:t>
            </w:r>
          </w:p>
        </w:tc>
        <w:tc>
          <w:tcPr>
            <w:tcW w:type="dxa" w:w="1800"/>
            <w:shd w:fill="FFF0F0"/>
          </w:tcPr>
          <w:p>
            <w:pPr>
              <w:spacing w:after="40" w:before="40"/>
            </w:pPr>
            <w:r>
              <w:rPr>
                <w:rFonts w:ascii="Calibri" w:cs="Calibri" w:eastAsia="Calibri" w:hAnsi="Calibri"/>
                <w:sz w:val="20"/>
                <w:szCs w:val="20"/>
              </w:rPr>
              <w:t xml:space="preserve">3-8%</w:t>
            </w:r>
          </w:p>
        </w:tc>
        <w:tc>
          <w:tcPr>
            <w:tcW w:type="dxa" w:w="1800"/>
            <w:shd w:fill="FFF0F0"/>
          </w:tcPr>
          <w:p>
            <w:pPr>
              <w:spacing w:after="40" w:before="40"/>
            </w:pPr>
            <w:r>
              <w:rPr>
                <w:rFonts w:ascii="Calibri" w:cs="Calibri" w:eastAsia="Calibri" w:hAnsi="Calibri"/>
                <w:sz w:val="20"/>
                <w:szCs w:val="20"/>
              </w:rPr>
              <w:t xml:space="preserve">None</w:t>
            </w:r>
          </w:p>
        </w:tc>
        <w:tc>
          <w:tcPr>
            <w:tcW w:type="dxa" w:w="1800"/>
            <w:shd w:fill="FFF0F0"/>
          </w:tcPr>
          <w:p>
            <w:pPr>
              <w:spacing w:after="40" w:before="40"/>
            </w:pPr>
            <w:r>
              <w:rPr>
                <w:rFonts w:ascii="Calibri" w:cs="Calibri" w:eastAsia="Calibri" w:hAnsi="Calibri"/>
                <w:sz w:val="20"/>
                <w:szCs w:val="20"/>
              </w:rPr>
              <w:t xml:space="preserve">Days-old behavioral</w:t>
            </w:r>
          </w:p>
        </w:tc>
      </w:tr>
      <w:tr>
        <w:tc>
          <w:tcPr>
            <w:tcW w:type="dxa" w:w="1800"/>
          </w:tcPr>
          <w:p>
            <w:pPr>
              <w:spacing w:after="40" w:before="40"/>
            </w:pPr>
            <w:r>
              <w:rPr>
                <w:rFonts w:ascii="Calibri" w:cs="Calibri" w:eastAsia="Calibri" w:hAnsi="Calibri"/>
                <w:sz w:val="20"/>
                <w:szCs w:val="20"/>
              </w:rPr>
              <w:t xml:space="preserve">Google Search Ads</w:t>
            </w:r>
          </w:p>
        </w:tc>
        <w:tc>
          <w:tcPr>
            <w:tcW w:type="dxa" w:w="1800"/>
          </w:tcPr>
          <w:p>
            <w:pPr>
              <w:spacing w:after="40" w:before="40"/>
            </w:pPr>
            <w:r>
              <w:rPr>
                <w:rFonts w:ascii="Calibri" w:cs="Calibri" w:eastAsia="Calibri" w:hAnsi="Calibri"/>
                <w:sz w:val="20"/>
                <w:szCs w:val="20"/>
              </w:rPr>
              <w:t xml:space="preserve">$20-60</w:t>
            </w:r>
          </w:p>
        </w:tc>
        <w:tc>
          <w:tcPr>
            <w:tcW w:type="dxa" w:w="1800"/>
          </w:tcPr>
          <w:p>
            <w:pPr>
              <w:spacing w:after="40" w:before="40"/>
            </w:pPr>
            <w:r>
              <w:rPr>
                <w:rFonts w:ascii="Calibri" w:cs="Calibri" w:eastAsia="Calibri" w:hAnsi="Calibri"/>
                <w:sz w:val="20"/>
                <w:szCs w:val="20"/>
              </w:rPr>
              <w:t xml:space="preserve">5-12%</w:t>
            </w:r>
          </w:p>
        </w:tc>
        <w:tc>
          <w:tcPr>
            <w:tcW w:type="dxa" w:w="1800"/>
          </w:tcPr>
          <w:p>
            <w:pPr>
              <w:spacing w:after="40" w:before="40"/>
            </w:pPr>
            <w:r>
              <w:rPr>
                <w:rFonts w:ascii="Calibri" w:cs="Calibri" w:eastAsia="Calibri" w:hAnsi="Calibri"/>
                <w:sz w:val="20"/>
                <w:szCs w:val="20"/>
              </w:rPr>
              <w:t xml:space="preserve">Click-through only</w:t>
            </w:r>
          </w:p>
        </w:tc>
        <w:tc>
          <w:tcPr>
            <w:tcW w:type="dxa" w:w="1800"/>
          </w:tcPr>
          <w:p>
            <w:pPr>
              <w:spacing w:after="40" w:before="40"/>
            </w:pPr>
            <w:r>
              <w:rPr>
                <w:rFonts w:ascii="Calibri" w:cs="Calibri" w:eastAsia="Calibri" w:hAnsi="Calibri"/>
                <w:sz w:val="20"/>
                <w:szCs w:val="20"/>
              </w:rPr>
              <w:t xml:space="preserve">Search moment</w:t>
            </w:r>
          </w:p>
        </w:tc>
      </w:tr>
      <w:tr>
        <w:tc>
          <w:tcPr>
            <w:tcW w:type="dxa" w:w="1800"/>
            <w:shd w:fill="FFF0F0"/>
          </w:tcPr>
          <w:p>
            <w:pPr>
              <w:spacing w:after="40" w:before="40"/>
            </w:pPr>
            <w:r>
              <w:rPr>
                <w:rFonts w:ascii="Calibri" w:cs="Calibri" w:eastAsia="Calibri" w:hAnsi="Calibri"/>
                <w:sz w:val="20"/>
                <w:szCs w:val="20"/>
              </w:rPr>
              <w:t xml:space="preserve">Programmatic Display</w:t>
            </w:r>
          </w:p>
        </w:tc>
        <w:tc>
          <w:tcPr>
            <w:tcW w:type="dxa" w:w="1800"/>
            <w:shd w:fill="FFF0F0"/>
          </w:tcPr>
          <w:p>
            <w:pPr>
              <w:spacing w:after="40" w:before="40"/>
            </w:pPr>
            <w:r>
              <w:rPr>
                <w:rFonts w:ascii="Calibri" w:cs="Calibri" w:eastAsia="Calibri" w:hAnsi="Calibri"/>
                <w:sz w:val="20"/>
                <w:szCs w:val="20"/>
              </w:rPr>
              <w:t xml:space="preserve">$40-120</w:t>
            </w:r>
          </w:p>
        </w:tc>
        <w:tc>
          <w:tcPr>
            <w:tcW w:type="dxa" w:w="1800"/>
            <w:shd w:fill="FFF0F0"/>
          </w:tcPr>
          <w:p>
            <w:pPr>
              <w:spacing w:after="40" w:before="40"/>
            </w:pPr>
            <w:r>
              <w:rPr>
                <w:rFonts w:ascii="Calibri" w:cs="Calibri" w:eastAsia="Calibri" w:hAnsi="Calibri"/>
                <w:sz w:val="20"/>
                <w:szCs w:val="20"/>
              </w:rPr>
              <w:t xml:space="preserve">0.5-2%</w:t>
            </w:r>
          </w:p>
        </w:tc>
        <w:tc>
          <w:tcPr>
            <w:tcW w:type="dxa" w:w="1800"/>
            <w:shd w:fill="FFF0F0"/>
          </w:tcPr>
          <w:p>
            <w:pPr>
              <w:spacing w:after="40" w:before="40"/>
            </w:pPr>
            <w:r>
              <w:rPr>
                <w:rFonts w:ascii="Calibri" w:cs="Calibri" w:eastAsia="Calibri" w:hAnsi="Calibri"/>
                <w:sz w:val="20"/>
                <w:szCs w:val="20"/>
              </w:rPr>
              <w:t xml:space="preserve">Viewability estimate</w:t>
            </w:r>
          </w:p>
        </w:tc>
        <w:tc>
          <w:tcPr>
            <w:tcW w:type="dxa" w:w="1800"/>
            <w:shd w:fill="FFF0F0"/>
          </w:tcPr>
          <w:p>
            <w:pPr>
              <w:spacing w:after="40" w:before="40"/>
            </w:pPr>
            <w:r>
              <w:rPr>
                <w:rFonts w:ascii="Calibri" w:cs="Calibri" w:eastAsia="Calibri" w:hAnsi="Calibri"/>
                <w:sz w:val="20"/>
                <w:szCs w:val="20"/>
              </w:rPr>
              <w:t xml:space="preserve">Weeks-old segments</w:t>
            </w:r>
          </w:p>
        </w:tc>
      </w:tr>
      <w:tr>
        <w:tc>
          <w:tcPr>
            <w:tcW w:type="dxa" w:w="1800"/>
          </w:tcPr>
          <w:p>
            <w:pPr>
              <w:spacing w:after="40" w:before="40"/>
            </w:pPr>
            <w:r>
              <w:rPr>
                <w:rFonts w:ascii="Calibri" w:cs="Calibri" w:eastAsia="Calibri" w:hAnsi="Calibri"/>
                <w:sz w:val="20"/>
                <w:szCs w:val="20"/>
              </w:rPr>
              <w:t xml:space="preserve">PersonalOS Level 1 (Open)</w:t>
            </w:r>
          </w:p>
        </w:tc>
        <w:tc>
          <w:tcPr>
            <w:tcW w:type="dxa" w:w="1800"/>
          </w:tcPr>
          <w:p>
            <w:pPr>
              <w:spacing w:after="40" w:before="40"/>
            </w:pPr>
            <w:r>
              <w:rPr>
                <w:rFonts w:ascii="Calibri" w:cs="Calibri" w:eastAsia="Calibri" w:hAnsi="Calibri"/>
                <w:sz w:val="20"/>
                <w:szCs w:val="20"/>
              </w:rPr>
              <w:t xml:space="preserve">$2-5</w:t>
            </w:r>
          </w:p>
        </w:tc>
        <w:tc>
          <w:tcPr>
            <w:tcW w:type="dxa" w:w="1800"/>
          </w:tcPr>
          <w:p>
            <w:pPr>
              <w:spacing w:after="40" w:before="40"/>
            </w:pPr>
            <w:r>
              <w:rPr>
                <w:rFonts w:ascii="Calibri" w:cs="Calibri" w:eastAsia="Calibri" w:hAnsi="Calibri"/>
                <w:sz w:val="20"/>
                <w:szCs w:val="20"/>
              </w:rPr>
              <w:t xml:space="preserve">3-8%</w:t>
            </w:r>
          </w:p>
        </w:tc>
        <w:tc>
          <w:tcPr>
            <w:tcW w:type="dxa" w:w="1800"/>
          </w:tcPr>
          <w:p>
            <w:pPr>
              <w:spacing w:after="40" w:before="40"/>
            </w:pPr>
            <w:r>
              <w:rPr>
                <w:rFonts w:ascii="Calibri" w:cs="Calibri" w:eastAsia="Calibri" w:hAnsi="Calibri"/>
                <w:sz w:val="20"/>
                <w:szCs w:val="20"/>
              </w:rPr>
              <w:t xml:space="preserve">Consent-verified human</w:t>
            </w:r>
          </w:p>
        </w:tc>
        <w:tc>
          <w:tcPr>
            <w:tcW w:type="dxa" w:w="1800"/>
          </w:tcPr>
          <w:p>
            <w:pPr>
              <w:spacing w:after="40" w:before="40"/>
            </w:pPr>
            <w:r>
              <w:rPr>
                <w:rFonts w:ascii="Calibri" w:cs="Calibri" w:eastAsia="Calibri" w:hAnsi="Calibri"/>
                <w:sz w:val="20"/>
                <w:szCs w:val="20"/>
              </w:rPr>
              <w:t xml:space="preserve">Real-time consent</w:t>
            </w:r>
          </w:p>
        </w:tc>
      </w:tr>
      <w:tr>
        <w:tc>
          <w:tcPr>
            <w:tcW w:type="dxa" w:w="1800"/>
            <w:shd w:fill="FFF0F0"/>
          </w:tcPr>
          <w:p>
            <w:pPr>
              <w:spacing w:after="40" w:before="40"/>
            </w:pPr>
            <w:r>
              <w:rPr>
                <w:rFonts w:ascii="Calibri" w:cs="Calibri" w:eastAsia="Calibri" w:hAnsi="Calibri"/>
                <w:sz w:val="20"/>
                <w:szCs w:val="20"/>
              </w:rPr>
              <w:t xml:space="preserve">PersonalOS Level 2 (Exploring)</w:t>
            </w:r>
          </w:p>
        </w:tc>
        <w:tc>
          <w:tcPr>
            <w:tcW w:type="dxa" w:w="1800"/>
            <w:shd w:fill="FFF0F0"/>
          </w:tcPr>
          <w:p>
            <w:pPr>
              <w:spacing w:after="40" w:before="40"/>
            </w:pPr>
            <w:r>
              <w:rPr>
                <w:rFonts w:ascii="Calibri" w:cs="Calibri" w:eastAsia="Calibri" w:hAnsi="Calibri"/>
                <w:sz w:val="20"/>
                <w:szCs w:val="20"/>
              </w:rPr>
              <w:t xml:space="preserve">$3-8</w:t>
            </w:r>
          </w:p>
        </w:tc>
        <w:tc>
          <w:tcPr>
            <w:tcW w:type="dxa" w:w="1800"/>
            <w:shd w:fill="FFF0F0"/>
          </w:tcPr>
          <w:p>
            <w:pPr>
              <w:spacing w:after="40" w:before="40"/>
            </w:pPr>
            <w:r>
              <w:rPr>
                <w:rFonts w:ascii="Calibri" w:cs="Calibri" w:eastAsia="Calibri" w:hAnsi="Calibri"/>
                <w:sz w:val="20"/>
                <w:szCs w:val="20"/>
              </w:rPr>
              <w:t xml:space="preserve">20-35%</w:t>
            </w:r>
          </w:p>
        </w:tc>
        <w:tc>
          <w:tcPr>
            <w:tcW w:type="dxa" w:w="1800"/>
            <w:shd w:fill="FFF0F0"/>
          </w:tcPr>
          <w:p>
            <w:pPr>
              <w:spacing w:after="40" w:before="40"/>
            </w:pPr>
            <w:r>
              <w:rPr>
                <w:rFonts w:ascii="Calibri" w:cs="Calibri" w:eastAsia="Calibri" w:hAnsi="Calibri"/>
                <w:sz w:val="20"/>
                <w:szCs w:val="20"/>
              </w:rPr>
              <w:t xml:space="preserve">Cross-source aligned</w:t>
            </w:r>
          </w:p>
        </w:tc>
        <w:tc>
          <w:tcPr>
            <w:tcW w:type="dxa" w:w="1800"/>
            <w:shd w:fill="FFF0F0"/>
          </w:tcPr>
          <w:p>
            <w:pPr>
              <w:spacing w:after="40" w:before="40"/>
            </w:pPr>
            <w:r>
              <w:rPr>
                <w:rFonts w:ascii="Calibri" w:cs="Calibri" w:eastAsia="Calibri" w:hAnsi="Calibri"/>
                <w:sz w:val="20"/>
                <w:szCs w:val="20"/>
              </w:rPr>
              <w:t xml:space="preserve">Active research</w:t>
            </w:r>
          </w:p>
        </w:tc>
      </w:tr>
      <w:tr>
        <w:tc>
          <w:tcPr>
            <w:tcW w:type="dxa" w:w="1800"/>
          </w:tcPr>
          <w:p>
            <w:pPr>
              <w:spacing w:after="40" w:before="40"/>
            </w:pPr>
            <w:r>
              <w:rPr>
                <w:rFonts w:ascii="Calibri" w:cs="Calibri" w:eastAsia="Calibri" w:hAnsi="Calibri"/>
                <w:sz w:val="20"/>
                <w:szCs w:val="20"/>
              </w:rPr>
              <w:t xml:space="preserve">PersonalOS Level 3 (Ready)</w:t>
            </w:r>
          </w:p>
        </w:tc>
        <w:tc>
          <w:tcPr>
            <w:tcW w:type="dxa" w:w="1800"/>
          </w:tcPr>
          <w:p>
            <w:pPr>
              <w:spacing w:after="40" w:before="40"/>
            </w:pPr>
            <w:r>
              <w:rPr>
                <w:rFonts w:ascii="Calibri" w:cs="Calibri" w:eastAsia="Calibri" w:hAnsi="Calibri"/>
                <w:sz w:val="20"/>
                <w:szCs w:val="20"/>
              </w:rPr>
              <w:t xml:space="preserve">$4-12</w:t>
            </w:r>
          </w:p>
        </w:tc>
        <w:tc>
          <w:tcPr>
            <w:tcW w:type="dxa" w:w="1800"/>
          </w:tcPr>
          <w:p>
            <w:pPr>
              <w:spacing w:after="40" w:before="40"/>
            </w:pPr>
            <w:r>
              <w:rPr>
                <w:rFonts w:ascii="Calibri" w:cs="Calibri" w:eastAsia="Calibri" w:hAnsi="Calibri"/>
                <w:sz w:val="20"/>
                <w:szCs w:val="20"/>
              </w:rPr>
              <w:t xml:space="preserve">40-60%</w:t>
            </w:r>
          </w:p>
        </w:tc>
        <w:tc>
          <w:tcPr>
            <w:tcW w:type="dxa" w:w="1800"/>
          </w:tcPr>
          <w:p>
            <w:pPr>
              <w:spacing w:after="40" w:before="40"/>
            </w:pPr>
            <w:r>
              <w:rPr>
                <w:rFonts w:ascii="Calibri" w:cs="Calibri" w:eastAsia="Calibri" w:hAnsi="Calibri"/>
                <w:sz w:val="20"/>
                <w:szCs w:val="20"/>
              </w:rPr>
              <w:t xml:space="preserve">Multi-source verified intent</w:t>
            </w:r>
          </w:p>
        </w:tc>
        <w:tc>
          <w:tcPr>
            <w:tcW w:type="dxa" w:w="1800"/>
          </w:tcPr>
          <w:p>
            <w:pPr>
              <w:spacing w:after="40" w:before="40"/>
            </w:pPr>
            <w:r>
              <w:rPr>
                <w:rFonts w:ascii="Calibri" w:cs="Calibri" w:eastAsia="Calibri" w:hAnsi="Calibri"/>
                <w:sz w:val="20"/>
                <w:szCs w:val="20"/>
              </w:rPr>
              <w:t xml:space="preserve">Declared 30-60 day window</w:t>
            </w:r>
          </w:p>
        </w:tc>
      </w:tr>
    </w:tbl>
    <w:p>
      <w:pPr>
        <w:spacing w:after="100"/>
      </w:pPr>
    </w:p>
    <w:p>
      <w:pPr>
        <w:spacing w:after="150"/>
      </w:pPr>
      <w:r>
        <w:rPr>
          <w:rFonts w:ascii="Calibri" w:cs="Calibri" w:eastAsia="Calibri" w:hAnsi="Calibri"/>
          <w:sz w:val="22"/>
          <w:szCs w:val="22"/>
        </w:rPr>
        <w:t xml:space="preserve">At Level 3 (Ready), a brand paying $8 CPA reaches a verified human who has declared intent to purchase within 30-60 days, with cross-source behavioral verification. The same brand would pay $50+ on Meta for a probabilistic match with 5% conversion. PersonalOS delivers 6-10x better ROI at the CPA level and 5-15x at the conversion level.</w:t>
      </w:r>
    </w:p>
    <w:p>
      <w:pPr>
        <w:pStyle w:val="Heading2"/>
        <w:spacing w:after="150" w:before="300"/>
      </w:pPr>
      <w:r>
        <w:rPr>
          <w:rFonts w:ascii="Calibri" w:cs="Calibri" w:eastAsia="Calibri" w:hAnsi="Calibri"/>
          <w:b/>
          <w:bCs/>
          <w:color w:val="A0522D"/>
          <w:sz w:val="26"/>
          <w:szCs w:val="26"/>
        </w:rPr>
        <w:t xml:space="preserve">3.2 The Intent Premium Market</w:t>
      </w:r>
    </w:p>
    <w:p>
      <w:pPr>
        <w:spacing w:after="150"/>
      </w:pPr>
      <w:r>
        <w:rPr>
          <w:rFonts w:ascii="Calibri" w:cs="Calibri" w:eastAsia="Calibri" w:hAnsi="Calibri"/>
          <w:sz w:val="22"/>
          <w:szCs w:val="22"/>
        </w:rPr>
        <w:t xml:space="preserve">ADR-53 introduces a floating intent premium (1.5-5x standard bid) based on supply-demand dynamics per category:</w:t>
      </w:r>
    </w:p>
    <w:p>
      <w:pPr>
        <w:pStyle w:val="ListParagraph"/>
        <w:numPr>
          <w:ilvl w:val="0"/>
          <w:numId w:val="1"/>
        </w:numPr>
        <w:spacing w:after="80"/>
      </w:pPr>
      <w:r>
        <w:rPr>
          <w:rFonts w:ascii="Calibri" w:cs="Calibri" w:eastAsia="Calibri" w:hAnsi="Calibri"/>
          <w:sz w:val="22"/>
          <w:szCs w:val="22"/>
        </w:rPr>
        <w:t xml:space="preserve">When many souls declare intent but few brands are active → premium drops (buyer's market for brands).</w:t>
      </w:r>
    </w:p>
    <w:p>
      <w:pPr>
        <w:pStyle w:val="ListParagraph"/>
        <w:numPr>
          <w:ilvl w:val="0"/>
          <w:numId w:val="1"/>
        </w:numPr>
        <w:spacing w:after="80"/>
      </w:pPr>
      <w:r>
        <w:rPr>
          <w:rFonts w:ascii="Calibri" w:cs="Calibri" w:eastAsia="Calibri" w:hAnsi="Calibri"/>
          <w:sz w:val="22"/>
          <w:szCs w:val="22"/>
        </w:rPr>
        <w:t xml:space="preserve">When brands flood a category but few souls have declared intent → premium rises (seller's market for souls).</w:t>
      </w:r>
    </w:p>
    <w:p>
      <w:pPr>
        <w:pStyle w:val="ListParagraph"/>
        <w:numPr>
          <w:ilvl w:val="0"/>
          <w:numId w:val="1"/>
        </w:numPr>
        <w:spacing w:after="80"/>
      </w:pPr>
      <w:r>
        <w:rPr>
          <w:rFonts w:ascii="Calibri" w:cs="Calibri" w:eastAsia="Calibri" w:hAnsi="Calibri"/>
          <w:sz w:val="22"/>
          <w:szCs w:val="22"/>
        </w:rPr>
        <w:t xml:space="preserve">Soul tier multipliers stack: Gold (1.2x), Platinum (1.5x) on top of the category premium.</w:t>
      </w:r>
    </w:p>
    <w:p>
      <w:pPr>
        <w:spacing w:after="150"/>
      </w:pPr>
      <w:r>
        <w:rPr>
          <w:rFonts w:ascii="Calibri" w:cs="Calibri" w:eastAsia="Calibri" w:hAnsi="Calibri"/>
          <w:sz w:val="22"/>
          <w:szCs w:val="22"/>
        </w:rPr>
        <w:t xml:space="preserve">This dynamic pricing ensures that brand spend is directly proportional to signal quality. There is no fixed CPM — the market price reflects genuine supply-demand dynamics.</w:t>
      </w:r>
    </w:p>
    <w:p>
      <w:pPr>
        <w:pStyle w:val="Heading2"/>
        <w:spacing w:after="150" w:before="300"/>
      </w:pPr>
      <w:r>
        <w:rPr>
          <w:rFonts w:ascii="Calibri" w:cs="Calibri" w:eastAsia="Calibri" w:hAnsi="Calibri"/>
          <w:b/>
          <w:bCs/>
          <w:color w:val="A0522D"/>
          <w:sz w:val="26"/>
          <w:szCs w:val="26"/>
        </w:rPr>
        <w:t xml:space="preserve">3.3 Soul Earnings</w:t>
      </w:r>
    </w:p>
    <w:p>
      <w:pPr>
        <w:spacing w:after="150"/>
      </w:pPr>
      <w:r>
        <w:rPr>
          <w:rFonts w:ascii="Calibri" w:cs="Calibri" w:eastAsia="Calibri" w:hAnsi="Calibri"/>
          <w:sz w:val="22"/>
          <w:szCs w:val="22"/>
        </w:rPr>
        <w:t xml:space="preserve">PersonalOS creates a new economic model for consumers: direct compensation for verified attention and intent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8B0000"/>
          </w:tcPr>
          <w:p>
            <w:pPr>
              <w:jc w:val="center"/>
            </w:pPr>
            <w:r>
              <w:rPr>
                <w:rFonts w:ascii="Calibri" w:cs="Calibri" w:eastAsia="Calibri" w:hAnsi="Calibri"/>
                <w:b/>
                <w:bCs/>
                <w:color w:val="FFFFFF"/>
                <w:sz w:val="20"/>
                <w:szCs w:val="20"/>
              </w:rPr>
              <w:t xml:space="preserve">Soul Tier</w:t>
            </w:r>
          </w:p>
        </w:tc>
        <w:tc>
          <w:tcPr>
            <w:tcW w:type="dxa" w:w="2250"/>
            <w:shd w:fill="8B0000"/>
          </w:tcPr>
          <w:p>
            <w:pPr>
              <w:jc w:val="center"/>
            </w:pPr>
            <w:r>
              <w:rPr>
                <w:rFonts w:ascii="Calibri" w:cs="Calibri" w:eastAsia="Calibri" w:hAnsi="Calibri"/>
                <w:b/>
                <w:bCs/>
                <w:color w:val="FFFFFF"/>
                <w:sz w:val="20"/>
                <w:szCs w:val="20"/>
              </w:rPr>
              <w:t xml:space="preserve">Level 1 (Open)</w:t>
            </w:r>
          </w:p>
        </w:tc>
        <w:tc>
          <w:tcPr>
            <w:tcW w:type="dxa" w:w="2250"/>
            <w:shd w:fill="8B0000"/>
          </w:tcPr>
          <w:p>
            <w:pPr>
              <w:jc w:val="center"/>
            </w:pPr>
            <w:r>
              <w:rPr>
                <w:rFonts w:ascii="Calibri" w:cs="Calibri" w:eastAsia="Calibri" w:hAnsi="Calibri"/>
                <w:b/>
                <w:bCs/>
                <w:color w:val="FFFFFF"/>
                <w:sz w:val="20"/>
                <w:szCs w:val="20"/>
              </w:rPr>
              <w:t xml:space="preserve">Level 2 (Exploring)</w:t>
            </w:r>
          </w:p>
        </w:tc>
        <w:tc>
          <w:tcPr>
            <w:tcW w:type="dxa" w:w="2250"/>
            <w:shd w:fill="8B0000"/>
          </w:tcPr>
          <w:p>
            <w:pPr>
              <w:jc w:val="center"/>
            </w:pPr>
            <w:r>
              <w:rPr>
                <w:rFonts w:ascii="Calibri" w:cs="Calibri" w:eastAsia="Calibri" w:hAnsi="Calibri"/>
                <w:b/>
                <w:bCs/>
                <w:color w:val="FFFFFF"/>
                <w:sz w:val="20"/>
                <w:szCs w:val="20"/>
              </w:rPr>
              <w:t xml:space="preserve">Level 3 (Ready)</w:t>
            </w:r>
          </w:p>
        </w:tc>
      </w:tr>
      <w:tr>
        <w:tc>
          <w:tcPr>
            <w:tcW w:type="dxa" w:w="2250"/>
            <w:shd w:fill="FFF0F0"/>
          </w:tcPr>
          <w:p>
            <w:pPr>
              <w:spacing w:after="40" w:before="40"/>
            </w:pPr>
            <w:r>
              <w:rPr>
                <w:rFonts w:ascii="Calibri" w:cs="Calibri" w:eastAsia="Calibri" w:hAnsi="Calibri"/>
                <w:sz w:val="20"/>
                <w:szCs w:val="20"/>
              </w:rPr>
              <w:t xml:space="preserve">Standard</w:t>
            </w:r>
          </w:p>
        </w:tc>
        <w:tc>
          <w:tcPr>
            <w:tcW w:type="dxa" w:w="2250"/>
            <w:shd w:fill="FFF0F0"/>
          </w:tcPr>
          <w:p>
            <w:pPr>
              <w:spacing w:after="40" w:before="40"/>
            </w:pPr>
            <w:r>
              <w:rPr>
                <w:rFonts w:ascii="Calibri" w:cs="Calibri" w:eastAsia="Calibri" w:hAnsi="Calibri"/>
                <w:sz w:val="20"/>
                <w:szCs w:val="20"/>
              </w:rPr>
              <w:t xml:space="preserve">$1.80-4.50/claim</w:t>
            </w:r>
          </w:p>
        </w:tc>
        <w:tc>
          <w:tcPr>
            <w:tcW w:type="dxa" w:w="2250"/>
            <w:shd w:fill="FFF0F0"/>
          </w:tcPr>
          <w:p>
            <w:pPr>
              <w:spacing w:after="40" w:before="40"/>
            </w:pPr>
            <w:r>
              <w:rPr>
                <w:rFonts w:ascii="Calibri" w:cs="Calibri" w:eastAsia="Calibri" w:hAnsi="Calibri"/>
                <w:sz w:val="20"/>
                <w:szCs w:val="20"/>
              </w:rPr>
              <w:t xml:space="preserve">$4.05-14.40/claim</w:t>
            </w:r>
          </w:p>
        </w:tc>
        <w:tc>
          <w:tcPr>
            <w:tcW w:type="dxa" w:w="2250"/>
            <w:shd w:fill="FFF0F0"/>
          </w:tcPr>
          <w:p>
            <w:pPr>
              <w:spacing w:after="40" w:before="40"/>
            </w:pPr>
            <w:r>
              <w:rPr>
                <w:rFonts w:ascii="Calibri" w:cs="Calibri" w:eastAsia="Calibri" w:hAnsi="Calibri"/>
                <w:sz w:val="20"/>
                <w:szCs w:val="20"/>
              </w:rPr>
              <w:t xml:space="preserve">$5.40-36.00/claim</w:t>
            </w:r>
          </w:p>
        </w:tc>
      </w:tr>
      <w:tr>
        <w:tc>
          <w:tcPr>
            <w:tcW w:type="dxa" w:w="2250"/>
          </w:tcPr>
          <w:p>
            <w:pPr>
              <w:spacing w:after="40" w:before="40"/>
            </w:pPr>
            <w:r>
              <w:rPr>
                <w:rFonts w:ascii="Calibri" w:cs="Calibri" w:eastAsia="Calibri" w:hAnsi="Calibri"/>
                <w:sz w:val="20"/>
                <w:szCs w:val="20"/>
              </w:rPr>
              <w:t xml:space="preserve">Gold (1.2x)</w:t>
            </w:r>
          </w:p>
        </w:tc>
        <w:tc>
          <w:tcPr>
            <w:tcW w:type="dxa" w:w="2250"/>
          </w:tcPr>
          <w:p>
            <w:pPr>
              <w:spacing w:after="40" w:before="40"/>
            </w:pPr>
            <w:r>
              <w:rPr>
                <w:rFonts w:ascii="Calibri" w:cs="Calibri" w:eastAsia="Calibri" w:hAnsi="Calibri"/>
                <w:sz w:val="20"/>
                <w:szCs w:val="20"/>
              </w:rPr>
              <w:t xml:space="preserve">$2.16-5.40/claim</w:t>
            </w:r>
          </w:p>
        </w:tc>
        <w:tc>
          <w:tcPr>
            <w:tcW w:type="dxa" w:w="2250"/>
          </w:tcPr>
          <w:p>
            <w:pPr>
              <w:spacing w:after="40" w:before="40"/>
            </w:pPr>
            <w:r>
              <w:rPr>
                <w:rFonts w:ascii="Calibri" w:cs="Calibri" w:eastAsia="Calibri" w:hAnsi="Calibri"/>
                <w:sz w:val="20"/>
                <w:szCs w:val="20"/>
              </w:rPr>
              <w:t xml:space="preserve">$4.86-17.28/claim</w:t>
            </w:r>
          </w:p>
        </w:tc>
        <w:tc>
          <w:tcPr>
            <w:tcW w:type="dxa" w:w="2250"/>
          </w:tcPr>
          <w:p>
            <w:pPr>
              <w:spacing w:after="40" w:before="40"/>
            </w:pPr>
            <w:r>
              <w:rPr>
                <w:rFonts w:ascii="Calibri" w:cs="Calibri" w:eastAsia="Calibri" w:hAnsi="Calibri"/>
                <w:sz w:val="20"/>
                <w:szCs w:val="20"/>
              </w:rPr>
              <w:t xml:space="preserve">$6.48-43.20/claim</w:t>
            </w:r>
          </w:p>
        </w:tc>
      </w:tr>
      <w:tr>
        <w:tc>
          <w:tcPr>
            <w:tcW w:type="dxa" w:w="2250"/>
            <w:shd w:fill="FFF0F0"/>
          </w:tcPr>
          <w:p>
            <w:pPr>
              <w:spacing w:after="40" w:before="40"/>
            </w:pPr>
            <w:r>
              <w:rPr>
                <w:rFonts w:ascii="Calibri" w:cs="Calibri" w:eastAsia="Calibri" w:hAnsi="Calibri"/>
                <w:sz w:val="20"/>
                <w:szCs w:val="20"/>
              </w:rPr>
              <w:t xml:space="preserve">Platinum (1.5x)</w:t>
            </w:r>
          </w:p>
        </w:tc>
        <w:tc>
          <w:tcPr>
            <w:tcW w:type="dxa" w:w="2250"/>
            <w:shd w:fill="FFF0F0"/>
          </w:tcPr>
          <w:p>
            <w:pPr>
              <w:spacing w:after="40" w:before="40"/>
            </w:pPr>
            <w:r>
              <w:rPr>
                <w:rFonts w:ascii="Calibri" w:cs="Calibri" w:eastAsia="Calibri" w:hAnsi="Calibri"/>
                <w:sz w:val="20"/>
                <w:szCs w:val="20"/>
              </w:rPr>
              <w:t xml:space="preserve">$2.70-6.75/claim</w:t>
            </w:r>
          </w:p>
        </w:tc>
        <w:tc>
          <w:tcPr>
            <w:tcW w:type="dxa" w:w="2250"/>
            <w:shd w:fill="FFF0F0"/>
          </w:tcPr>
          <w:p>
            <w:pPr>
              <w:spacing w:after="40" w:before="40"/>
            </w:pPr>
            <w:r>
              <w:rPr>
                <w:rFonts w:ascii="Calibri" w:cs="Calibri" w:eastAsia="Calibri" w:hAnsi="Calibri"/>
                <w:sz w:val="20"/>
                <w:szCs w:val="20"/>
              </w:rPr>
              <w:t xml:space="preserve">$6.08-21.60/claim</w:t>
            </w:r>
          </w:p>
        </w:tc>
        <w:tc>
          <w:tcPr>
            <w:tcW w:type="dxa" w:w="2250"/>
            <w:shd w:fill="FFF0F0"/>
          </w:tcPr>
          <w:p>
            <w:pPr>
              <w:spacing w:after="40" w:before="40"/>
            </w:pPr>
            <w:r>
              <w:rPr>
                <w:rFonts w:ascii="Calibri" w:cs="Calibri" w:eastAsia="Calibri" w:hAnsi="Calibri"/>
                <w:sz w:val="20"/>
                <w:szCs w:val="20"/>
              </w:rPr>
              <w:t xml:space="preserve">$8.10-54.00/claim</w:t>
            </w:r>
          </w:p>
        </w:tc>
      </w:tr>
    </w:tbl>
    <w:p>
      <w:pPr>
        <w:spacing w:after="100"/>
      </w:pPr>
    </w:p>
    <w:p>
      <w:pPr>
        <w:spacing w:after="150"/>
      </w:pPr>
      <w:r>
        <w:rPr>
          <w:rFonts w:ascii="Calibri" w:cs="Calibri" w:eastAsia="Calibri" w:hAnsi="Calibri"/>
          <w:sz w:val="22"/>
          <w:szCs w:val="22"/>
        </w:rPr>
        <w:t xml:space="preserve">These are per-claim earnings (90% of settlement). A Platinum soul with 5 active Ready intents, claiming 3-4 offers per intent per month, could earn $120-650+/month — a meaningful economic benefit for participating in the marketplace with genuine intent.</w:t>
      </w:r>
    </w:p>
    <w:p>
      <w:pPr>
        <w:pStyle w:val="Heading1"/>
        <w:spacing w:after="200" w:before="400"/>
      </w:pPr>
      <w:r>
        <w:rPr>
          <w:rFonts w:ascii="Calibri" w:cs="Calibri" w:eastAsia="Calibri" w:hAnsi="Calibri"/>
          <w:b/>
          <w:bCs/>
          <w:color w:val="8B0000"/>
          <w:sz w:val="32"/>
          <w:szCs w:val="32"/>
        </w:rPr>
        <w:t xml:space="preserve">4. Why Intent Signals Stay Honest: The Integrity System</w:t>
      </w:r>
    </w:p>
    <w:p>
      <w:pPr>
        <w:spacing w:after="150"/>
      </w:pPr>
      <w:r>
        <w:rPr>
          <w:rFonts w:ascii="Calibri" w:cs="Calibri" w:eastAsia="Calibri" w:hAnsi="Calibri"/>
          <w:sz w:val="22"/>
          <w:szCs w:val="22"/>
        </w:rPr>
        <w:t xml:space="preserve">The critical question for any declared-intent marketplace: what stops users from lying? ADR-55 defines the five-component Intent Integrity Score that makes gaming economically irrational:</w:t>
      </w:r>
    </w:p>
    <w:p>
      <w:pPr>
        <w:pStyle w:val="Heading2"/>
        <w:spacing w:after="150" w:before="300"/>
      </w:pPr>
      <w:r>
        <w:rPr>
          <w:rFonts w:ascii="Calibri" w:cs="Calibri" w:eastAsia="Calibri" w:hAnsi="Calibri"/>
          <w:b/>
          <w:bCs/>
          <w:color w:val="A0522D"/>
          <w:sz w:val="26"/>
          <w:szCs w:val="26"/>
        </w:rPr>
        <w:t xml:space="preserve">4.1 Five Verification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8B0000"/>
          </w:tcPr>
          <w:p>
            <w:pPr>
              <w:jc w:val="center"/>
            </w:pPr>
            <w:r>
              <w:rPr>
                <w:rFonts w:ascii="Calibri" w:cs="Calibri" w:eastAsia="Calibri" w:hAnsi="Calibri"/>
                <w:b/>
                <w:bCs/>
                <w:color w:val="FFFFFF"/>
                <w:sz w:val="20"/>
                <w:szCs w:val="20"/>
              </w:rPr>
              <w:t xml:space="preserve">Component</w:t>
            </w:r>
          </w:p>
        </w:tc>
        <w:tc>
          <w:tcPr>
            <w:tcW w:type="dxa" w:w="3000"/>
            <w:shd w:fill="8B0000"/>
          </w:tcPr>
          <w:p>
            <w:pPr>
              <w:jc w:val="center"/>
            </w:pPr>
            <w:r>
              <w:rPr>
                <w:rFonts w:ascii="Calibri" w:cs="Calibri" w:eastAsia="Calibri" w:hAnsi="Calibri"/>
                <w:b/>
                <w:bCs/>
                <w:color w:val="FFFFFF"/>
                <w:sz w:val="20"/>
                <w:szCs w:val="20"/>
              </w:rPr>
              <w:t xml:space="preserve">Weight</w:t>
            </w:r>
          </w:p>
        </w:tc>
        <w:tc>
          <w:tcPr>
            <w:tcW w:type="dxa" w:w="3000"/>
            <w:shd w:fill="8B0000"/>
          </w:tcPr>
          <w:p>
            <w:pPr>
              <w:jc w:val="center"/>
            </w:pPr>
            <w:r>
              <w:rPr>
                <w:rFonts w:ascii="Calibri" w:cs="Calibri" w:eastAsia="Calibri" w:hAnsi="Calibri"/>
                <w:b/>
                <w:bCs/>
                <w:color w:val="FFFFFF"/>
                <w:sz w:val="20"/>
                <w:szCs w:val="20"/>
              </w:rPr>
              <w:t xml:space="preserve">What It Verifies</w:t>
            </w:r>
          </w:p>
        </w:tc>
      </w:tr>
      <w:tr>
        <w:tc>
          <w:tcPr>
            <w:tcW w:type="dxa" w:w="3000"/>
            <w:shd w:fill="FFF0F0"/>
          </w:tcPr>
          <w:p>
            <w:pPr>
              <w:spacing w:after="40" w:before="40"/>
            </w:pPr>
            <w:r>
              <w:rPr>
                <w:rFonts w:ascii="Calibri" w:cs="Calibri" w:eastAsia="Calibri" w:hAnsi="Calibri"/>
                <w:sz w:val="20"/>
                <w:szCs w:val="20"/>
              </w:rPr>
              <w:t xml:space="preserve">Cross-source alignment</w:t>
            </w:r>
          </w:p>
        </w:tc>
        <w:tc>
          <w:tcPr>
            <w:tcW w:type="dxa" w:w="3000"/>
            <w:shd w:fill="FFF0F0"/>
          </w:tcPr>
          <w:p>
            <w:pPr>
              <w:spacing w:after="40" w:before="40"/>
            </w:pPr>
            <w:r>
              <w:rPr>
                <w:rFonts w:ascii="Calibri" w:cs="Calibri" w:eastAsia="Calibri" w:hAnsi="Calibri"/>
                <w:sz w:val="20"/>
                <w:szCs w:val="20"/>
              </w:rPr>
              <w:t xml:space="preserve">30%</w:t>
            </w:r>
          </w:p>
        </w:tc>
        <w:tc>
          <w:tcPr>
            <w:tcW w:type="dxa" w:w="3000"/>
            <w:shd w:fill="FFF0F0"/>
          </w:tcPr>
          <w:p>
            <w:pPr>
              <w:spacing w:after="40" w:before="40"/>
            </w:pPr>
            <w:r>
              <w:rPr>
                <w:rFonts w:ascii="Calibri" w:cs="Calibri" w:eastAsia="Calibri" w:hAnsi="Calibri"/>
                <w:sz w:val="20"/>
                <w:szCs w:val="20"/>
              </w:rPr>
              <w:t xml:space="preserve">2+ connected sources show consistent activity (computed on-device)</w:t>
            </w:r>
          </w:p>
        </w:tc>
      </w:tr>
      <w:tr>
        <w:tc>
          <w:tcPr>
            <w:tcW w:type="dxa" w:w="3000"/>
          </w:tcPr>
          <w:p>
            <w:pPr>
              <w:spacing w:after="40" w:before="40"/>
            </w:pPr>
            <w:r>
              <w:rPr>
                <w:rFonts w:ascii="Calibri" w:cs="Calibri" w:eastAsia="Calibri" w:hAnsi="Calibri"/>
                <w:sz w:val="20"/>
                <w:szCs w:val="20"/>
              </w:rPr>
              <w:t xml:space="preserve">Follow-through rate</w:t>
            </w:r>
          </w:p>
        </w:tc>
        <w:tc>
          <w:tcPr>
            <w:tcW w:type="dxa" w:w="3000"/>
          </w:tcPr>
          <w:p>
            <w:pPr>
              <w:spacing w:after="40" w:before="40"/>
            </w:pPr>
            <w:r>
              <w:rPr>
                <w:rFonts w:ascii="Calibri" w:cs="Calibri" w:eastAsia="Calibri" w:hAnsi="Calibri"/>
                <w:sz w:val="20"/>
                <w:szCs w:val="20"/>
              </w:rPr>
              <w:t xml:space="preserve">25%</w:t>
            </w:r>
          </w:p>
        </w:tc>
        <w:tc>
          <w:tcPr>
            <w:tcW w:type="dxa" w:w="3000"/>
          </w:tcPr>
          <w:p>
            <w:pPr>
              <w:spacing w:after="40" w:before="40"/>
            </w:pPr>
            <w:r>
              <w:rPr>
                <w:rFonts w:ascii="Calibri" w:cs="Calibri" w:eastAsia="Calibri" w:hAnsi="Calibri"/>
                <w:sz w:val="20"/>
                <w:szCs w:val="20"/>
              </w:rPr>
              <w:t xml:space="preserve">Historical track record of acting on past declarations</w:t>
            </w:r>
          </w:p>
        </w:tc>
      </w:tr>
      <w:tr>
        <w:tc>
          <w:tcPr>
            <w:tcW w:type="dxa" w:w="3000"/>
            <w:shd w:fill="FFF0F0"/>
          </w:tcPr>
          <w:p>
            <w:pPr>
              <w:spacing w:after="40" w:before="40"/>
            </w:pPr>
            <w:r>
              <w:rPr>
                <w:rFonts w:ascii="Calibri" w:cs="Calibri" w:eastAsia="Calibri" w:hAnsi="Calibri"/>
                <w:sz w:val="20"/>
                <w:szCs w:val="20"/>
              </w:rPr>
              <w:t xml:space="preserve">Category base rate</w:t>
            </w:r>
          </w:p>
        </w:tc>
        <w:tc>
          <w:tcPr>
            <w:tcW w:type="dxa" w:w="3000"/>
            <w:shd w:fill="FFF0F0"/>
          </w:tcPr>
          <w:p>
            <w:pPr>
              <w:spacing w:after="40" w:before="40"/>
            </w:pPr>
            <w:r>
              <w:rPr>
                <w:rFonts w:ascii="Calibri" w:cs="Calibri" w:eastAsia="Calibri" w:hAnsi="Calibri"/>
                <w:sz w:val="20"/>
                <w:szCs w:val="20"/>
              </w:rPr>
              <w:t xml:space="preserve">15%</w:t>
            </w:r>
          </w:p>
        </w:tc>
        <w:tc>
          <w:tcPr>
            <w:tcW w:type="dxa" w:w="3000"/>
            <w:shd w:fill="FFF0F0"/>
          </w:tcPr>
          <w:p>
            <w:pPr>
              <w:spacing w:after="40" w:before="40"/>
            </w:pPr>
            <w:r>
              <w:rPr>
                <w:rFonts w:ascii="Calibri" w:cs="Calibri" w:eastAsia="Calibri" w:hAnsi="Calibri"/>
                <w:sz w:val="20"/>
                <w:szCs w:val="20"/>
              </w:rPr>
              <w:t xml:space="preserve">Platform-wide conversion rate for this category (context)</w:t>
            </w:r>
          </w:p>
        </w:tc>
      </w:tr>
      <w:tr>
        <w:tc>
          <w:tcPr>
            <w:tcW w:type="dxa" w:w="3000"/>
          </w:tcPr>
          <w:p>
            <w:pPr>
              <w:spacing w:after="40" w:before="40"/>
            </w:pPr>
            <w:r>
              <w:rPr>
                <w:rFonts w:ascii="Calibri" w:cs="Calibri" w:eastAsia="Calibri" w:hAnsi="Calibri"/>
                <w:sz w:val="20"/>
                <w:szCs w:val="20"/>
              </w:rPr>
              <w:t xml:space="preserve">Timing plausibility</w:t>
            </w:r>
          </w:p>
        </w:tc>
        <w:tc>
          <w:tcPr>
            <w:tcW w:type="dxa" w:w="3000"/>
          </w:tcPr>
          <w:p>
            <w:pPr>
              <w:spacing w:after="40" w:before="40"/>
            </w:pPr>
            <w:r>
              <w:rPr>
                <w:rFonts w:ascii="Calibri" w:cs="Calibri" w:eastAsia="Calibri" w:hAnsi="Calibri"/>
                <w:sz w:val="20"/>
                <w:szCs w:val="20"/>
              </w:rPr>
              <w:t xml:space="preserve">15%</w:t>
            </w:r>
          </w:p>
        </w:tc>
        <w:tc>
          <w:tcPr>
            <w:tcW w:type="dxa" w:w="3000"/>
          </w:tcPr>
          <w:p>
            <w:pPr>
              <w:spacing w:after="40" w:before="40"/>
            </w:pPr>
            <w:r>
              <w:rPr>
                <w:rFonts w:ascii="Calibri" w:cs="Calibri" w:eastAsia="Calibri" w:hAnsi="Calibri"/>
                <w:sz w:val="20"/>
                <w:szCs w:val="20"/>
              </w:rPr>
              <w:t xml:space="preserve">Does the declared window make sense for this category?</w:t>
            </w:r>
          </w:p>
        </w:tc>
      </w:tr>
      <w:tr>
        <w:tc>
          <w:tcPr>
            <w:tcW w:type="dxa" w:w="3000"/>
            <w:shd w:fill="FFF0F0"/>
          </w:tcPr>
          <w:p>
            <w:pPr>
              <w:spacing w:after="40" w:before="40"/>
            </w:pPr>
            <w:r>
              <w:rPr>
                <w:rFonts w:ascii="Calibri" w:cs="Calibri" w:eastAsia="Calibri" w:hAnsi="Calibri"/>
                <w:sz w:val="20"/>
                <w:szCs w:val="20"/>
              </w:rPr>
              <w:t xml:space="preserve">Soul tier bonus</w:t>
            </w:r>
          </w:p>
        </w:tc>
        <w:tc>
          <w:tcPr>
            <w:tcW w:type="dxa" w:w="3000"/>
            <w:shd w:fill="FFF0F0"/>
          </w:tcPr>
          <w:p>
            <w:pPr>
              <w:spacing w:after="40" w:before="40"/>
            </w:pPr>
            <w:r>
              <w:rPr>
                <w:rFonts w:ascii="Calibri" w:cs="Calibri" w:eastAsia="Calibri" w:hAnsi="Calibri"/>
                <w:sz w:val="20"/>
                <w:szCs w:val="20"/>
              </w:rPr>
              <w:t xml:space="preserve">15%</w:t>
            </w:r>
          </w:p>
        </w:tc>
        <w:tc>
          <w:tcPr>
            <w:tcW w:type="dxa" w:w="3000"/>
            <w:shd w:fill="FFF0F0"/>
          </w:tcPr>
          <w:p>
            <w:pPr>
              <w:spacing w:after="40" w:before="40"/>
            </w:pPr>
            <w:r>
              <w:rPr>
                <w:rFonts w:ascii="Calibri" w:cs="Calibri" w:eastAsia="Calibri" w:hAnsi="Calibri"/>
                <w:sz w:val="20"/>
                <w:szCs w:val="20"/>
              </w:rPr>
              <w:t xml:space="preserve">Platinum/Gold users have earned a trust baseline</w:t>
            </w:r>
          </w:p>
        </w:tc>
      </w:tr>
    </w:tbl>
    <w:p>
      <w:pPr>
        <w:spacing w:after="100"/>
      </w:pPr>
    </w:p>
    <w:p>
      <w:pPr>
        <w:spacing w:after="150"/>
      </w:pPr>
      <w:r>
        <w:rPr>
          <w:rFonts w:ascii="Calibri" w:cs="Calibri" w:eastAsia="Calibri" w:hAnsi="Calibri"/>
          <w:sz w:val="22"/>
          <w:szCs w:val="22"/>
        </w:rPr>
        <w:t xml:space="preserve">The raw integrity score (0-100) normalizes to a 0.7-1.0 multiplier on the intent premium. High-integrity declarations earn full premium; low-integrity ones are discounted or held for operator review (below 40). Declarations are not rejected — they are priced by their quality.</w:t>
      </w:r>
    </w:p>
    <w:p>
      <w:pPr>
        <w:pStyle w:val="Heading2"/>
        <w:spacing w:after="150" w:before="300"/>
      </w:pPr>
      <w:r>
        <w:rPr>
          <w:rFonts w:ascii="Calibri" w:cs="Calibri" w:eastAsia="Calibri" w:hAnsi="Calibri"/>
          <w:b/>
          <w:bCs/>
          <w:color w:val="A0522D"/>
          <w:sz w:val="26"/>
          <w:szCs w:val="26"/>
        </w:rPr>
        <w:t xml:space="preserve">4.2 Why Gaming Fails</w:t>
      </w:r>
    </w:p>
    <w:p>
      <w:pPr>
        <w:pStyle w:val="ListParagraph"/>
        <w:numPr>
          <w:ilvl w:val="0"/>
          <w:numId w:val="1"/>
        </w:numPr>
        <w:spacing w:after="80"/>
      </w:pPr>
      <w:r>
        <w:rPr>
          <w:rFonts w:ascii="Calibri" w:cs="Calibri" w:eastAsia="Calibri" w:hAnsi="Calibri"/>
          <w:sz w:val="22"/>
          <w:szCs w:val="22"/>
        </w:rPr>
        <w:t xml:space="preserve">Cross-source alignment requires real-world behavior across independent data sources. You cannot fake Plaid transactions, Apple Health data, and location history simultaneously.</w:t>
      </w:r>
    </w:p>
    <w:p>
      <w:pPr>
        <w:pStyle w:val="ListParagraph"/>
        <w:numPr>
          <w:ilvl w:val="0"/>
          <w:numId w:val="1"/>
        </w:numPr>
        <w:spacing w:after="80"/>
      </w:pPr>
      <w:r>
        <w:rPr>
          <w:rFonts w:ascii="Calibri" w:cs="Calibri" w:eastAsia="Calibri" w:hAnsi="Calibri"/>
          <w:sz w:val="22"/>
          <w:szCs w:val="22"/>
        </w:rPr>
        <w:t xml:space="preserve">Follow-through rate decays over time. A few fake declarations quickly tank the soul's score, reducing all future earnings — not just the faked ones.</w:t>
      </w:r>
    </w:p>
    <w:p>
      <w:pPr>
        <w:pStyle w:val="ListParagraph"/>
        <w:numPr>
          <w:ilvl w:val="0"/>
          <w:numId w:val="1"/>
        </w:numPr>
        <w:spacing w:after="80"/>
      </w:pPr>
      <w:r>
        <w:rPr>
          <w:rFonts w:ascii="Calibri" w:cs="Calibri" w:eastAsia="Calibri" w:hAnsi="Calibri"/>
          <w:sz w:val="22"/>
          <w:szCs w:val="22"/>
        </w:rPr>
        <w:t xml:space="preserve">Dynamic slot cap (3-7 slots) limits declaration volume. Filling slots with fake intents wastes limited allocation on zero-return declarations.</w:t>
      </w:r>
    </w:p>
    <w:p>
      <w:pPr>
        <w:pStyle w:val="ListParagraph"/>
        <w:numPr>
          <w:ilvl w:val="0"/>
          <w:numId w:val="1"/>
        </w:numPr>
        <w:spacing w:after="80"/>
      </w:pPr>
      <w:r>
        <w:rPr>
          <w:rFonts w:ascii="Calibri" w:cs="Calibri" w:eastAsia="Calibri" w:hAnsi="Calibri"/>
          <w:sz w:val="22"/>
          <w:szCs w:val="22"/>
        </w:rPr>
        <w:t xml:space="preserve">The cost-benefit analysis: gaming one declaration might earn $5-10 in discounted premium. The follow-through rate damage reduces earnings on all future legitimate declarations by 15-25%. Net loss within 2-3 cycles.</w:t>
      </w:r>
    </w:p>
    <w:p>
      <w:pPr>
        <w:pStyle w:val="Heading2"/>
        <w:spacing w:after="150" w:before="300"/>
      </w:pPr>
      <w:r>
        <w:rPr>
          <w:rFonts w:ascii="Calibri" w:cs="Calibri" w:eastAsia="Calibri" w:hAnsi="Calibri"/>
          <w:b/>
          <w:bCs/>
          <w:color w:val="A0522D"/>
          <w:sz w:val="26"/>
          <w:szCs w:val="26"/>
        </w:rPr>
        <w:t xml:space="preserve">4.3 Automated Escalation</w:t>
      </w:r>
    </w:p>
    <w:p>
      <w:pPr>
        <w:spacing w:after="150"/>
      </w:pPr>
      <w:r>
        <w:rPr>
          <w:rFonts w:ascii="Calibri" w:cs="Calibri" w:eastAsia="Calibri" w:hAnsi="Calibri"/>
          <w:sz w:val="22"/>
          <w:szCs w:val="22"/>
        </w:rPr>
        <w:t xml:space="preserve">The operator (ADR-45) receives automated flags for suspicious patterns:</w:t>
      </w:r>
    </w:p>
    <w:p>
      <w:pPr>
        <w:pStyle w:val="ListParagraph"/>
        <w:numPr>
          <w:ilvl w:val="0"/>
          <w:numId w:val="1"/>
        </w:numPr>
        <w:spacing w:after="80"/>
      </w:pPr>
      <w:r>
        <w:rPr>
          <w:rFonts w:ascii="Calibri" w:cs="Calibri" w:eastAsia="Calibri" w:hAnsi="Calibri"/>
          <w:sz w:val="22"/>
          <w:szCs w:val="22"/>
        </w:rPr>
        <w:t xml:space="preserve">Integrity score below 40 on any declaration → held from matching</w:t>
      </w:r>
    </w:p>
    <w:p>
      <w:pPr>
        <w:pStyle w:val="ListParagraph"/>
        <w:numPr>
          <w:ilvl w:val="0"/>
          <w:numId w:val="1"/>
        </w:numPr>
        <w:spacing w:after="80"/>
      </w:pPr>
      <w:r>
        <w:rPr>
          <w:rFonts w:ascii="Calibri" w:cs="Calibri" w:eastAsia="Calibri" w:hAnsi="Calibri"/>
          <w:sz w:val="22"/>
          <w:szCs w:val="22"/>
        </w:rPr>
        <w:t xml:space="preserve">3+ new Level 3 declarations in 24 hours → spike detection flag</w:t>
      </w:r>
    </w:p>
    <w:p>
      <w:pPr>
        <w:pStyle w:val="ListParagraph"/>
        <w:numPr>
          <w:ilvl w:val="0"/>
          <w:numId w:val="1"/>
        </w:numPr>
        <w:spacing w:after="80"/>
      </w:pPr>
      <w:r>
        <w:rPr>
          <w:rFonts w:ascii="Calibri" w:cs="Calibri" w:eastAsia="Calibri" w:hAnsi="Calibri"/>
          <w:sz w:val="22"/>
          <w:szCs w:val="22"/>
        </w:rPr>
        <w:t xml:space="preserve">Declarations only in top-3 highest-premium categories → premium-targeting flag</w:t>
      </w:r>
    </w:p>
    <w:p>
      <w:pPr>
        <w:pStyle w:val="ListParagraph"/>
        <w:numPr>
          <w:ilvl w:val="0"/>
          <w:numId w:val="1"/>
        </w:numPr>
        <w:spacing w:after="80"/>
      </w:pPr>
      <w:r>
        <w:rPr>
          <w:rFonts w:ascii="Calibri" w:cs="Calibri" w:eastAsia="Calibri" w:hAnsi="Calibri"/>
          <w:sz w:val="22"/>
          <w:szCs w:val="22"/>
        </w:rPr>
        <w:t xml:space="preserve">Multiple souls with similar patterns from similar devices → sybil/collusion flag</w:t>
      </w:r>
    </w:p>
    <w:p>
      <w:pPr>
        <w:spacing w:after="150"/>
      </w:pPr>
      <w:r>
        <w:rPr>
          <w:rFonts w:ascii="Calibri" w:cs="Calibri" w:eastAsia="Calibri" w:hAnsi="Calibri"/>
          <w:sz w:val="22"/>
          <w:szCs w:val="22"/>
        </w:rPr>
        <w:t xml:space="preserve">The operator can approve, suspend, revoke slots, or warn — creating a human-in-the-loop safety net above the automated scoring.</w:t>
      </w:r>
    </w:p>
    <w:p>
      <w:pPr>
        <w:pStyle w:val="Heading1"/>
        <w:spacing w:after="200" w:before="400"/>
      </w:pPr>
      <w:r>
        <w:rPr>
          <w:rFonts w:ascii="Calibri" w:cs="Calibri" w:eastAsia="Calibri" w:hAnsi="Calibri"/>
          <w:b/>
          <w:bCs/>
          <w:color w:val="8B0000"/>
          <w:sz w:val="32"/>
          <w:szCs w:val="32"/>
        </w:rPr>
        <w:t xml:space="preserve">5. Why Now: The Convergence</w:t>
      </w:r>
    </w:p>
    <w:p>
      <w:pPr>
        <w:spacing w:after="150"/>
      </w:pPr>
      <w:r>
        <w:rPr>
          <w:rFonts w:ascii="Calibri" w:cs="Calibri" w:eastAsia="Calibri" w:hAnsi="Calibri"/>
          <w:sz w:val="22"/>
          <w:szCs w:val="22"/>
        </w:rPr>
        <w:t xml:space="preserve">Four trends make PersonalOS viable now in a way it wasn't five years ago:</w:t>
      </w:r>
    </w:p>
    <w:p>
      <w:pPr>
        <w:pStyle w:val="Heading2"/>
        <w:spacing w:after="150" w:before="300"/>
      </w:pPr>
      <w:r>
        <w:rPr>
          <w:rFonts w:ascii="Calibri" w:cs="Calibri" w:eastAsia="Calibri" w:hAnsi="Calibri"/>
          <w:b/>
          <w:bCs/>
          <w:color w:val="A0522D"/>
          <w:sz w:val="26"/>
          <w:szCs w:val="26"/>
        </w:rPr>
        <w:t xml:space="preserve">5.1 Regulatory Tailwinds</w:t>
      </w:r>
    </w:p>
    <w:p>
      <w:pPr>
        <w:pStyle w:val="ListParagraph"/>
        <w:numPr>
          <w:ilvl w:val="0"/>
          <w:numId w:val="1"/>
        </w:numPr>
        <w:spacing w:after="80"/>
      </w:pPr>
      <w:r>
        <w:rPr>
          <w:rFonts w:ascii="Calibri" w:cs="Calibri" w:eastAsia="Calibri" w:hAnsi="Calibri"/>
          <w:sz w:val="22"/>
          <w:szCs w:val="22"/>
        </w:rPr>
        <w:t xml:space="preserve">GDPR/CCPA/DPDP: Data privacy regulations have established that individuals own their data. Platforms must provide export capabilities. PersonalOS builds on top of these mandated export rights.</w:t>
      </w:r>
    </w:p>
    <w:p>
      <w:pPr>
        <w:pStyle w:val="ListParagraph"/>
        <w:numPr>
          <w:ilvl w:val="0"/>
          <w:numId w:val="1"/>
        </w:numPr>
        <w:spacing w:after="80"/>
      </w:pPr>
      <w:r>
        <w:rPr>
          <w:rFonts w:ascii="Calibri" w:cs="Calibri" w:eastAsia="Calibri" w:hAnsi="Calibri"/>
          <w:sz w:val="22"/>
          <w:szCs w:val="22"/>
        </w:rPr>
        <w:t xml:space="preserve">Cookie deprecation: Third-party cookies — the backbone of programmatic inference — are disappearing. Brands need new signal sources.</w:t>
      </w:r>
    </w:p>
    <w:p>
      <w:pPr>
        <w:pStyle w:val="ListParagraph"/>
        <w:numPr>
          <w:ilvl w:val="0"/>
          <w:numId w:val="1"/>
        </w:numPr>
        <w:spacing w:after="80"/>
      </w:pPr>
      <w:r>
        <w:rPr>
          <w:rFonts w:ascii="Calibri" w:cs="Calibri" w:eastAsia="Calibri" w:hAnsi="Calibri"/>
          <w:sz w:val="22"/>
          <w:szCs w:val="22"/>
        </w:rPr>
        <w:t xml:space="preserve">AI regulation: Emerging frameworks require transparency in algorithmic targeting. PersonalOS's on-device processing and declared intent are inherently transparent.</w:t>
      </w:r>
    </w:p>
    <w:p>
      <w:pPr>
        <w:pStyle w:val="Heading2"/>
        <w:spacing w:after="150" w:before="300"/>
      </w:pPr>
      <w:r>
        <w:rPr>
          <w:rFonts w:ascii="Calibri" w:cs="Calibri" w:eastAsia="Calibri" w:hAnsi="Calibri"/>
          <w:b/>
          <w:bCs/>
          <w:color w:val="A0522D"/>
          <w:sz w:val="26"/>
          <w:szCs w:val="26"/>
        </w:rPr>
        <w:t xml:space="preserve">5.2 Infrastructure Maturity</w:t>
      </w:r>
    </w:p>
    <w:p>
      <w:pPr>
        <w:pStyle w:val="ListParagraph"/>
        <w:numPr>
          <w:ilvl w:val="0"/>
          <w:numId w:val="1"/>
        </w:numPr>
        <w:spacing w:after="80"/>
      </w:pPr>
      <w:r>
        <w:rPr>
          <w:rFonts w:ascii="Calibri" w:cs="Calibri" w:eastAsia="Calibri" w:hAnsi="Calibri"/>
          <w:sz w:val="22"/>
          <w:szCs w:val="22"/>
        </w:rPr>
        <w:t xml:space="preserve">Base chain: L2 settlement with &lt;$0.01 transaction costs makes per-claim on-chain settlement economically viable.</w:t>
      </w:r>
    </w:p>
    <w:p>
      <w:pPr>
        <w:pStyle w:val="ListParagraph"/>
        <w:numPr>
          <w:ilvl w:val="0"/>
          <w:numId w:val="1"/>
        </w:numPr>
        <w:spacing w:after="80"/>
      </w:pPr>
      <w:r>
        <w:rPr>
          <w:rFonts w:ascii="Calibri" w:cs="Calibri" w:eastAsia="Calibri" w:hAnsi="Calibri"/>
          <w:sz w:val="22"/>
          <w:szCs w:val="22"/>
        </w:rPr>
        <w:t xml:space="preserve">USDC: Stablecoin adoption enables real-time cross-border settlement without banking intermediaries.</w:t>
      </w:r>
    </w:p>
    <w:p>
      <w:pPr>
        <w:pStyle w:val="ListParagraph"/>
        <w:numPr>
          <w:ilvl w:val="0"/>
          <w:numId w:val="1"/>
        </w:numPr>
        <w:spacing w:after="80"/>
      </w:pPr>
      <w:r>
        <w:rPr>
          <w:rFonts w:ascii="Calibri" w:cs="Calibri" w:eastAsia="Calibri" w:hAnsi="Calibri"/>
          <w:sz w:val="22"/>
          <w:szCs w:val="22"/>
        </w:rPr>
        <w:t xml:space="preserve">WebAuthn/Passkeys: Device-bound identity without passwords eliminates the friction of onboarding.</w:t>
      </w:r>
    </w:p>
    <w:p>
      <w:pPr>
        <w:pStyle w:val="ListParagraph"/>
        <w:numPr>
          <w:ilvl w:val="0"/>
          <w:numId w:val="1"/>
        </w:numPr>
        <w:spacing w:after="80"/>
      </w:pPr>
      <w:r>
        <w:rPr>
          <w:rFonts w:ascii="Calibri" w:cs="Calibri" w:eastAsia="Calibri" w:hAnsi="Calibri"/>
          <w:sz w:val="22"/>
          <w:szCs w:val="22"/>
        </w:rPr>
        <w:t xml:space="preserve">On-device ML: CoreML and on-device LLMs (ADR-22, ADR-23) enable sophisticated data processing without cloud dependencies.</w:t>
      </w:r>
    </w:p>
    <w:p>
      <w:pPr>
        <w:pStyle w:val="Heading2"/>
        <w:spacing w:after="150" w:before="300"/>
      </w:pPr>
      <w:r>
        <w:rPr>
          <w:rFonts w:ascii="Calibri" w:cs="Calibri" w:eastAsia="Calibri" w:hAnsi="Calibri"/>
          <w:b/>
          <w:bCs/>
          <w:color w:val="A0522D"/>
          <w:sz w:val="26"/>
          <w:szCs w:val="26"/>
        </w:rPr>
        <w:t xml:space="preserve">5.3 Consumer Readiness</w:t>
      </w:r>
    </w:p>
    <w:p>
      <w:pPr>
        <w:pStyle w:val="ListParagraph"/>
        <w:numPr>
          <w:ilvl w:val="0"/>
          <w:numId w:val="1"/>
        </w:numPr>
        <w:spacing w:after="80"/>
      </w:pPr>
      <w:r>
        <w:rPr>
          <w:rFonts w:ascii="Calibri" w:cs="Calibri" w:eastAsia="Calibri" w:hAnsi="Calibri"/>
          <w:sz w:val="22"/>
          <w:szCs w:val="22"/>
        </w:rPr>
        <w:t xml:space="preserve">Data awareness: Post-Cambridge Analytica, consumers understand that their data has value and that platforms profit from it.</w:t>
      </w:r>
    </w:p>
    <w:p>
      <w:pPr>
        <w:pStyle w:val="ListParagraph"/>
        <w:numPr>
          <w:ilvl w:val="0"/>
          <w:numId w:val="1"/>
        </w:numPr>
        <w:spacing w:after="80"/>
      </w:pPr>
      <w:r>
        <w:rPr>
          <w:rFonts w:ascii="Calibri" w:cs="Calibri" w:eastAsia="Calibri" w:hAnsi="Calibri"/>
          <w:sz w:val="22"/>
          <w:szCs w:val="22"/>
        </w:rPr>
        <w:t xml:space="preserve">Ad fatigue: Users increasingly use ad blockers (40%+ desktop penetration). They are not anti-advertising — they are anti-irrelevant-advertising.</w:t>
      </w:r>
    </w:p>
    <w:p>
      <w:pPr>
        <w:pStyle w:val="ListParagraph"/>
        <w:numPr>
          <w:ilvl w:val="0"/>
          <w:numId w:val="1"/>
        </w:numPr>
        <w:spacing w:after="80"/>
      </w:pPr>
      <w:r>
        <w:rPr>
          <w:rFonts w:ascii="Calibri" w:cs="Calibri" w:eastAsia="Calibri" w:hAnsi="Calibri"/>
          <w:sz w:val="22"/>
          <w:szCs w:val="22"/>
        </w:rPr>
        <w:t xml:space="preserve">Earn-to-engage: Web3 has normalized the concept of earning from participation. PersonalOS extends this from speculation to real commerce.</w:t>
      </w:r>
    </w:p>
    <w:p>
      <w:pPr>
        <w:pStyle w:val="Heading2"/>
        <w:spacing w:after="150" w:before="300"/>
      </w:pPr>
      <w:r>
        <w:rPr>
          <w:rFonts w:ascii="Calibri" w:cs="Calibri" w:eastAsia="Calibri" w:hAnsi="Calibri"/>
          <w:b/>
          <w:bCs/>
          <w:color w:val="A0522D"/>
          <w:sz w:val="26"/>
          <w:szCs w:val="26"/>
        </w:rPr>
        <w:t xml:space="preserve">5.4 Brand Desperation</w:t>
      </w:r>
    </w:p>
    <w:p>
      <w:pPr>
        <w:pStyle w:val="ListParagraph"/>
        <w:numPr>
          <w:ilvl w:val="0"/>
          <w:numId w:val="1"/>
        </w:numPr>
        <w:spacing w:after="80"/>
      </w:pPr>
      <w:r>
        <w:rPr>
          <w:rFonts w:ascii="Calibri" w:cs="Calibri" w:eastAsia="Calibri" w:hAnsi="Calibri"/>
          <w:sz w:val="22"/>
          <w:szCs w:val="22"/>
        </w:rPr>
        <w:t xml:space="preserve">ROAS decline: Return on ad spend has dropped 30-50% across major platforms since 2020 (ATT, cookie deprecation, signal loss).</w:t>
      </w:r>
    </w:p>
    <w:p>
      <w:pPr>
        <w:pStyle w:val="ListParagraph"/>
        <w:numPr>
          <w:ilvl w:val="0"/>
          <w:numId w:val="1"/>
        </w:numPr>
        <w:spacing w:after="80"/>
      </w:pPr>
      <w:r>
        <w:rPr>
          <w:rFonts w:ascii="Calibri" w:cs="Calibri" w:eastAsia="Calibri" w:hAnsi="Calibri"/>
          <w:sz w:val="22"/>
          <w:szCs w:val="22"/>
        </w:rPr>
        <w:t xml:space="preserve">Measurement crisis: Multi-touch attribution is broken. Brands cannot tell which channels actually drive conversions.</w:t>
      </w:r>
    </w:p>
    <w:p>
      <w:pPr>
        <w:pStyle w:val="ListParagraph"/>
        <w:numPr>
          <w:ilvl w:val="0"/>
          <w:numId w:val="1"/>
        </w:numPr>
        <w:spacing w:after="80"/>
      </w:pPr>
      <w:r>
        <w:rPr>
          <w:rFonts w:ascii="Calibri" w:cs="Calibri" w:eastAsia="Calibri" w:hAnsi="Calibri"/>
          <w:sz w:val="22"/>
          <w:szCs w:val="22"/>
        </w:rPr>
        <w:t xml:space="preserve">DTC surge: Direct-to-consumer brands — PersonalOS's ideal early adopters — need efficient customer acquisition without platform dependency.</w:t>
      </w:r>
    </w:p>
    <w:p>
      <w:pPr>
        <w:pStyle w:val="Heading1"/>
        <w:spacing w:after="200" w:before="400"/>
      </w:pPr>
      <w:r>
        <w:rPr>
          <w:rFonts w:ascii="Calibri" w:cs="Calibri" w:eastAsia="Calibri" w:hAnsi="Calibri"/>
          <w:b/>
          <w:bCs/>
          <w:color w:val="8B0000"/>
          <w:sz w:val="32"/>
          <w:szCs w:val="32"/>
        </w:rPr>
        <w:t xml:space="preserve">6. The Structural Shift: From Inference to Declaration</w:t>
      </w:r>
    </w:p>
    <w:p>
      <w:pPr>
        <w:spacing w:after="150"/>
      </w:pPr>
      <w:r>
        <w:rPr>
          <w:rFonts w:ascii="Calibri" w:cs="Calibri" w:eastAsia="Calibri" w:hAnsi="Calibri"/>
          <w:sz w:val="22"/>
          <w:szCs w:val="22"/>
        </w:rPr>
        <w:t xml:space="preserve">The ad industry's trajectory is clear: inference is losing its potency. Every year, privacy regulations remove more signal, platform changes (ATT, cookie deprecation) reduce more data, and AI-generated content floods more noise into behavioral signals. The industry is approaching peak inference — the point where adding more data and better algorithms yields diminishing returns.</w:t>
      </w:r>
    </w:p>
    <w:p>
      <w:pPr>
        <w:spacing w:after="150"/>
      </w:pPr>
      <w:r>
        <w:rPr>
          <w:rFonts w:ascii="Calibri" w:cs="Calibri" w:eastAsia="Calibri" w:hAnsi="Calibri"/>
          <w:sz w:val="22"/>
          <w:szCs w:val="22"/>
        </w:rPr>
        <w:t xml:space="preserve">PersonalOS is positioned at the other end of this trajectory: declaration-based matching with verified intent. As inference degrades, declaration becomes more valuable. The platform's competitive advantage widens with every privacy regulation, every cookie restriction, and every new AI content generator that makes behavioral signals noisier.</w:t>
      </w:r>
    </w:p>
    <w:p>
      <w:pPr>
        <w:spacing w:after="150"/>
      </w:pPr>
      <w:r>
        <w:rPr>
          <w:rFonts w:ascii="Calibri" w:cs="Calibri" w:eastAsia="Calibri" w:hAnsi="Calibri"/>
          <w:sz w:val="22"/>
          <w:szCs w:val="22"/>
        </w:rPr>
        <w:t xml:space="preserve">The $500 billion ad waste problem is not solved by better plumbing in the existing supply chain. It is solved by replacing the supply chain entirely — with direct settlement, verified intent, and structural privacy. PersonalOS is that replacement.</w:t>
      </w:r>
    </w:p>
    <w:p>
      <w:pPr>
        <w:spacing w:after="400"/>
      </w:pPr>
    </w:p>
    <w:p>
      <w:pPr>
        <w:jc w:val="center"/>
      </w:pPr>
      <w:r>
        <w:rPr>
          <w:rFonts w:ascii="Calibri" w:cs="Calibri" w:eastAsia="Calibri" w:hAnsi="Calibri"/>
          <w:b/>
          <w:bCs/>
          <w:i/>
          <w:iCs/>
          <w:color w:val="8B0000"/>
          <w:sz w:val="28"/>
          <w:szCs w:val="28"/>
        </w:rPr>
        <w:t xml:space="preserve">PersonalOS — Ending the era of ad waste, one verified intent at a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2026-07-05T22:38:25.433Z</dcterms:created>
  <dcterms:modified xsi:type="dcterms:W3CDTF">2026-07-05T22:38:25.433Z</dcterms:modified>
</cp:coreProperties>
</file>

<file path=docProps/custom.xml><?xml version="1.0" encoding="utf-8"?>
<Properties xmlns="http://schemas.openxmlformats.org/officeDocument/2006/custom-properties" xmlns:vt="http://schemas.openxmlformats.org/officeDocument/2006/docPropsVTypes"/>
</file>