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72"/>
          <w:szCs w:val="72"/>
        </w:rPr>
        <w:t xml:space="preserve">PersonalOS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36"/>
          <w:szCs w:val="36"/>
        </w:rPr>
        <w:t xml:space="preserve">Where Your Ad Money Actually Goes</w:t>
      </w:r>
    </w:p>
    <w:p>
      <w:pPr>
        <w:spacing w:after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30"/>
          <w:szCs w:val="30"/>
        </w:rPr>
        <w:t xml:space="preserve">And How to Make Every Dollar Count</w:t>
      </w:r>
    </w:p>
    <w:p>
      <w:pPr>
        <w:spacing w:after="8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Three-Proof-Point Analysis of Programmatic Ad Waste and the Structural Solution That Eliminates It</w:t>
      </w:r>
    </w:p>
    <w:p>
      <w:pPr>
        <w:spacing w:after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2"/>
          <w:szCs w:val="22"/>
        </w:rPr>
        <w:t xml:space="preserve">July 2026 · PersonalOS Inc. · Confidential — For Decision Makers</w:t>
      </w:r>
    </w:p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Executive Summary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programmatic advertising industry wastes $26.8 billion annually. This isn’t a guess — it’s measured by the ANA, verified by independent auditors (ISBA, Lumen), and litigated by the U.S. DOJ.</w:t>
      </w:r>
    </w:p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Three Proof 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2"/>
        <w:gridCol w:w="3404"/>
        <w:gridCol w:w="4254"/>
      </w:tblGrid>
      <w:tr>
        <w:tc>
          <w:tcPr>
            <w:tcW w:type="dxa" w:w="1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Proof Point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Claim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How It’s Proven</w:t>
            </w:r>
          </w:p>
        </w:tc>
      </w:tr>
      <w:tr>
        <w:tc>
          <w:tcPr>
            <w:tcW w:type="dxa" w:w="1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#1 Direct Channel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41x more efficient than programmatic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Smart contract math — every cent traceable on Base blockchain</w:t>
            </w:r>
          </w:p>
        </w:tc>
      </w:tr>
      <w:tr>
        <w:tc>
          <w:tcPr>
            <w:tcW w:type="dxa" w:w="1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#2 Channel Optimization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3-5x improvement in Meta/Google efficiency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Aggregate demand intelligence from verified intent data</w:t>
            </w:r>
          </w:p>
        </w:tc>
      </w:tr>
      <w:tr>
        <w:tc>
          <w:tcPr>
            <w:tcW w:type="dxa" w:w="1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#3 Portfolio Effect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8-15x blended improvement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Combining direct channel + optimized existing spend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1"/>
              <w:left w:val="single" w:color="1B7A4A" w:sz="24"/>
              <w:bottom w:val="single" w:color="E8F5E9" w:sz="1"/>
              <w:right w:val="single" w:color="E8F5E9" w:sz="1"/>
            </w:tcBorders>
            <w:shd w:fill="E8F5E9" w:val="clea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7A4A"/>
                <w:sz w:val="22"/>
                <w:szCs w:val="22"/>
              </w:rPr>
              <w:t xml:space="preserve">Important: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PersonalOS does not replace YouTube, Meta, or Google. It complements them. The direct channel handles highest-value audiences (41x). The intelligence product makes existing campaigns smarter (3-5x). Together, they create a portfolio effect (8-15x) that grows as you shift allocation based on measured results.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PersonalOS is not another ad network. It is a demand discovery platform — it tells you exactly who wants your product, backed by verified cross-source data, settled on blockchain, with economics locked in immutable code.</w:t>
      </w:r>
    </w:p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Part 1: Where Your Ad Money Actually Goes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 every dollar a brand spends on programmatic advertising, research shows that only 36 cents reaches a real human who actually sees the ad. The other 64 cents disappear into a chain of intermediaries, fraud, and waste.</w:t>
      </w:r>
    </w:p>
    <w:p>
      <w:pPr>
        <w:spacing w:after="16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1. The Supply Chain Tax — 15¢ of Every Dollar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Source: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ISBA Programmatic Supply Chain Transparency Study (2020, updated 2023); ANA Programmatic Media Supply Chain Transparency Study (Q2 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7.4 intermediaries on average between brand and consumer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ISBA: only 51% of spend reaches the publisher; 15% is completely unattributable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ANA: 29-44% consumed by ad tech fees before a single impression is served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2"/>
          <w:szCs w:val="22"/>
        </w:rPr>
        <w:t xml:space="preserve">PersonalOS Response: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Zero intermediaries. Brand deposits USDC → smart contract splits 90/10 → two transfers, one transaction, auditable on Base. Fee is constant FEE_BPS = 1000 in immutable bytecode.</w:t>
      </w:r>
    </w:p>
    <w:p>
      <w:pPr>
        <w:spacing w:after="16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2. Ad Fraud — $22 Billion Annually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Source: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Lunio 2024/2025; Juniper Research; ANA/White Ops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7.4% invalid clicks across Google, Meta, TikTok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Display advertising: 12-15% invalid traffic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CTV fraud: up 69% year-over-year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Made-for-advertising (MFA) sites: 21% of programmatic spend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2"/>
          <w:szCs w:val="22"/>
        </w:rPr>
        <w:t xml:space="preserve">PersonalOS Response: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Passkey authentication required. No impressions to fake, no clicks to bot. Must have verified identity, active consent, and meet matching criteria.</w:t>
      </w:r>
    </w:p>
    <w:p>
      <w:pPr>
        <w:spacing w:after="16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3. Non-Viewable Impressions — 30-40% of Display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Source: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Lumen Research; IAS Media Quality Report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Only 9% of digital ads are looked at for more than 1 second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30-40% of display ads don’t meet the IAB minimum viewability standard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2"/>
          <w:szCs w:val="22"/>
        </w:rPr>
        <w:t xml:space="preserve">PersonalOS Response: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100% viewability. Soul reads offer card, actively claims or dismisses. Every interaction is intentional.</w:t>
      </w:r>
    </w:p>
    <w:p>
      <w:pPr>
        <w:spacing w:after="16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4. Wrong Audience — The Targeting Illusion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Source: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ANA Q2 2025; Scope3; industry benchmarks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Conversion rates: 0.1-0.5% for programmatic display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Cookie deprecation is steadily reducing targeting signal quality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Walled gardens cannot see across ecosystems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2"/>
          <w:szCs w:val="22"/>
        </w:rPr>
        <w:t xml:space="preserve">PersonalOS Response: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Consumer declares intent. Engagement levels (Off/Open/Exploring/Ready). 40-60% conversion rate on direct channel.</w:t>
      </w:r>
    </w:p>
    <w:p>
      <w:pPr>
        <w:spacing w:after="16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5. The Hidden Carbon Cost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Source: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Scope3; Good-Loop &amp; Cedara; GroupM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 million programmatic impressions ≈ 5.4 tonnes CO₂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MFA sites generate 26% more carbon per impression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2"/>
          <w:szCs w:val="22"/>
        </w:rPr>
        <w:t xml:space="preserve">PersonalOS Response: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Near-zero carbon footprint. One match, one claim, one settlement. No programmatic auction cascade.</w:t>
      </w:r>
    </w:p>
    <w:p>
      <w:pPr>
        <w:spacing w:after="16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6. Data Leakage &amp; Privacy Violations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Source: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DOJ v. Google; GDPR enforcement (€4.1B total); WFA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DOJ found Google maintains an illegal monopoly in ad tech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Meta fined €1.2B, Amazon €746M, Google €150M under GDPR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Bidstream broadcasts user data to dozens of bidders per impression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2"/>
          <w:szCs w:val="22"/>
        </w:rPr>
        <w:t xml:space="preserve">PersonalOS Response: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raw data stays on user’s device. No bidstream, no tracking pixels, no data broker access. On-device processing only.</w:t>
      </w:r>
    </w:p>
    <w:p>
      <w:pPr>
        <w:spacing w:after="16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7. The Measurement Gap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Source: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WFA Cross-Media Measurement; ANA; Nielsen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standard cross-channel attribution methodology exists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Walled gardens refuse to share conversion data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2"/>
          <w:szCs w:val="22"/>
        </w:rPr>
        <w:t xml:space="preserve">PersonalOS Response: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claim is recorded on Base blockchain. Scale+ brands get full conversion attribution across channels.</w:t>
      </w:r>
    </w:p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Part 2: Three Proof Points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Proof Point #1 — Direct Channel: 41x More Efficient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How does PersonalOS Direct compare to traditional programmatic on a component-by-component basis?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3744"/>
      </w:tblGrid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Cost Component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Programmatic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PersonalOS Direct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 tech fees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29-44%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Fraud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7-12%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Non-viewable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30-40%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Wrong audience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99.5%+ waste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40-60% conversion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Platform fee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Included above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10% (immutable)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 consumer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~$0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$0.90 of every $1.00</w:t>
            </w:r>
          </w:p>
        </w:tc>
      </w:tr>
    </w:tbl>
    <w:p>
      <w:pPr>
        <w:spacing w:after="20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4"/>
          <w:szCs w:val="24"/>
        </w:rPr>
        <w:t xml:space="preserve">The Math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Industry: $1.00 → $0.022 consumer value (2.2%)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PersonalOS: $1.00 → $0.90 to consumer (90%)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Efficiency ratio: 90% ÷ 2.2% = </w:t>
      </w: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8"/>
          <w:szCs w:val="28"/>
        </w:rPr>
        <w:t xml:space="preserve">41x</w:t>
      </w:r>
    </w:p>
    <w:p>
      <w:pPr>
        <w:spacing w:after="16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4"/>
          <w:szCs w:val="24"/>
        </w:rPr>
        <w:t xml:space="preserve">How It’s Proven — Code You Can Audit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Contract: BudgetEscrow.sol on Base Sepolia (0x4591…1bd80)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Fee: constant FEE_BPS = 1000 (immutable in bytecode)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Claim logic: fee = (amount × FEE_BPS) / 10000; yield = amount − fee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Verification: Anyone can verify on Basescan</w:t>
      </w:r>
    </w:p>
    <w:p>
      <w:pPr>
        <w:spacing w:after="16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4"/>
          <w:szCs w:val="24"/>
        </w:rPr>
        <w:t xml:space="preserve">Why Brands Should Care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direct channel won’t replace your entire media budget — it launches with 500 souls. But for highest-value audiences with declared intent, it is 41x more efficient than programmatic. Think of it as a precision instrument, not a replacement for reach.</w:t>
      </w:r>
    </w:p>
    <w:p>
      <w:pPr>
        <w:spacing w:after="20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Proof Point #2 — Existing Channel Optimization: 3-5x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PersonalOS intelligence products help brands optimize their existing Meta, Google, and programmatic spend: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3"/>
        <w:gridCol w:w="2553"/>
        <w:gridCol w:w="4254"/>
      </w:tblGrid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Product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Tier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Aggregate demand dashboard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(Starter)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See verified intent volume by category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Demand intelligence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Growth ($199/mo)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Intent peaks, timing signals, price sensitivity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attribution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Scale ($999/mo)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Direct channel vs. other channel comparison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Suppression signals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Scale ($999/mo)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Stop targeting people who already converted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Exclusion list API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Scale ($999/mo)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7-day time-locked batches for ad platforms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Demand forecasting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Enterprise ($4,999/mo)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Intent pattern predictions for planning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ZK matching insights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Enterprise ($4,999/mo)</w:t>
            </w:r>
          </w:p>
        </w:tc>
        <w:tc>
          <w:tcPr>
            <w:tcW w:type="dxa" w:w="42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See results, never matching criteria</w:t>
            </w:r>
          </w:p>
        </w:tc>
      </w:tr>
    </w:tbl>
    <w:p>
      <w:pPr>
        <w:spacing w:after="20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4"/>
          <w:szCs w:val="24"/>
        </w:rPr>
        <w:t xml:space="preserve">Why 3-5x, Not 41x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These products optimize existing channels — they don’t replace the supply chain. The improvements compound: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Suppression: 20-30% waste reduction (stop paying to reach converters)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Demand timing: 15-25% efficiency gain (reach people when intent peaks)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Attribution clarity: 10-20% improvement (allocate budget to what works)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Combined: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3-5x improvement on existing programmatic and social spend.</w:t>
      </w:r>
    </w:p>
    <w:p>
      <w:pPr>
        <w:spacing w:after="20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Proof Point #3 — Portfolio Effect: 8-15x Blended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real power emerges when brands allocate across both channels: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808"/>
        <w:gridCol w:w="2808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Allocation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Direct (41x)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Existing Optimized (4x)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Blended ROI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10% / 90%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41x on 10%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4x on 90%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~7.7x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20% / 80%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41x on 20%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4x on 80%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~11.4x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30% / 70%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41x on 30%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4x on 70%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~15.1x</w:t>
            </w:r>
          </w:p>
        </w:tc>
      </w:tr>
    </w:tbl>
    <w:p>
      <w:pPr>
        <w:spacing w:after="20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4"/>
          <w:szCs w:val="24"/>
        </w:rPr>
        <w:t xml:space="preserve">Brand Journey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3744"/>
        <w:gridCol w:w="3744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Phase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You Do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You Learn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Browse (Free)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View demand dashboard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intent exists for your category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 ($199/mo)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 3-5 direct offers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41x efficiency is real and measurable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Optimize ($999/mo)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suppression + attribution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3-5x improvement on existing spend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Scale ($4,999/mo)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Full portfolio allocation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8-15x blended across all channels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The Economics: Brand ROI Comparison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How does PersonalOS compare to established channels on cost-per-acquisition?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2340"/>
        <w:gridCol w:w="156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Channel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CPA Range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Conversion 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Verification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Data Freshness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Meta Lookalike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$30-80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3-8%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Days-old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Google Search Ads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$20-60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5-12%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Click-through only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Search moment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Programmatic Display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$40-120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0.5-2%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Viewability estimate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Weeks-old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PersonalOS Level 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$2-5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3-8%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Consent-verified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PersonalOS Level 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$3-8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20-35%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Cross-source aligned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Active research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PersonalOS Level 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$4-12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40-60%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Multi-source verified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30-60 day window</w:t>
            </w:r>
          </w:p>
        </w:tc>
      </w:tr>
    </w:tbl>
    <w:p>
      <w:pPr>
        <w:spacing w:after="24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Soul Earnings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Souls (users) receive 90% of every settlement. Earnings vary by tier and engagement level: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Soul Tier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Level 1 (Open)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Level 2 (Exploring)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Level 3 (Ready)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Standard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$1.80-4.50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$4.05-14.40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$5.40-36.00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Gold (1.2x)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$2.16-5.40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$4.86-17.28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$6.48-43.20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Platinum (1.5x)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$2.70-6.75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$6.08-21.60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$8.10-54.00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Example: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Platinum soul with 5 active Ready intents, claiming 3-4 offers per month, could earn $120-650+/month from brands who value their verified, high-intent attention.</w:t>
      </w:r>
    </w:p>
    <w:p>
      <w:pPr>
        <w:spacing w:after="24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6"/>
          <w:szCs w:val="26"/>
        </w:rPr>
        <w:t xml:space="preserve">Why Intent Signals Stay Honest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PersonalOS uses a five-component integrity scoring system to ensure intent declarations remain trustworthy: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3"/>
        <w:gridCol w:w="851"/>
        <w:gridCol w:w="5956"/>
      </w:tblGrid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Weight</w:t>
            </w:r>
          </w:p>
        </w:tc>
        <w:tc>
          <w:tcPr>
            <w:tcW w:type="dxa" w:w="59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It Verifies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Cross-source alignment</w:t>
            </w:r>
          </w:p>
        </w:tc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W w:type="dxa" w:w="59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2+ sources show consistent activity (on-device analysis)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Follow-through rate</w:t>
            </w:r>
          </w:p>
        </w:tc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25%</w:t>
            </w:r>
          </w:p>
        </w:tc>
        <w:tc>
          <w:tcPr>
            <w:tcW w:type="dxa" w:w="59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Historical track record of acting on declared intents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Category base rate</w:t>
            </w:r>
          </w:p>
        </w:tc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59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Platform-wide conversion provides statistical context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Timing plausibility</w:t>
            </w:r>
          </w:p>
        </w:tc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59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Does the purchase window make sense for this category?</w:t>
            </w:r>
          </w:p>
        </w:tc>
      </w:tr>
      <w:tr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Soul tier bonus</w:t>
            </w:r>
          </w:p>
        </w:tc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59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Platinum/Gold souls have earned a trust baseline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4"/>
          <w:szCs w:val="24"/>
        </w:rPr>
        <w:t xml:space="preserve">Why Gaming Fails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Cross-source alignment requires real behavior across independent data sources — fabricating consistent signals across apps, browsers, and purchase history is impractical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Follow-through decay: a few fake declarations that don’t convert tank future earnings by 15-25% through reduced integrity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Dynamic slot cap (3-7 active intents) limits declaration volume, making spray-and-pray uneconomical</w:t>
      </w:r>
    </w:p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Part 3: Why Can’t Google or Meta Just Build This?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structural reasons why incumbents cannot replicate PersonalOS form what we call the Impossible Triangle: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Vertex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It Means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Why Incumbents Can’t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Incentive Inversion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Earn when users earn (10% fee)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Google/Meta earn from ads. Aligning with users cannibalizes 80%+ of their revenue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Compounding Data Identity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Years of verified cross-source history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Each platform has one silo. DMA restricts combination of datasets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Immutable Economics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 locked in bytecode forever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Public companies need flexibility. Quarterly pressure prevents permanent commitments</w:t>
            </w:r>
          </w:p>
        </w:tc>
      </w:tr>
    </w:tbl>
    <w:p>
      <w:pPr>
        <w:spacing w:after="20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24"/>
          <w:szCs w:val="24"/>
        </w:rPr>
        <w:t xml:space="preserve">Three Defensive Layers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Structural: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Cross-source data aggregation via data portability rights (GDPR Art. 20, CCPA) creates a dataset no single platform can replicate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Reputational: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PersonalOS is the user’s agent, not the advertiser’s agent. This trust relationship compounds over time and cannot be faked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Regulatory: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new privacy regulation (DMA, DSA, state privacy laws) strengthens PersonalOS while weakening incumbent surveillance models</w:t>
      </w:r>
    </w:p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Part 4: How Your Intelligence Is Protected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Brands invest significant resources to understand their markets. PersonalOS protects that investment with multiple layers: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Protection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Mechanism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On-chain access audit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Every access logged on Base blockchain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Tamper-proof record of who accessed what, when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Subscription NFT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Non-transferable token with expiry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Cancel subscription = immediately lose access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Time-locked signals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7-day expiry on all intelligence data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 maintain active subscription to retain access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Zero-knowledge matching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Brand sees match results only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Competitive intelligence and criteria are protected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Non-extraction ToS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Backed by on-chain evidence trail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Verify compliance, don’t just trust promises</w:t>
            </w:r>
          </w:p>
        </w:tc>
      </w:tr>
    </w:tbl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Part 5: Risks &amp; Honest Limitations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PersonalOS is early-stage. Here are the real risks, honestly assessed: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468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Risk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Severity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Small user base (500 souls at launch)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Precision, not reach. Intelligence products work with aggregate data from day one.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Regulatory uncertainty (MSB classification)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Legal review underway. Architecture designed for compliance from the start.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Smart contract risk (immutable code)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Built on audited OpenZeppelin libraries. Foundry test suite. Bug bounty planned.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Cold start (brands need proof first)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Starter tier. $199 Growth is low commitment. Results speak.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Consumer friction (crypto wallet required)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Earn-first onboarding. Coinbase on/off-ramp. Passkey authentication.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Incumbent response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Low-Medium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Impossible Triangle makes replication structurally infeasible.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Rights Agent challenges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Phased rollout. On-device processing only. Legal frameworks support portability.</w:t>
            </w:r>
          </w:p>
        </w:tc>
      </w:tr>
    </w:tbl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Part 6: Architecture Behind the Claims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claim in this document is backed by an Architecture Decision Record (ADR). Key ADRs for brands: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3404"/>
        <w:gridCol w:w="5105"/>
      </w:tblGrid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ADR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Brand Relevance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ADR-07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On-Device Processing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never leaves the user’s phone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ADR-14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Differential Privacy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Aggregate data includes calibrated noise for privacy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ADR-33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USDC Settlement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Every payment is on-chain and auditable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ADR-35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Immutable Fee Split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10% ceiling is locked in bytecode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ADR-37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Re-identification Mitigation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k≥50 — brands never see individual-level data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ADR-42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Brand Lifecycle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Onboarding → listing → settlement flow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ADR-46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Brand Portal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 + analytics + free demand overview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ADR-51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Brand Scoring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Brands earn trust too — mutual accountability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ADR-53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Intent Marketplace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Engagement levels + intent declarations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ADR-54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Soul Tiers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New → Verified → Trusted → Platinum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ADR-55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Intent Integrity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Five-component verification scoring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ADR-58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Revenue Model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Settlement + Soul Pro + Brand subscription tiers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ADR-59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Rights Agent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Automated data portability on behalf of users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ADR-60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Brand Intelligence Protection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On-chain audit, NFT access, ZK matching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ADR-61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Delivery Channel Strategy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Complement model: direct channel + intelligence</w:t>
            </w:r>
          </w:p>
        </w:tc>
      </w:tr>
      <w:tr>
        <w:tc>
          <w:tcPr>
            <w:tcW w:type="dxa" w:w="8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ADR-62</w:t>
            </w:r>
          </w:p>
        </w:tc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Competitive Moat</w:t>
            </w:r>
          </w:p>
        </w:tc>
        <w:tc>
          <w:tcPr>
            <w:tcW w:type="dxa" w:w="51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Impossible Triangle + three-layer defense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i/>
          <w:iCs/>
          <w:color w:val="000000"/>
          <w:sz w:val="22"/>
          <w:szCs w:val="22"/>
        </w:rPr>
        <w:t xml:space="preserve">Note: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2"/>
          <w:szCs w:val="22"/>
        </w:rPr>
        <w:t xml:space="preserve">All 62 ADRs are available on request.</w:t>
      </w:r>
    </w:p>
    <w:p>
      <w:r>
        <w:br w:type="page"/>
      </w:r>
    </w:p>
    <w:p>
      <w:pPr>
        <w:spacing w:after="20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32"/>
          <w:szCs w:val="32"/>
        </w:rPr>
        <w:t xml:space="preserve">Conclusion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programmatic advertising industry wastes $26.8 billion annually across 7 measurable categories. PersonalOS eliminates this waste structurally: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4"/>
        <w:gridCol w:w="2553"/>
        <w:gridCol w:w="3403"/>
      </w:tblGrid>
      <w:tr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You Get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Efficiency</w:t>
            </w:r>
          </w:p>
        </w:tc>
        <w:tc>
          <w:tcPr>
            <w:tcW w:type="dxa" w:w="34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Direct channel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41x vs. programmatic</w:t>
            </w:r>
          </w:p>
        </w:tc>
        <w:tc>
          <w:tcPr>
            <w:tcW w:type="dxa" w:w="34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Smart contract on Base blockchain</w:t>
            </w:r>
          </w:p>
        </w:tc>
      </w:tr>
      <w:tr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Existing channel optimization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3-5x improvement</w:t>
            </w:r>
          </w:p>
        </w:tc>
        <w:tc>
          <w:tcPr>
            <w:tcW w:type="dxa" w:w="34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Aggregate conversion data</w:t>
            </w:r>
          </w:p>
        </w:tc>
      </w:tr>
      <w:tr>
        <w:tc>
          <w:tcPr>
            <w:tcW w:type="dxa" w:w="3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Portfolio effect</w:t>
            </w:r>
          </w:p>
        </w:tc>
        <w:tc>
          <w:tcPr>
            <w:tcW w:type="dxa" w:w="2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8-15x overall</w:t>
            </w:r>
          </w:p>
        </w:tc>
        <w:tc>
          <w:tcPr>
            <w:tcW w:type="dxa" w:w="34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Both channels combined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PersonalOS doesn’t ask you to believe a pitch deck. It asks you to verify a smart contract. The 10% fee is bytecode. The settlements are on-chain. The matching is consent-gated. The data stays on the consumer’s device.</w:t>
      </w:r>
    </w:p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B7A4A"/>
          <w:sz w:val="24"/>
          <w:szCs w:val="24"/>
        </w:rPr>
        <w:t xml:space="preserve">Start for free. See demand. Test with $199/month. Scale on proof.</w:t>
      </w:r>
    </w:p>
    <w:p>
      <w:pPr>
        <w:spacing w:after="400"/>
      </w:pPr>
    </w:p>
    <w:p>
      <w:pPr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PersonalOS Inc. — July 2026 · hello@personalos.io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b w:val="false"/>
        <w:bCs w:val="false"/>
        <w:i w:val="false"/>
        <w:iCs w:val="false"/>
        <w:color w:val="888888"/>
        <w:sz w:val="16"/>
        <w:szCs w:val="16"/>
      </w:rPr>
      <w:t xml:space="preserve">Confidential — For Decision Makers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i w:val="false"/>
        <w:iCs w:val="false"/>
        <w:color w:val="1B7A4A"/>
        <w:sz w:val="18"/>
        <w:szCs w:val="18"/>
      </w:rPr>
      <w:t xml:space="preserve">PersonalOS — Ad Waste Proof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2026-07-18T22:42:02.566Z</dcterms:created>
  <dcterms:modified xsi:type="dcterms:W3CDTF">2026-07-18T22:42:02.569Z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