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565C0"/>
          <w:sz w:val="56"/>
          <w:szCs w:val="56"/>
        </w:rPr>
        <w:t xml:space="preserve">PersonalOS — Strategic Plan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Go-to-Capital &amp; Go-to-Credibility Plan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3.0 — July 2026 — Updated with Intent Marketplace Architecture &amp; 62 ADRs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757575"/>
          <w:sz w:val="22"/>
          <w:szCs w:val="22"/>
        </w:rPr>
        <w:t xml:space="preserve">PersonalOS Inc. · Confidential</w:t>
      </w:r>
    </w:p>
    <w:p>
      <w:pPr>
        <w:spacing w:before="40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1: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NARRATIVE POSITIONING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The One-Liner</w:t>
      </w:r>
    </w:p>
    <w:p>
      <w:pPr>
        <w:spacing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“PersonalOS lets consumers declare what they want to buy, verifies it through cross-source behavioral signals on their device, and connects them to brands who pay premium for verified demand — all settled atomically on-chain with 90% going to the consumer.”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The Problem-Solution Narrative</w:t>
      </w:r>
    </w:p>
    <w:p>
      <w:p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Digital advertising wastes $500B+ annually because brands pay for inferred interest through 5-15 intermediaries. Less than 44% of programmatic spend reaches consumers. Conversion rates are 3-8% because audiences are probabilistic, stale, and unverified.</w:t>
      </w:r>
    </w:p>
    <w:p>
      <w:pPr>
        <w:spacing w:line="276"/>
      </w:pPr>
    </w:p>
    <w:p>
      <w:p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Solution: </w:t>
      </w:r>
      <w:r>
        <w:rPr>
          <w:rFonts w:ascii="Calibri" w:cs="Calibri" w:eastAsia="Calibri" w:hAnsi="Calibri"/>
          <w:sz w:val="22"/>
          <w:szCs w:val="22"/>
        </w:rPr>
        <w:t xml:space="preserve">PersonalOS inverts the model: consumers proactively declare future purchase intent (“I’m buying a car in 60 days”), verified through cross-source behavioral signals (Plaid transactions, location visits, Amazon purchases) — all processed on-device, never leaving the phone. Brands bid against this declared, verified demand. Conversion rates reach 40-60%. Settlement is on-chain: 90% to consumer, 10% platform fee, zero intermediaries.</w:t>
      </w:r>
    </w:p>
    <w:p>
      <w:pPr>
        <w:spacing w:line="276"/>
      </w:pPr>
    </w:p>
    <w:p>
      <w:p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Moat: </w:t>
      </w:r>
      <w:r>
        <w:rPr>
          <w:rFonts w:ascii="Calibri" w:cs="Calibri" w:eastAsia="Calibri" w:hAnsi="Calibri"/>
          <w:sz w:val="22"/>
          <w:szCs w:val="22"/>
        </w:rPr>
        <w:t xml:space="preserve">No single platform (Meta, Google, Apple, Amazon) can assemble cross-source behavioral verification because each owns only one data silo. PersonalOS can, because the user brings their own data. Privacy-by-architecture (not policy) makes this structurally impossible to replicate without becoming a neutral data platform.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Trust Messaging Trinity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All external communication anchors to three questions: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“Is it safe?”</w:t>
      </w:r>
      <w:r>
        <w:rPr>
          <w:rFonts w:ascii="Calibri" w:cs="Calibri" w:eastAsia="Calibri" w:hAnsi="Calibri"/>
          <w:sz w:val="22"/>
          <w:szCs w:val="22"/>
        </w:rPr>
        <w:t xml:space="preserve"> → Your data stays on your phone. Raw data never leaves your device.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“What’s in it for me?”</w:t>
      </w:r>
      <w:r>
        <w:rPr>
          <w:rFonts w:ascii="Calibri" w:cs="Calibri" w:eastAsia="Calibri" w:hAnsi="Calibri"/>
          <w:sz w:val="22"/>
          <w:szCs w:val="22"/>
        </w:rPr>
        <w:t xml:space="preserve"> → Know Yourself insight cards reveal your spending, health, and lifestyle patterns.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“How do I earn?”</w:t>
      </w:r>
      <w:r>
        <w:rPr>
          <w:rFonts w:ascii="Calibri" w:cs="Calibri" w:eastAsia="Calibri" w:hAnsi="Calibri"/>
          <w:sz w:val="22"/>
          <w:szCs w:val="22"/>
        </w:rPr>
        <w:t xml:space="preserve"> → Brands pay you based on your needs and demands. The more genuine your intent, the higher the premium.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2: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PUBLIC VOICE &amp; CREDIBILITY PLAN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Thought Leadership Pillars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 Waste Exposé: </w:t>
      </w:r>
      <w:r>
        <w:rPr>
          <w:rFonts w:ascii="Calibri" w:cs="Calibri" w:eastAsia="Calibri" w:hAnsi="Calibri"/>
          <w:sz w:val="22"/>
          <w:szCs w:val="22"/>
        </w:rPr>
        <w:t xml:space="preserve">Leverage ANA/WFA data. Publish the White Paper.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Privacy-by-Architecture: </w:t>
      </w:r>
      <w:r>
        <w:rPr>
          <w:rFonts w:ascii="Calibri" w:cs="Calibri" w:eastAsia="Calibri" w:hAnsi="Calibri"/>
          <w:sz w:val="22"/>
          <w:szCs w:val="22"/>
        </w:rPr>
        <w:t xml:space="preserve">Counter “trust us” with “verify it” — on-device, on-chain, immutable.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 vs. Inference: </w:t>
      </w:r>
      <w:r>
        <w:rPr>
          <w:rFonts w:ascii="Calibri" w:cs="Calibri" w:eastAsia="Calibri" w:hAnsi="Calibri"/>
          <w:sz w:val="22"/>
          <w:szCs w:val="22"/>
        </w:rPr>
        <w:t xml:space="preserve">Framework for why declared intent beats inferred interest.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Consumer Data Sovereignty: </w:t>
      </w:r>
      <w:r>
        <w:rPr>
          <w:rFonts w:ascii="Calibri" w:cs="Calibri" w:eastAsia="Calibri" w:hAnsi="Calibri"/>
          <w:sz w:val="22"/>
          <w:szCs w:val="22"/>
        </w:rPr>
        <w:t xml:space="preserve">Align with GDPR/CCPA/DPDP. Data ownership platform.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Content Strategy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LinkedIn articles (2/month)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Twitter/X threads (1/week)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TikTok explainers (2/month)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Podcast appearances (Marketecture, AdExchanger)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Conference speaking (Programmatic I/O, IAB, Token2049)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UGC &amp; Community Strategy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Power users create authentic content: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“My Know Yourself card said I spent $1,200 on coffee last year”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“Made $47 this week from 6 intent declarations”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“I used to get 40 irrelevant ads a day. Now I get 3 offers I actually want.”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Founders create first 50 pieces, then seed templates.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3: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BOARD OF DIRECTORS &amp; ADVISOR TARGETS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Board Composition Target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Seat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Co-founder — CEO/Product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Sharad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Co-founder — CTO/Engineering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Sudhir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— Adtech/Martech veteran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— Privacy/policy leader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Investor seat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seed investor</w:t>
            </w:r>
          </w:p>
        </w:tc>
      </w:tr>
    </w:tbl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Advisor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Brian Acton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privacy-first. Signal Foundation. Validates architecture thesis.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intro through crypto/privacy network.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John Bruce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CEO of Inrupt (Solid Project). Decentralized data pods.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outreach via Solid community.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 Hoffman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“Ad Contrarian” — most credible ad waste critic.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White Paper. “You’ve documented the disease. Here’s the cure.”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Brittany Kaiser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Former Cambridge Analytica, data rights advocate. OwnYourData.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intro through data rights community.</w:t>
            </w:r>
          </w:p>
        </w:tc>
      </w:tr>
    </w:tbl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Mentor Network Targets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Naval Ravikant: </w:t>
      </w:r>
      <w:r>
        <w:rPr>
          <w:rFonts w:ascii="Calibri" w:cs="Calibri" w:eastAsia="Calibri" w:hAnsi="Calibri"/>
          <w:sz w:val="22"/>
          <w:szCs w:val="22"/>
        </w:rPr>
        <w:t xml:space="preserve">platform economics, individual sovereignty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Balaji Srinivasan: </w:t>
      </w:r>
      <w:r>
        <w:rPr>
          <w:rFonts w:ascii="Calibri" w:cs="Calibri" w:eastAsia="Calibri" w:hAnsi="Calibri"/>
          <w:sz w:val="22"/>
          <w:szCs w:val="22"/>
        </w:rPr>
        <w:t xml:space="preserve">network state thesis, economic sovereignty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Chris Dixon (a16z crypto): </w:t>
      </w:r>
      <w:r>
        <w:rPr>
          <w:rFonts w:ascii="Calibri" w:cs="Calibri" w:eastAsia="Calibri" w:hAnsi="Calibri"/>
          <w:sz w:val="22"/>
          <w:szCs w:val="22"/>
        </w:rPr>
        <w:t xml:space="preserve">on-chain settlement, tokenized economics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4: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GO-TO-MARKET: PATH TO 100K SOULS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Audience Segmentation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2000"/>
        <w:gridCol w:w="19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(Q1-Q2 2027)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Crypto-native early adopters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5K-10K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Have wallets, understand USDC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 Twitter, Discord, Token2049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(Q3-Q4 2027)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Privacy-conscious mainstream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20K-50K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Post-cookie anxiety, GDPR awareness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TikTok, Reddit, referral chains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(2028)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Mass market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50K-100K+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Word-of-mouth, polished UX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Store, podcast ads, UGC</w:t>
            </w:r>
          </w:p>
        </w:tc>
      </w:tr>
    </w:tbl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Channel Mix &amp;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60"/>
        <w:gridCol w:w="1800"/>
        <w:gridCol w:w="22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 (Monthly)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CAC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Volume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 Twitter/Discord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$2K-5K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$5-15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500-1K/mo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Organic + sponsored threads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 (organic + paid)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$3K-8K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$8-20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500-2K/mo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60-second explainers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Reddit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$1K-3K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$10-25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200-500/mo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Long-form posts, AMAs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$2K-5K (rewards)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$3-8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1K-3K/mo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Dual-sided 30-day boost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DTC brand partnerships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 (rev-share)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500-2K/mo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Brands promote to own customers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Hunt / HN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Burst: 1-5K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 events</w:t>
            </w:r>
          </w:p>
        </w:tc>
      </w:tr>
    </w:tbl>
    <w:p>
      <w:p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$8K-21K/mo for Phases 1-2. Blended CAC: $8-15.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Referral Mechanics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Referrer: </w:t>
      </w:r>
      <w:r>
        <w:rPr>
          <w:rFonts w:ascii="Calibri" w:cs="Calibri" w:eastAsia="Calibri" w:hAnsi="Calibri"/>
          <w:sz w:val="22"/>
          <w:szCs w:val="22"/>
        </w:rPr>
        <w:t xml:space="preserve">10% bonus for 30 days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Referee: </w:t>
      </w:r>
      <w:r>
        <w:rPr>
          <w:rFonts w:ascii="Calibri" w:cs="Calibri" w:eastAsia="Calibri" w:hAnsi="Calibri"/>
          <w:sz w:val="22"/>
          <w:szCs w:val="22"/>
        </w:rPr>
        <w:t xml:space="preserve">15% boost for first 30 days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Both: </w:t>
      </w:r>
      <w:r>
        <w:rPr>
          <w:rFonts w:ascii="Calibri" w:cs="Calibri" w:eastAsia="Calibri" w:hAnsi="Calibri"/>
          <w:sz w:val="22"/>
          <w:szCs w:val="22"/>
        </w:rPr>
        <w:t xml:space="preserve">countdown timer in Soul App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Shareable Know Yourself card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4.4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DTC Brand Targeting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Need efficient acquisition without Meta/Google dependency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Understand unit economics, will pay for verified intent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Have customer lists to invite as souls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Categories: meal kits, fitness, sustainable fashion, supplements, pet food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Target: 10-20 DTC brands in Phase 1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4.5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Mainnet Gate: Know Yourself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Connect 3+ data sources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Generate 5 insight cards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Receive first weekly AI digest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5: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BRAND ACQUISITION STRATEGY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Zero-Risk Pilot Program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1. Brand allocates $1K test budget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2. Run A/B: same creative, Side A existing channel, Side B PersonalOS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3. Compare CPA, conversion rate, ROAS after 30 days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4. Brand sees results: “Passive: 12 claims, 8% | Intent: 34 claims, 52%”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Brand Onboarding Flow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1. Application with business details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2. Operator review (quality gate)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3. Wallet connection (Coinbase Smart Wallet)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4. Reputation bond ($1-5K refundable USDC)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5. First listing (category, bid, escrow)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6. Intent premium toggle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Aggregate Demand Dashboard (Free)</w:t>
      </w:r>
    </w:p>
    <w:p>
      <w:p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Example view:</w:t>
      </w:r>
    </w:p>
    <w:p>
      <w:pPr>
        <w:spacing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“Automotive — Northeast — July 2026: Ready: 52 verified souls (52% avg conversion) | Exploring: 203 verified souls (28% avg conversion) | Open: 1,400 souls (8% avg conversion) | Total addressable: 1,655 souls.”</w:t>
      </w:r>
    </w:p>
    <w:p>
      <w:pPr>
        <w:spacing w:line="276"/>
      </w:pPr>
    </w:p>
    <w:p>
      <w:pPr>
        <w:spacing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All counts are privacy-preserved (noised ±10%) with k≥50 minimum. Categories with fewer than 50 souls at any engagement level show “&lt; 50” instead of exact counts.</w:t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6: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ROADMAP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Completed (as of July 2026)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62 Architecture Decision Records (ADR-01 through ADR-62) covering every system component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Smart contracts deployed and source-verified on Base Sepolia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L0.3 synthetic demo: Soul App, Brand Portal, Operator Console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Brand scoring system with contextual multipliers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Matching engine with semantic category mapping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Intent marketplace design (ADR-53/54/55)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Delivery channel strategy and competitive moat analysis (ADR-60/61/62)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90-Day Sprint (July-October 2026)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1-4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 UI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Four-level engagement slider, intent declaration flow, AI prediction cards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5-8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Portal v2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 demand dashboard, intent premium toggle, split performance view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9-10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Soul Tier Engine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Composite score calculation, tier assignment, progress indicators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10-12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Integrity Scoring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On-device alignment computation, escalation pipeline, operator review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12-13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intent-declared matching with on-chain settlement</w:t>
            </w:r>
          </w:p>
        </w:tc>
      </w:tr>
    </w:tbl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12-Month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 2026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 architecture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 UI, demand dashboard, tier engine, integrity scoring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Q4 2026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data integration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Plaid live, Apple Health, location, Base mainnet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 2027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 beta (Phase 1)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500-1K souls, 10-20 DTC brands, first USDC settlements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 2027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&amp; optimize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5K-10K souls, 50+ brands, tier system live, referrals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 2027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beta (Phase 2)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20K-50K souls, mainstream marketing, iOS native app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Q4 2027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&amp; fundraising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50K-100K souls, Series A prep, international expansion</w:t>
            </w:r>
          </w:p>
        </w:tc>
      </w:tr>
    </w:tbl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7: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TEAM &amp; RESOURCE PLAN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Current Team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Sharad (Co-founder/CEO): </w:t>
      </w:r>
      <w:r>
        <w:rPr>
          <w:rFonts w:ascii="Calibri" w:cs="Calibri" w:eastAsia="Calibri" w:hAnsi="Calibri"/>
          <w:sz w:val="22"/>
          <w:szCs w:val="22"/>
        </w:rPr>
        <w:t xml:space="preserve">Product, strategy, GTM. Part-time.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Sudhir (Co-founder/CTO): </w:t>
      </w:r>
      <w:r>
        <w:rPr>
          <w:rFonts w:ascii="Calibri" w:cs="Calibri" w:eastAsia="Calibri" w:hAnsi="Calibri"/>
          <w:sz w:val="22"/>
          <w:szCs w:val="22"/>
        </w:rPr>
        <w:t xml:space="preserve">Architecture, engineering. Part-time.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First Hire: India-Based Full-Stack Engineer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Budget: Rs. 20 lakh/year (~$24K USD)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Profile: 3-5 years, React/Next.js + Node.js + basic Solidity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sz w:val="22"/>
          <w:szCs w:val="22"/>
        </w:rPr>
        <w:t xml:space="preserve">Trigger: 2K+ active souls, 10+ paying brands, IACR above 30%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Resource Strategy: Sequenced Cylinders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Cylinder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&amp; Architecture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Sharad + Sudhir</w:t>
            </w:r>
          </w:p>
        </w:tc>
        <w:tc>
          <w:tcPr>
            <w:tcW w:type="dxa" w:w="2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Steady (10-15 hrs/week)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 authoring, system design, demo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GTM &amp; Community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Sharad</w:t>
            </w:r>
          </w:p>
        </w:tc>
        <w:tc>
          <w:tcPr>
            <w:tcW w:type="dxa" w:w="2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Accelerating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Content, brand outreach, community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Execution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hire + contractors</w:t>
            </w:r>
          </w:p>
        </w:tc>
        <w:tc>
          <w:tcPr>
            <w:tcW w:type="dxa" w:w="2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Burst (post-traction)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Implementing ADR specs</w:t>
            </w:r>
          </w:p>
        </w:tc>
      </w:tr>
    </w:tbl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8: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FUNDRAISING STRATEGY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Pre-Seed (Current)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Target: </w:t>
      </w:r>
      <w:r>
        <w:rPr>
          <w:rFonts w:ascii="Calibri" w:cs="Calibri" w:eastAsia="Calibri" w:hAnsi="Calibri"/>
          <w:sz w:val="22"/>
          <w:szCs w:val="22"/>
        </w:rPr>
        <w:t xml:space="preserve">$150K-300K from angels and micro-VCs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Use: </w:t>
      </w:r>
      <w:r>
        <w:rPr>
          <w:rFonts w:ascii="Calibri" w:cs="Calibri" w:eastAsia="Calibri" w:hAnsi="Calibri"/>
          <w:sz w:val="22"/>
          <w:szCs w:val="22"/>
        </w:rPr>
        <w:t xml:space="preserve">India engineer (12 months), cloud infra, Plaid API, Base gas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2K+ souls, 10+ brands, IACR above 30%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Seed (Q3-Q4 2027)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Target: </w:t>
      </w:r>
      <w:r>
        <w:rPr>
          <w:rFonts w:ascii="Calibri" w:cs="Calibri" w:eastAsia="Calibri" w:hAnsi="Calibri"/>
          <w:sz w:val="22"/>
          <w:szCs w:val="22"/>
        </w:rPr>
        <w:t xml:space="preserve">$1.5M-3M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Use: </w:t>
      </w:r>
      <w:r>
        <w:rPr>
          <w:rFonts w:ascii="Calibri" w:cs="Calibri" w:eastAsia="Calibri" w:hAnsi="Calibri"/>
          <w:sz w:val="22"/>
          <w:szCs w:val="22"/>
        </w:rPr>
        <w:t xml:space="preserve">Team (5-8 engineers), iOS native, international, marketing</w:t>
      </w:r>
    </w:p>
    <w:p>
      <w:pPr>
        <w:pStyle w:val="ListParagraph"/>
        <w:numPr>
          <w:ilvl w:val="0"/>
          <w:numId w:val="1"/>
        </w:numPr>
        <w:spacing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20K+ souls, 50+ brands, IACR above 40%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Target Investors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35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Thesis Alignment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Crypto/Web3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a16z crypto, Paradigm, Coinbase Ventures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On-chain settlement, USDC, Base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Privacy/Data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Mozilla Ventures, Omidyar Network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sovereignty, privacy-by-architecture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Adtech/Martech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Operative, LiveRamp, ID5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waste elimination, post-cookie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Consumer/DTC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Forerunner, Lerer Hippeau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 empowerment, DTC economics</w:t>
            </w:r>
          </w:p>
        </w:tc>
      </w:tr>
    </w:tbl>
    <w:p>
      <w:pPr>
        <w:spacing w:after="200" w:before="40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SECTION 9: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RISK ASSESSMENT &amp; MITIGATION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Founder bandwidth (both part-time)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Sequenced cylinders. First hire triggered by traction.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quality (gaming/fake intent)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 integrity scoring (ADR-55) with 5-component verification.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 supply (not enough brands)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Zero-risk A/B pilot. Free dashboard. DTC brands bring own customers.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complexity (on-device)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CoreML mature. Start basic, add sophistication.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Regulatory risk (data handling)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Privacy-by-architecture. Raw data never leaves device.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Competitive response (Meta/Google)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Structural impossibility: can’t become neutral cross-source platform.</w:t>
            </w:r>
          </w:p>
        </w:tc>
      </w:tr>
    </w:tbl>
    <w:p>
      <w:pPr>
        <w:spacing w:before="60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i/>
          <w:iCs/>
          <w:color w:val="1565C0"/>
          <w:sz w:val="28"/>
          <w:szCs w:val="28"/>
        </w:rPr>
        <w:t xml:space="preserve">PersonalOS — From inference to declaration. From waste to value.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57575"/>
        <w:sz w:val="18"/>
        <w:szCs w:val="18"/>
      </w:rPr>
      <w:t xml:space="preserve">Confidential  •  Page </w:t>
    </w:r>
    <w:r>
      <w:rPr>
        <w:rFonts w:ascii="Calibri" w:cs="Calibri" w:eastAsia="Calibri" w:hAnsi="Calibri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757575"/>
        <w:sz w:val="18"/>
        <w:szCs w:val="18"/>
      </w:rPr>
      <w:t xml:space="preserve">PersonalOS — Strategic Plan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2026-07-18T22:42:28.575Z</dcterms:created>
  <dcterms:modified xsi:type="dcterms:W3CDTF">2026-07-18T22:42:28.578Z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