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Q1.</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1971 war changed the political geography of the subcontinent</w:t>
            </w:r>
          </w:p>
          <w:p w:rsidR="00382E57" w:rsidRPr="00382E57" w:rsidRDefault="00382E57" w:rsidP="00382E57">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Despite the significance of the event. There has been no serious book about the conflict</w:t>
            </w:r>
          </w:p>
          <w:p w:rsidR="00382E57" w:rsidRPr="00382E57" w:rsidRDefault="00382E57" w:rsidP="00382E57">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Surrender at Dacca aims to fill this gap</w:t>
            </w:r>
          </w:p>
          <w:p w:rsidR="00382E57" w:rsidRPr="00382E57" w:rsidRDefault="00382E57" w:rsidP="00382E57">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It also profoundly altered the geo-strategic situation in South-East Asia</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10944" w:type="dxa"/>
        <w:jc w:val="right"/>
        <w:tblCellMar>
          <w:top w:w="15" w:type="dxa"/>
          <w:left w:w="15" w:type="dxa"/>
          <w:bottom w:w="15" w:type="dxa"/>
          <w:right w:w="15" w:type="dxa"/>
        </w:tblCellMar>
        <w:tblLook w:val="04A0" w:firstRow="1" w:lastRow="0" w:firstColumn="1" w:lastColumn="0" w:noHBand="0" w:noVBand="1"/>
      </w:tblPr>
      <w:tblGrid>
        <w:gridCol w:w="840"/>
        <w:gridCol w:w="72"/>
        <w:gridCol w:w="756"/>
        <w:gridCol w:w="8316"/>
        <w:gridCol w:w="960"/>
      </w:tblGrid>
      <w:tr w:rsidR="00382E57" w:rsidRPr="00382E57" w:rsidTr="00382E57">
        <w:trPr>
          <w:gridAfter w:val="1"/>
          <w:wAfter w:w="960" w:type="dxa"/>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gridSpan w:val="2"/>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1324</w:t>
            </w:r>
          </w:p>
        </w:tc>
      </w:tr>
      <w:tr w:rsidR="00382E57" w:rsidRPr="00382E57" w:rsidTr="00382E57">
        <w:trPr>
          <w:gridAfter w:val="1"/>
          <w:wAfter w:w="960" w:type="dxa"/>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gridSpan w:val="2"/>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3142</w:t>
            </w:r>
          </w:p>
        </w:tc>
      </w:tr>
      <w:tr w:rsidR="00382E57" w:rsidRPr="00382E57" w:rsidTr="00382E57">
        <w:trPr>
          <w:gridAfter w:val="1"/>
          <w:wAfter w:w="960" w:type="dxa"/>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gridSpan w:val="2"/>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2143</w:t>
            </w:r>
          </w:p>
        </w:tc>
      </w:tr>
      <w:tr w:rsidR="00382E57" w:rsidRPr="00382E57" w:rsidTr="00382E57">
        <w:trPr>
          <w:gridAfter w:val="1"/>
          <w:wAfter w:w="960" w:type="dxa"/>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right"/>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 </w:t>
            </w:r>
          </w:p>
        </w:tc>
        <w:tc>
          <w:tcPr>
            <w:tcW w:w="828" w:type="dxa"/>
            <w:gridSpan w:val="2"/>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1423</w:t>
            </w:r>
          </w:p>
          <w:p w:rsidR="00382E57" w:rsidRDefault="00382E57" w:rsidP="00382E57">
            <w:pPr>
              <w:spacing w:after="15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gramStart"/>
            <w:r>
              <w:rPr>
                <w:rFonts w:ascii="Times New Roman" w:eastAsia="Times New Roman" w:hAnsi="Times New Roman" w:cs="Times New Roman"/>
                <w:sz w:val="24"/>
                <w:szCs w:val="24"/>
              </w:rPr>
              <w:t>:D</w:t>
            </w:r>
            <w:proofErr w:type="spellEnd"/>
            <w:proofErr w:type="gramEnd"/>
          </w:p>
          <w:p w:rsidR="00382E57" w:rsidRPr="00382E57" w:rsidRDefault="00382E57" w:rsidP="00382E57">
            <w:pPr>
              <w:spacing w:after="150" w:line="240" w:lineRule="auto"/>
              <w:rPr>
                <w:rFonts w:ascii="Times New Roman" w:eastAsia="Times New Roman" w:hAnsi="Times New Roman" w:cs="Times New Roman"/>
                <w:sz w:val="24"/>
                <w:szCs w:val="24"/>
              </w:rPr>
            </w:pPr>
          </w:p>
        </w:tc>
      </w:tr>
      <w:tr w:rsidR="00382E57" w:rsidRPr="00382E57" w:rsidTr="00382E57">
        <w:tblPrEx>
          <w:jc w:val="left"/>
          <w:shd w:val="clear" w:color="auto" w:fill="FFFFFF"/>
        </w:tblPrEx>
        <w:tc>
          <w:tcPr>
            <w:tcW w:w="912"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Q2.</w:t>
            </w:r>
          </w:p>
        </w:tc>
        <w:tc>
          <w:tcPr>
            <w:tcW w:w="10032" w:type="dxa"/>
            <w:gridSpan w:val="3"/>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Nonetheless, Tocqueville was only one of the first of a long line of thinkers to worry whether such rough equality could survive in the face of a growing factory system that threatened to create divisions between industrial workers and a new business elite.</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 xml:space="preserve">2)."The government of democracy brings the nation of political rights to the level of the humblest citizens. He </w:t>
            </w:r>
            <w:proofErr w:type="gramStart"/>
            <w:r w:rsidRPr="00382E57">
              <w:rPr>
                <w:rFonts w:ascii="Helvetica" w:eastAsia="Times New Roman" w:hAnsi="Helvetica" w:cs="Helvetica"/>
                <w:color w:val="333333"/>
                <w:sz w:val="21"/>
                <w:szCs w:val="21"/>
              </w:rPr>
              <w:t>wrote ,</w:t>
            </w:r>
            <w:proofErr w:type="gramEnd"/>
            <w:r w:rsidRPr="00382E57">
              <w:rPr>
                <w:rFonts w:ascii="Helvetica" w:eastAsia="Times New Roman" w:hAnsi="Helvetica" w:cs="Helvetica"/>
                <w:color w:val="333333"/>
                <w:sz w:val="21"/>
                <w:szCs w:val="21"/>
              </w:rPr>
              <w:t>" Just as the dissemination of wealth brings the notion of property within the reach of all the members of the community".</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Tocqueville was far too shrewd an observer to be uncritical about the US, but his verdict was fundamentally positive.</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No visitor to the US left a more enduring record of his travels and observations than the French writer and political theorist Alexis de Tocqueville, whose ‘</w:t>
            </w:r>
            <w:r w:rsidRPr="00382E57">
              <w:rPr>
                <w:rFonts w:ascii="Helvetica" w:eastAsia="Times New Roman" w:hAnsi="Helvetica" w:cs="Helvetica"/>
                <w:i/>
                <w:iCs/>
                <w:color w:val="333333"/>
                <w:sz w:val="21"/>
                <w:szCs w:val="21"/>
              </w:rPr>
              <w:t>Democracy in America</w:t>
            </w:r>
            <w:r w:rsidRPr="00382E57">
              <w:rPr>
                <w:rFonts w:ascii="Helvetica" w:eastAsia="Times New Roman" w:hAnsi="Helvetica" w:cs="Helvetica"/>
                <w:color w:val="333333"/>
                <w:sz w:val="21"/>
                <w:szCs w:val="21"/>
              </w:rPr>
              <w:t xml:space="preserve">’, first published in 1835, remains one of the most trenchant and insightful analyses of American social and political </w:t>
            </w:r>
            <w:proofErr w:type="spellStart"/>
            <w:r w:rsidRPr="00382E57">
              <w:rPr>
                <w:rFonts w:ascii="Helvetica" w:eastAsia="Times New Roman" w:hAnsi="Helvetica" w:cs="Helvetica"/>
                <w:color w:val="333333"/>
                <w:sz w:val="21"/>
                <w:szCs w:val="21"/>
              </w:rPr>
              <w:t>practises</w:t>
            </w:r>
            <w:proofErr w:type="spellEnd"/>
            <w:r w:rsidRPr="00382E57">
              <w:rPr>
                <w:rFonts w:ascii="Helvetica" w:eastAsia="Times New Roman" w:hAnsi="Helvetica" w:cs="Helvetica"/>
                <w:color w:val="333333"/>
                <w:sz w:val="21"/>
                <w:szCs w:val="21"/>
              </w:rPr>
              <w:t>.</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4132</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2134</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4321</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4213</w:t>
            </w:r>
          </w:p>
        </w:tc>
      </w:tr>
    </w:tbl>
    <w:p w:rsidR="004E0FF7" w:rsidRDefault="00382E57">
      <w:proofErr w:type="spellStart"/>
      <w:r>
        <w:t>Ans</w:t>
      </w:r>
      <w:proofErr w:type="gramStart"/>
      <w:r>
        <w:t>:C</w:t>
      </w:r>
      <w:proofErr w:type="spellEnd"/>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Q3.</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The potential exchanges between the officials of IBBF and the Maharashtra Body-Building Association has all the trappings of a drama we are accustomed to.</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2). In the case of sports persons, there is room for some sympathy, but the apathy of the administrators, which has even led to sanctions from international bodies, is unpardonable.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lastRenderedPageBreak/>
              <w:t>3). A case in the point is the hefty penalty of US $10,000 slapped on the Indian Body-Building Federation for not fulfilling its commitment for holding the Asian Championships in Mumbai in October.</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4). It is a matter of deep regret and concern that the sports administrators often cause more harm to the image of the country than sportsmen and sportswomen do through their dismal performances.</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3124</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4231</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4123</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3421</w:t>
            </w:r>
          </w:p>
        </w:tc>
      </w:tr>
    </w:tbl>
    <w:p w:rsidR="00382E57" w:rsidRDefault="00382E57">
      <w:r>
        <w:t>ANS</w:t>
      </w:r>
      <w:proofErr w:type="gramStart"/>
      <w:r>
        <w:t>:B</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Q4.</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Over the years, I have had the opportunities to observe and understand the thought processes behind the ads that have been flooding both the print and the TV media.</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2). Although there is a huge shift in the quality of ads that we come across on a daily basis-- thanks essentially to improvement in technology--I somehow can't help but feel that the quality of communication of the message has become diluted.</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Proportionally, the number of ads that lack in quality, have gone up exponentially as well!!</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There is an increasing attempt by most companies to be seen as cool and funky.</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5). Another reason could be the burgeoning number of companies, which means an exponential increase in the number of ads that are being made.</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43125</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43512 </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12453</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21435</w:t>
            </w:r>
          </w:p>
        </w:tc>
      </w:tr>
    </w:tbl>
    <w:p w:rsidR="00382E57" w:rsidRDefault="00382E57">
      <w:r>
        <w:t>ANS</w:t>
      </w:r>
      <w:proofErr w:type="gramStart"/>
      <w:r>
        <w:t>:C</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Q5.</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His political career came to an abrupt end with China's military operation.</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 xml:space="preserve">2). He attracted as </w:t>
            </w:r>
            <w:proofErr w:type="spellStart"/>
            <w:r w:rsidRPr="00382E57">
              <w:rPr>
                <w:rFonts w:ascii="Helvetica" w:eastAsia="Times New Roman" w:hAnsi="Helvetica" w:cs="Helvetica"/>
                <w:color w:val="333333"/>
                <w:sz w:val="21"/>
                <w:szCs w:val="21"/>
              </w:rPr>
              <w:t>as</w:t>
            </w:r>
            <w:proofErr w:type="spellEnd"/>
            <w:r w:rsidRPr="00382E57">
              <w:rPr>
                <w:rFonts w:ascii="Helvetica" w:eastAsia="Times New Roman" w:hAnsi="Helvetica" w:cs="Helvetica"/>
                <w:color w:val="333333"/>
                <w:sz w:val="21"/>
                <w:szCs w:val="21"/>
              </w:rPr>
              <w:t xml:space="preserve"> repelled.</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He was responsible for the debacle.</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A man of paradoxes, Menon remained an enigma.</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4312</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1342</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4213</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4132</w:t>
            </w:r>
          </w:p>
        </w:tc>
      </w:tr>
    </w:tbl>
    <w:p w:rsidR="00382E57" w:rsidRDefault="00382E57">
      <w:r>
        <w:t>ANS</w:t>
      </w:r>
      <w:proofErr w:type="gramStart"/>
      <w:r>
        <w:t>:C</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w:t>
            </w:r>
            <w:r>
              <w:rPr>
                <w:rFonts w:ascii="Helvetica" w:eastAsia="Times New Roman" w:hAnsi="Helvetica" w:cs="Helvetica"/>
                <w:b/>
                <w:bCs/>
                <w:i/>
                <w:iCs/>
                <w:color w:val="333333"/>
                <w:sz w:val="32"/>
                <w:szCs w:val="32"/>
              </w:rPr>
              <w:t>6</w:t>
            </w:r>
            <w:r w:rsidRPr="00382E57">
              <w:rPr>
                <w:rFonts w:ascii="Helvetica" w:eastAsia="Times New Roman" w:hAnsi="Helvetica" w:cs="Helvetica"/>
                <w:b/>
                <w:bCs/>
                <w:i/>
                <w:iCs/>
                <w:color w:val="333333"/>
                <w:sz w:val="32"/>
                <w:szCs w:val="32"/>
              </w:rPr>
              <w:t>.</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But in the industrial era destroying the enemy’s productive capacity means bombing the factories which are located in the cities.</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2). So in the agrarian era, if you need to destroy the enemy’s productive capacity, what you want to do is bum his fields, or if you’re really vicious, salt them.</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3). Now in the information era, destroying the enemy’s productive capacity means destroying the information infrastructure.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4). How do you do battle with your enemy?</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5). The idea is to destroy the enemy’s productive capacity, and depending upon the economic foundation, that productive capacity is different in each case.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 xml:space="preserve">6). With regard to </w:t>
            </w:r>
            <w:proofErr w:type="spellStart"/>
            <w:r w:rsidRPr="00382E57">
              <w:rPr>
                <w:rFonts w:ascii="Helvetica" w:eastAsia="Times New Roman" w:hAnsi="Helvetica" w:cs="Helvetica"/>
                <w:color w:val="333333"/>
                <w:sz w:val="21"/>
                <w:szCs w:val="21"/>
              </w:rPr>
              <w:t>defence</w:t>
            </w:r>
            <w:proofErr w:type="spellEnd"/>
            <w:r w:rsidRPr="00382E57">
              <w:rPr>
                <w:rFonts w:ascii="Helvetica" w:eastAsia="Times New Roman" w:hAnsi="Helvetica" w:cs="Helvetica"/>
                <w:color w:val="333333"/>
                <w:sz w:val="21"/>
                <w:szCs w:val="21"/>
              </w:rPr>
              <w:t>, the purpose of the military is to defend the nation and be prepared to do battle with its enemy.</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645213</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631254</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452136</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465213</w:t>
            </w:r>
          </w:p>
        </w:tc>
      </w:tr>
    </w:tbl>
    <w:p w:rsidR="00382E57" w:rsidRDefault="00382E57">
      <w:r>
        <w:t>ANS</w:t>
      </w:r>
      <w:proofErr w:type="gramStart"/>
      <w:r>
        <w:t>:A</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4E45C3" w:rsidP="00382E57">
            <w:pPr>
              <w:spacing w:after="300" w:line="240" w:lineRule="auto"/>
              <w:rPr>
                <w:rFonts w:ascii="Helvetica" w:eastAsia="Times New Roman" w:hAnsi="Helvetica" w:cs="Helvetica"/>
                <w:color w:val="333333"/>
                <w:sz w:val="32"/>
                <w:szCs w:val="32"/>
              </w:rPr>
            </w:pPr>
            <w:r>
              <w:rPr>
                <w:rFonts w:ascii="Helvetica" w:eastAsia="Times New Roman" w:hAnsi="Helvetica" w:cs="Helvetica"/>
                <w:b/>
                <w:bCs/>
                <w:i/>
                <w:iCs/>
                <w:color w:val="333333"/>
                <w:sz w:val="32"/>
                <w:szCs w:val="32"/>
              </w:rPr>
              <w:t>Q7</w:t>
            </w:r>
            <w:r w:rsidR="00382E57" w:rsidRPr="00382E57">
              <w:rPr>
                <w:rFonts w:ascii="Helvetica" w:eastAsia="Times New Roman" w:hAnsi="Helvetica" w:cs="Helvetica"/>
                <w:b/>
                <w:bCs/>
                <w:i/>
                <w:iCs/>
                <w:color w:val="333333"/>
                <w:sz w:val="32"/>
                <w:szCs w:val="32"/>
              </w:rPr>
              <w:t>.</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Electronic transactions are happening in closed group networks and Internet. Electronic commerce is one of the most important aspects of Internet to emerge.</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2). Cash transactions offer both privacy and anonymity as it does not contain information that can be used to identify the parties nor the transaction history.</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To support e-commerce, we need effective payment systems and secure communication channels and data integrity.</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The whole structure of traditional money is built on faith and so will electronic money have to be.</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lastRenderedPageBreak/>
              <w:t xml:space="preserve">5). Moreover, money is worth what it is because we have </w:t>
            </w:r>
            <w:proofErr w:type="gramStart"/>
            <w:r w:rsidRPr="00382E57">
              <w:rPr>
                <w:rFonts w:ascii="Helvetica" w:eastAsia="Times New Roman" w:hAnsi="Helvetica" w:cs="Helvetica"/>
                <w:color w:val="333333"/>
                <w:sz w:val="21"/>
                <w:szCs w:val="21"/>
              </w:rPr>
              <w:t>come  to</w:t>
            </w:r>
            <w:proofErr w:type="gramEnd"/>
            <w:r w:rsidRPr="00382E57">
              <w:rPr>
                <w:rFonts w:ascii="Helvetica" w:eastAsia="Times New Roman" w:hAnsi="Helvetica" w:cs="Helvetica"/>
                <w:color w:val="333333"/>
                <w:sz w:val="21"/>
                <w:szCs w:val="21"/>
              </w:rPr>
              <w:t xml:space="preserve"> accept it.</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25413</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12534</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45123</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43521</w:t>
            </w:r>
          </w:p>
        </w:tc>
      </w:tr>
    </w:tbl>
    <w:p w:rsidR="00382E57" w:rsidRDefault="00382E57">
      <w:r>
        <w:t>ANS</w:t>
      </w:r>
      <w:proofErr w:type="gramStart"/>
      <w:r>
        <w:t>:A</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4E45C3" w:rsidP="00382E57">
            <w:pPr>
              <w:spacing w:after="300" w:line="240" w:lineRule="auto"/>
              <w:rPr>
                <w:rFonts w:ascii="Helvetica" w:eastAsia="Times New Roman" w:hAnsi="Helvetica" w:cs="Helvetica"/>
                <w:color w:val="333333"/>
                <w:sz w:val="32"/>
                <w:szCs w:val="32"/>
              </w:rPr>
            </w:pPr>
            <w:r>
              <w:rPr>
                <w:rFonts w:ascii="Helvetica" w:eastAsia="Times New Roman" w:hAnsi="Helvetica" w:cs="Helvetica"/>
                <w:b/>
                <w:bCs/>
                <w:i/>
                <w:iCs/>
                <w:color w:val="333333"/>
                <w:sz w:val="32"/>
                <w:szCs w:val="32"/>
              </w:rPr>
              <w:t>Q8</w:t>
            </w:r>
            <w:r w:rsidR="00382E57" w:rsidRPr="00382E57">
              <w:rPr>
                <w:rFonts w:ascii="Helvetica" w:eastAsia="Times New Roman" w:hAnsi="Helvetica" w:cs="Helvetica"/>
                <w:b/>
                <w:bCs/>
                <w:i/>
                <w:iCs/>
                <w:color w:val="333333"/>
                <w:sz w:val="32"/>
                <w:szCs w:val="32"/>
              </w:rPr>
              <w:t>.</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Food manufactures spend more on advertising than any other manufacturing group and the nation's grocery stores rank first among all retailers.</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2). Food product lead in expenditures for network and spot television advertisements, discount coupons, trading stamps, contests, and other forms of premium advertising.</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Foods are overwhelming the most advertised group of all consumer products in the U.S.</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In other media- newspapers, magazines, newspaper supplements, billboard and radio, food advertising expenditures rank near the top.</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3421</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3241</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3142</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4132</w:t>
            </w:r>
          </w:p>
        </w:tc>
      </w:tr>
    </w:tbl>
    <w:p w:rsidR="00382E57" w:rsidRDefault="00382E57">
      <w:r>
        <w:t>ANS</w:t>
      </w:r>
      <w:proofErr w:type="gramStart"/>
      <w:r>
        <w:t>:B</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4E45C3" w:rsidP="00382E57">
            <w:pPr>
              <w:spacing w:after="300" w:line="240" w:lineRule="auto"/>
              <w:rPr>
                <w:rFonts w:ascii="Helvetica" w:eastAsia="Times New Roman" w:hAnsi="Helvetica" w:cs="Helvetica"/>
                <w:color w:val="333333"/>
                <w:sz w:val="32"/>
                <w:szCs w:val="32"/>
              </w:rPr>
            </w:pPr>
            <w:r>
              <w:rPr>
                <w:rFonts w:ascii="Helvetica" w:eastAsia="Times New Roman" w:hAnsi="Helvetica" w:cs="Helvetica"/>
                <w:b/>
                <w:bCs/>
                <w:i/>
                <w:iCs/>
                <w:color w:val="333333"/>
                <w:sz w:val="32"/>
                <w:szCs w:val="32"/>
              </w:rPr>
              <w:t>Q9</w:t>
            </w:r>
            <w:r w:rsidR="00382E57" w:rsidRPr="00382E57">
              <w:rPr>
                <w:rFonts w:ascii="Helvetica" w:eastAsia="Times New Roman" w:hAnsi="Helvetica" w:cs="Helvetica"/>
                <w:b/>
                <w:bCs/>
                <w:i/>
                <w:iCs/>
                <w:color w:val="333333"/>
                <w:sz w:val="32"/>
                <w:szCs w:val="32"/>
              </w:rPr>
              <w:t>.</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If you are used to having your stimulation come in from outside, your mind never develops its own habits of thinking and reflecting</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2). Marx thought that religion was the opiate, because it soothed people’s pain and suffering and prevented them from rising in rebellion</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3). If Karl Marx was alive today, he would say that television is the opiate of the people.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4). Television and similar entertainments are even more of an opiate because of their addictive tendencies.</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2134</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1423</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2431</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3241</w:t>
            </w:r>
          </w:p>
        </w:tc>
      </w:tr>
    </w:tbl>
    <w:p w:rsidR="00382E57" w:rsidRDefault="00382E57">
      <w:r>
        <w:t>ANS</w:t>
      </w:r>
      <w:proofErr w:type="gramStart"/>
      <w:r>
        <w:t>:D</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34"/>
        <w:gridCol w:w="10010"/>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4E45C3" w:rsidP="00382E57">
            <w:pPr>
              <w:spacing w:after="300" w:line="240" w:lineRule="auto"/>
              <w:rPr>
                <w:rFonts w:ascii="Helvetica" w:eastAsia="Times New Roman" w:hAnsi="Helvetica" w:cs="Helvetica"/>
                <w:color w:val="333333"/>
                <w:sz w:val="32"/>
                <w:szCs w:val="32"/>
              </w:rPr>
            </w:pPr>
            <w:r>
              <w:rPr>
                <w:rFonts w:ascii="Helvetica" w:eastAsia="Times New Roman" w:hAnsi="Helvetica" w:cs="Helvetica"/>
                <w:b/>
                <w:bCs/>
                <w:i/>
                <w:iCs/>
                <w:color w:val="333333"/>
                <w:sz w:val="32"/>
                <w:szCs w:val="32"/>
              </w:rPr>
              <w:t>Q10</w:t>
            </w:r>
            <w:r w:rsidR="00382E57" w:rsidRPr="00382E57">
              <w:rPr>
                <w:rFonts w:ascii="Helvetica" w:eastAsia="Times New Roman" w:hAnsi="Helvetica" w:cs="Helvetica"/>
                <w:b/>
                <w:bCs/>
                <w:i/>
                <w:iCs/>
                <w:color w:val="333333"/>
                <w:sz w:val="32"/>
                <w:szCs w:val="32"/>
              </w:rPr>
              <w:t>.</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A difference in the frequency of usage of counter proposing between skilled and average negotiators suggests that counter proposing may not be, as effective one tends to think it would be.</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2). I may have suggested that my son buy a pair of trousers at a certain price whereas my son would have made a counterproposal that he would rather buy two pairs at half price each.</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 xml:space="preserve">3). Research conducted across several negotiators ranging from sales negotiators to purchase and </w:t>
            </w:r>
            <w:proofErr w:type="spellStart"/>
            <w:r w:rsidRPr="00382E57">
              <w:rPr>
                <w:rFonts w:ascii="Helvetica" w:eastAsia="Times New Roman" w:hAnsi="Helvetica" w:cs="Helvetica"/>
                <w:color w:val="333333"/>
                <w:sz w:val="21"/>
                <w:szCs w:val="21"/>
              </w:rPr>
              <w:t>labour</w:t>
            </w:r>
            <w:proofErr w:type="spellEnd"/>
            <w:r w:rsidRPr="00382E57">
              <w:rPr>
                <w:rFonts w:ascii="Helvetica" w:eastAsia="Times New Roman" w:hAnsi="Helvetica" w:cs="Helvetica"/>
                <w:color w:val="333333"/>
                <w:sz w:val="21"/>
                <w:szCs w:val="21"/>
              </w:rPr>
              <w:t xml:space="preserve"> negotiators shows that average negotiators tend to counter propose more often than skilled negotiators.</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This happens in everyday life too.</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5). Think back to the last time you were discussing completing an assignment with one of your colleagues : you may have suggested that you both come in on Saturday to finish the work and your colleague may have counter proposed that you could stay back on Friday evening and finish it instead.</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31452</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52134</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12534</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34521</w:t>
            </w:r>
          </w:p>
        </w:tc>
      </w:tr>
    </w:tbl>
    <w:p w:rsidR="00382E57" w:rsidRDefault="00382E57">
      <w:r>
        <w:t>ANS</w:t>
      </w:r>
      <w:proofErr w:type="gramStart"/>
      <w:r>
        <w:t>:D</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34"/>
        <w:gridCol w:w="10010"/>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w:t>
            </w:r>
            <w:r w:rsidR="004E45C3">
              <w:rPr>
                <w:rFonts w:ascii="Helvetica" w:eastAsia="Times New Roman" w:hAnsi="Helvetica" w:cs="Helvetica"/>
                <w:b/>
                <w:bCs/>
                <w:i/>
                <w:iCs/>
                <w:color w:val="333333"/>
                <w:sz w:val="32"/>
                <w:szCs w:val="32"/>
              </w:rPr>
              <w:t>1</w:t>
            </w:r>
            <w:r w:rsidRPr="00382E57">
              <w:rPr>
                <w:rFonts w:ascii="Helvetica" w:eastAsia="Times New Roman" w:hAnsi="Helvetica" w:cs="Helvetica"/>
                <w:b/>
                <w:bCs/>
                <w:i/>
                <w:iCs/>
                <w:color w:val="333333"/>
                <w:sz w:val="32"/>
                <w:szCs w:val="32"/>
              </w:rPr>
              <w:t>1.</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Despite posting healthy profits, Volkswagen shares trade at a discount to peers due to bad reputation among investors.</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2). A disastrous capital hike, an expensive foray into truck business and uncertainty about the reason for a share buyback have in recent years left investors bewildered.</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The main problem with Volkswagen is the past.</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Many investors have been disappointed and frightened away.</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5). Volkswagen shares trade at about nine times the 2002 estimated earnings, compared to BMW's 19 and are the second cheapest in the sector.</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52134</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13425</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32451</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13524</w:t>
            </w:r>
          </w:p>
        </w:tc>
      </w:tr>
    </w:tbl>
    <w:p w:rsidR="00382E57" w:rsidRDefault="00382E57">
      <w:r>
        <w:t>ANS</w:t>
      </w:r>
      <w:proofErr w:type="gramStart"/>
      <w:r>
        <w:t>:B</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34"/>
        <w:gridCol w:w="10010"/>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w:t>
            </w:r>
            <w:r w:rsidR="004E45C3">
              <w:rPr>
                <w:rFonts w:ascii="Helvetica" w:eastAsia="Times New Roman" w:hAnsi="Helvetica" w:cs="Helvetica"/>
                <w:b/>
                <w:bCs/>
                <w:i/>
                <w:iCs/>
                <w:color w:val="333333"/>
                <w:sz w:val="32"/>
                <w:szCs w:val="32"/>
              </w:rPr>
              <w:t>1</w:t>
            </w:r>
            <w:r w:rsidRPr="00382E57">
              <w:rPr>
                <w:rFonts w:ascii="Helvetica" w:eastAsia="Times New Roman" w:hAnsi="Helvetica" w:cs="Helvetica"/>
                <w:b/>
                <w:bCs/>
                <w:i/>
                <w:iCs/>
                <w:color w:val="333333"/>
                <w:sz w:val="32"/>
                <w:szCs w:val="32"/>
              </w:rPr>
              <w:t>2.</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Ignorance is the opposite of knowledge, i.e., want of knowledge.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2). To deal with uncertainty and ignorance economists have recognized the entrepreneur as possessing this non-rational form of knowledge.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3). Like some ancient priest-king, the entrepreneur ‘knows’ the future and leads his people.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4). Entrepreneurial knowledge is essentially intuitive.</w:t>
            </w:r>
            <w:r w:rsidRPr="00382E57">
              <w:rPr>
                <w:rFonts w:ascii="Helvetica" w:eastAsia="Times New Roman" w:hAnsi="Helvetica" w:cs="Helvetica"/>
                <w:color w:val="333333"/>
                <w:sz w:val="21"/>
                <w:szCs w:val="21"/>
              </w:rPr>
              <w:br/>
            </w:r>
            <w:r w:rsidRPr="00382E57">
              <w:rPr>
                <w:rFonts w:ascii="Helvetica" w:eastAsia="Times New Roman" w:hAnsi="Helvetica" w:cs="Helvetica"/>
                <w:color w:val="333333"/>
                <w:sz w:val="21"/>
                <w:szCs w:val="21"/>
              </w:rPr>
              <w:br/>
              <w:t>5). It involves seeing and realizing a vision of future markets, products and/or other opportunities.</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32145</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43125</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12453</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45123</w:t>
            </w:r>
          </w:p>
        </w:tc>
      </w:tr>
    </w:tbl>
    <w:p w:rsidR="00382E57" w:rsidRDefault="00382E57">
      <w:r>
        <w:t>ANS</w:t>
      </w:r>
      <w:proofErr w:type="gramStart"/>
      <w:r>
        <w:t>:D</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34"/>
        <w:gridCol w:w="10010"/>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t>Q</w:t>
            </w:r>
            <w:r w:rsidR="004E45C3">
              <w:rPr>
                <w:rFonts w:ascii="Helvetica" w:eastAsia="Times New Roman" w:hAnsi="Helvetica" w:cs="Helvetica"/>
                <w:b/>
                <w:bCs/>
                <w:i/>
                <w:iCs/>
                <w:color w:val="333333"/>
                <w:sz w:val="32"/>
                <w:szCs w:val="32"/>
              </w:rPr>
              <w:t>1</w:t>
            </w:r>
            <w:r w:rsidRPr="00382E57">
              <w:rPr>
                <w:rFonts w:ascii="Helvetica" w:eastAsia="Times New Roman" w:hAnsi="Helvetica" w:cs="Helvetica"/>
                <w:b/>
                <w:bCs/>
                <w:i/>
                <w:iCs/>
                <w:color w:val="333333"/>
                <w:sz w:val="32"/>
                <w:szCs w:val="32"/>
              </w:rPr>
              <w:t>3.</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The impetus for change in cargo handling, after years of operational inefficiency has come from new private sector facilitators.</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2). Other ports, both major and minor, have spurred into action.</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And the government agrees this is having a cascading effect on the functioning of other ports.</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In terms of cargo handling efficiency, some of India's ports have lately undergone a sea change.</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1324</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4132</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4213</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4312</w:t>
            </w:r>
          </w:p>
        </w:tc>
      </w:tr>
    </w:tbl>
    <w:p w:rsidR="00382E57" w:rsidRDefault="00382E57">
      <w:r>
        <w:t>ANS</w:t>
      </w:r>
      <w:proofErr w:type="gramStart"/>
      <w:r>
        <w:t>:B</w:t>
      </w:r>
      <w:proofErr w:type="gramEnd"/>
    </w:p>
    <w:tbl>
      <w:tblPr>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934"/>
        <w:gridCol w:w="10010"/>
      </w:tblGrid>
      <w:tr w:rsidR="00382E57" w:rsidRPr="00382E57" w:rsidTr="00382E57">
        <w:tc>
          <w:tcPr>
            <w:tcW w:w="91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300" w:line="240" w:lineRule="auto"/>
              <w:rPr>
                <w:rFonts w:ascii="Helvetica" w:eastAsia="Times New Roman" w:hAnsi="Helvetica" w:cs="Helvetica"/>
                <w:color w:val="333333"/>
                <w:sz w:val="32"/>
                <w:szCs w:val="32"/>
              </w:rPr>
            </w:pPr>
            <w:r w:rsidRPr="00382E57">
              <w:rPr>
                <w:rFonts w:ascii="Helvetica" w:eastAsia="Times New Roman" w:hAnsi="Helvetica" w:cs="Helvetica"/>
                <w:b/>
                <w:bCs/>
                <w:i/>
                <w:iCs/>
                <w:color w:val="333333"/>
                <w:sz w:val="32"/>
                <w:szCs w:val="32"/>
              </w:rPr>
              <w:lastRenderedPageBreak/>
              <w:t>Q</w:t>
            </w:r>
            <w:r w:rsidR="004E45C3">
              <w:rPr>
                <w:rFonts w:ascii="Helvetica" w:eastAsia="Times New Roman" w:hAnsi="Helvetica" w:cs="Helvetica"/>
                <w:b/>
                <w:bCs/>
                <w:i/>
                <w:iCs/>
                <w:color w:val="333333"/>
                <w:sz w:val="32"/>
                <w:szCs w:val="32"/>
              </w:rPr>
              <w:t>1</w:t>
            </w:r>
            <w:r w:rsidRPr="00382E57">
              <w:rPr>
                <w:rFonts w:ascii="Helvetica" w:eastAsia="Times New Roman" w:hAnsi="Helvetica" w:cs="Helvetica"/>
                <w:b/>
                <w:bCs/>
                <w:i/>
                <w:iCs/>
                <w:color w:val="333333"/>
                <w:sz w:val="32"/>
                <w:szCs w:val="32"/>
              </w:rPr>
              <w:t>4.</w:t>
            </w:r>
          </w:p>
        </w:tc>
        <w:tc>
          <w:tcPr>
            <w:tcW w:w="10032"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1). The credit rating agencies use legions of high trained analyst with access to top management.</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2). Their meticulous reports giving ratings for corporate bonds are designed to give an accurate picture of the bonds riskiness and ultimately the probability of default.</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3). Lately, the credit-rating agencies have struggled to keep up.</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4). It seems a bond rating tells you even less about the price that investors are willing to pay.</w:t>
            </w:r>
          </w:p>
          <w:p w:rsidR="00382E57" w:rsidRPr="00382E57" w:rsidRDefault="00382E57" w:rsidP="00382E57">
            <w:pPr>
              <w:spacing w:after="150" w:line="240" w:lineRule="auto"/>
              <w:rPr>
                <w:rFonts w:ascii="Helvetica" w:eastAsia="Times New Roman" w:hAnsi="Helvetica" w:cs="Helvetica"/>
                <w:color w:val="333333"/>
                <w:sz w:val="21"/>
                <w:szCs w:val="21"/>
              </w:rPr>
            </w:pPr>
            <w:r w:rsidRPr="00382E57">
              <w:rPr>
                <w:rFonts w:ascii="Helvetica" w:eastAsia="Times New Roman" w:hAnsi="Helvetica" w:cs="Helvetica"/>
                <w:color w:val="333333"/>
                <w:sz w:val="21"/>
                <w:szCs w:val="21"/>
              </w:rPr>
              <w:t>5). In 1999 two-third of the debt rated triple B by standard and poor was priced within 20 basis points of the average bond with the same rating.</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45123</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34215</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12345</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23415</w:t>
            </w:r>
          </w:p>
        </w:tc>
      </w:tr>
    </w:tbl>
    <w:p w:rsidR="00382E57" w:rsidRDefault="00382E57">
      <w:r>
        <w:t>ANS</w:t>
      </w:r>
      <w:proofErr w:type="gramStart"/>
      <w:r>
        <w:t>:C</w:t>
      </w:r>
      <w:proofErr w:type="gramEnd"/>
    </w:p>
    <w:tbl>
      <w:tblPr>
        <w:tblW w:w="10944" w:type="dxa"/>
        <w:tblCellMar>
          <w:top w:w="15" w:type="dxa"/>
          <w:left w:w="15" w:type="dxa"/>
          <w:bottom w:w="15" w:type="dxa"/>
          <w:right w:w="15" w:type="dxa"/>
        </w:tblCellMar>
        <w:tblLook w:val="04A0" w:firstRow="1" w:lastRow="0" w:firstColumn="1" w:lastColumn="0" w:noHBand="0" w:noVBand="1"/>
      </w:tblPr>
      <w:tblGrid>
        <w:gridCol w:w="912"/>
        <w:gridCol w:w="10032"/>
      </w:tblGrid>
      <w:tr w:rsidR="00382E57" w:rsidRPr="00382E57" w:rsidTr="00382E57">
        <w:tc>
          <w:tcPr>
            <w:tcW w:w="912"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382E57" w:rsidRPr="00382E57" w:rsidRDefault="00382E57" w:rsidP="00382E57">
            <w:pPr>
              <w:spacing w:after="300" w:line="240" w:lineRule="auto"/>
              <w:rPr>
                <w:rFonts w:ascii="Times New Roman" w:eastAsia="Times New Roman" w:hAnsi="Times New Roman" w:cs="Times New Roman"/>
                <w:sz w:val="32"/>
                <w:szCs w:val="32"/>
              </w:rPr>
            </w:pPr>
            <w:r w:rsidRPr="00382E57">
              <w:rPr>
                <w:rFonts w:ascii="Times New Roman" w:eastAsia="Times New Roman" w:hAnsi="Times New Roman" w:cs="Times New Roman"/>
                <w:b/>
                <w:bCs/>
                <w:i/>
                <w:iCs/>
                <w:sz w:val="32"/>
                <w:szCs w:val="32"/>
              </w:rPr>
              <w:t>Q</w:t>
            </w:r>
            <w:r w:rsidR="004E45C3">
              <w:rPr>
                <w:rFonts w:ascii="Times New Roman" w:eastAsia="Times New Roman" w:hAnsi="Times New Roman" w:cs="Times New Roman"/>
                <w:b/>
                <w:bCs/>
                <w:i/>
                <w:iCs/>
                <w:sz w:val="32"/>
                <w:szCs w:val="32"/>
              </w:rPr>
              <w:t>1</w:t>
            </w:r>
            <w:bookmarkStart w:id="0" w:name="_GoBack"/>
            <w:bookmarkEnd w:id="0"/>
            <w:r w:rsidRPr="00382E57">
              <w:rPr>
                <w:rFonts w:ascii="Times New Roman" w:eastAsia="Times New Roman" w:hAnsi="Times New Roman" w:cs="Times New Roman"/>
                <w:b/>
                <w:bCs/>
                <w:i/>
                <w:iCs/>
                <w:sz w:val="32"/>
                <w:szCs w:val="32"/>
              </w:rPr>
              <w:t>5.</w:t>
            </w:r>
          </w:p>
        </w:tc>
        <w:tc>
          <w:tcPr>
            <w:tcW w:w="10032"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P). Just as with adults, pessimistic ways of interpreting defeats seem to feed the sense of helplessness and hopelessness at the heart of children's depression.</w:t>
            </w:r>
          </w:p>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 That people who are already depressed think in these ways has long been known.</w:t>
            </w:r>
          </w:p>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 What has only recently emerged, though, is that children's beliefs about their own ability to control what happens in their lives.</w:t>
            </w:r>
          </w:p>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 One line of evidence comes from studies of children's belief about their own ability to control what happens in their lives- for example, being able to change things for the better.</w:t>
            </w:r>
          </w:p>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4). This insight suggests a window of opportunity for inoculating them against depression before it strikes.</w:t>
            </w:r>
          </w:p>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Q). This assessed by children's rating of themselves in such term as : 'when I have problems at home I'm better than most kids at helping to solve problems' and 'When I work hard, I get good grades'.</w:t>
            </w:r>
          </w:p>
        </w:tc>
      </w:tr>
    </w:tbl>
    <w:p w:rsidR="00382E57" w:rsidRPr="00382E57" w:rsidRDefault="00382E57" w:rsidP="00382E57">
      <w:pPr>
        <w:shd w:val="clear" w:color="auto" w:fill="FFFFFF"/>
        <w:spacing w:after="0" w:line="240" w:lineRule="auto"/>
        <w:jc w:val="right"/>
        <w:rPr>
          <w:rFonts w:ascii="Helvetica" w:eastAsia="Times New Roman" w:hAnsi="Helvetica" w:cs="Helvetica"/>
          <w:vanish/>
          <w:color w:val="333333"/>
          <w:sz w:val="21"/>
          <w:szCs w:val="21"/>
        </w:rPr>
      </w:pPr>
    </w:p>
    <w:tbl>
      <w:tblPr>
        <w:tblW w:w="9984" w:type="dxa"/>
        <w:jc w:val="right"/>
        <w:tblCellMar>
          <w:top w:w="15" w:type="dxa"/>
          <w:left w:w="15" w:type="dxa"/>
          <w:bottom w:w="15" w:type="dxa"/>
          <w:right w:w="15" w:type="dxa"/>
        </w:tblCellMar>
        <w:tblLook w:val="04A0" w:firstRow="1" w:lastRow="0" w:firstColumn="1" w:lastColumn="0" w:noHBand="0" w:noVBand="1"/>
      </w:tblPr>
      <w:tblGrid>
        <w:gridCol w:w="840"/>
        <w:gridCol w:w="828"/>
        <w:gridCol w:w="8316"/>
      </w:tblGrid>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hd w:val="clear" w:color="auto" w:fill="FFFFFF"/>
              <w:spacing w:after="0" w:line="240" w:lineRule="auto"/>
              <w:rPr>
                <w:rFonts w:ascii="Helvetica" w:eastAsia="Times New Roman" w:hAnsi="Helvetica" w:cs="Helvetica"/>
                <w:color w:val="333333"/>
                <w:sz w:val="21"/>
                <w:szCs w:val="21"/>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30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A.</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1342</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B.</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3421</w:t>
            </w:r>
          </w:p>
        </w:tc>
      </w:tr>
      <w:tr w:rsidR="00382E57" w:rsidRPr="00382E57" w:rsidTr="00382E57">
        <w:trPr>
          <w:jc w:val="right"/>
        </w:trPr>
        <w:tc>
          <w:tcPr>
            <w:tcW w:w="840"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C.</w:t>
            </w:r>
          </w:p>
        </w:tc>
        <w:tc>
          <w:tcPr>
            <w:tcW w:w="8316" w:type="dxa"/>
            <w:tcBorders>
              <w:top w:val="nil"/>
              <w:left w:val="nil"/>
              <w:bottom w:val="nil"/>
              <w:right w:val="nil"/>
            </w:tcBorders>
            <w:shd w:val="clear" w:color="auto" w:fill="auto"/>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1243</w:t>
            </w:r>
          </w:p>
        </w:tc>
      </w:tr>
      <w:tr w:rsidR="00382E57" w:rsidRPr="00382E57" w:rsidTr="00382E57">
        <w:trPr>
          <w:jc w:val="right"/>
        </w:trPr>
        <w:tc>
          <w:tcPr>
            <w:tcW w:w="840"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rPr>
                <w:rFonts w:ascii="Times New Roman" w:eastAsia="Times New Roman" w:hAnsi="Times New Roman" w:cs="Times New Roman"/>
                <w:sz w:val="24"/>
                <w:szCs w:val="24"/>
              </w:rPr>
            </w:pPr>
          </w:p>
        </w:tc>
        <w:tc>
          <w:tcPr>
            <w:tcW w:w="828"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0" w:line="240" w:lineRule="auto"/>
              <w:jc w:val="center"/>
              <w:rPr>
                <w:rFonts w:ascii="Times New Roman" w:eastAsia="Times New Roman" w:hAnsi="Times New Roman" w:cs="Times New Roman"/>
                <w:sz w:val="24"/>
                <w:szCs w:val="24"/>
              </w:rPr>
            </w:pPr>
            <w:r w:rsidRPr="00382E57">
              <w:rPr>
                <w:rFonts w:ascii="Times New Roman" w:eastAsia="Times New Roman" w:hAnsi="Times New Roman" w:cs="Times New Roman"/>
                <w:b/>
                <w:bCs/>
                <w:sz w:val="24"/>
                <w:szCs w:val="24"/>
              </w:rPr>
              <w:t>D.</w:t>
            </w:r>
          </w:p>
        </w:tc>
        <w:tc>
          <w:tcPr>
            <w:tcW w:w="8316" w:type="dxa"/>
            <w:tcBorders>
              <w:top w:val="nil"/>
              <w:left w:val="nil"/>
              <w:bottom w:val="nil"/>
              <w:right w:val="nil"/>
            </w:tcBorders>
            <w:shd w:val="clear" w:color="auto" w:fill="F5F5F5"/>
            <w:tcMar>
              <w:top w:w="75" w:type="dxa"/>
              <w:left w:w="75" w:type="dxa"/>
              <w:bottom w:w="75" w:type="dxa"/>
              <w:right w:w="75" w:type="dxa"/>
            </w:tcMar>
            <w:hideMark/>
          </w:tcPr>
          <w:p w:rsidR="00382E57" w:rsidRPr="00382E57" w:rsidRDefault="00382E57" w:rsidP="00382E57">
            <w:pPr>
              <w:spacing w:after="150" w:line="240" w:lineRule="auto"/>
              <w:rPr>
                <w:rFonts w:ascii="Times New Roman" w:eastAsia="Times New Roman" w:hAnsi="Times New Roman" w:cs="Times New Roman"/>
                <w:sz w:val="24"/>
                <w:szCs w:val="24"/>
              </w:rPr>
            </w:pPr>
            <w:r w:rsidRPr="00382E57">
              <w:rPr>
                <w:rFonts w:ascii="Times New Roman" w:eastAsia="Times New Roman" w:hAnsi="Times New Roman" w:cs="Times New Roman"/>
                <w:sz w:val="24"/>
                <w:szCs w:val="24"/>
              </w:rPr>
              <w:t>2431</w:t>
            </w:r>
          </w:p>
        </w:tc>
      </w:tr>
    </w:tbl>
    <w:p w:rsidR="00382E57" w:rsidRPr="00382E57" w:rsidRDefault="00382E57" w:rsidP="00382E57">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ANS</w:t>
      </w:r>
      <w:proofErr w:type="gramStart"/>
      <w:r>
        <w:rPr>
          <w:rFonts w:ascii="Helvetica" w:eastAsia="Times New Roman" w:hAnsi="Helvetica" w:cs="Helvetica"/>
          <w:color w:val="333333"/>
          <w:sz w:val="21"/>
          <w:szCs w:val="21"/>
        </w:rPr>
        <w:t>:C</w:t>
      </w:r>
      <w:proofErr w:type="gramEnd"/>
    </w:p>
    <w:p w:rsidR="00382E57" w:rsidRDefault="00382E57"/>
    <w:sectPr w:rsidR="00382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E67F3"/>
    <w:multiLevelType w:val="multilevel"/>
    <w:tmpl w:val="6038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32"/>
    <w:rsid w:val="00382E57"/>
    <w:rsid w:val="004E0FF7"/>
    <w:rsid w:val="004E45C3"/>
    <w:rsid w:val="009726F1"/>
    <w:rsid w:val="00D3533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5865C-DA87-45F4-9894-8B280EA5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E57"/>
    <w:rPr>
      <w:b/>
      <w:bCs/>
    </w:rPr>
  </w:style>
  <w:style w:type="character" w:styleId="Emphasis">
    <w:name w:val="Emphasis"/>
    <w:basedOn w:val="DefaultParagraphFont"/>
    <w:uiPriority w:val="20"/>
    <w:qFormat/>
    <w:rsid w:val="00382E57"/>
    <w:rPr>
      <w:i/>
      <w:iCs/>
    </w:rPr>
  </w:style>
  <w:style w:type="paragraph" w:styleId="NormalWeb">
    <w:name w:val="Normal (Web)"/>
    <w:basedOn w:val="Normal"/>
    <w:uiPriority w:val="99"/>
    <w:semiHidden/>
    <w:unhideWhenUsed/>
    <w:rsid w:val="00382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ed">
    <w:name w:val="applied"/>
    <w:basedOn w:val="DefaultParagraphFont"/>
    <w:rsid w:val="00382E57"/>
  </w:style>
  <w:style w:type="character" w:styleId="Hyperlink">
    <w:name w:val="Hyperlink"/>
    <w:basedOn w:val="DefaultParagraphFont"/>
    <w:uiPriority w:val="99"/>
    <w:semiHidden/>
    <w:unhideWhenUsed/>
    <w:rsid w:val="00382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8526">
      <w:bodyDiv w:val="1"/>
      <w:marLeft w:val="0"/>
      <w:marRight w:val="0"/>
      <w:marTop w:val="0"/>
      <w:marBottom w:val="0"/>
      <w:divBdr>
        <w:top w:val="none" w:sz="0" w:space="0" w:color="auto"/>
        <w:left w:val="none" w:sz="0" w:space="0" w:color="auto"/>
        <w:bottom w:val="none" w:sz="0" w:space="0" w:color="auto"/>
        <w:right w:val="none" w:sz="0" w:space="0" w:color="auto"/>
      </w:divBdr>
      <w:divsChild>
        <w:div w:id="50006526">
          <w:marLeft w:val="-225"/>
          <w:marRight w:val="-225"/>
          <w:marTop w:val="0"/>
          <w:marBottom w:val="0"/>
          <w:divBdr>
            <w:top w:val="none" w:sz="0" w:space="0" w:color="auto"/>
            <w:left w:val="none" w:sz="0" w:space="0" w:color="auto"/>
            <w:bottom w:val="none" w:sz="0" w:space="0" w:color="auto"/>
            <w:right w:val="none" w:sz="0" w:space="0" w:color="auto"/>
          </w:divBdr>
          <w:divsChild>
            <w:div w:id="1750879591">
              <w:marLeft w:val="0"/>
              <w:marRight w:val="0"/>
              <w:marTop w:val="0"/>
              <w:marBottom w:val="0"/>
              <w:divBdr>
                <w:top w:val="none" w:sz="0" w:space="0" w:color="auto"/>
                <w:left w:val="none" w:sz="0" w:space="0" w:color="auto"/>
                <w:bottom w:val="none" w:sz="0" w:space="0" w:color="auto"/>
                <w:right w:val="none" w:sz="0" w:space="0" w:color="auto"/>
              </w:divBdr>
              <w:divsChild>
                <w:div w:id="2005887209">
                  <w:marLeft w:val="-225"/>
                  <w:marRight w:val="-225"/>
                  <w:marTop w:val="0"/>
                  <w:marBottom w:val="0"/>
                  <w:divBdr>
                    <w:top w:val="none" w:sz="0" w:space="0" w:color="auto"/>
                    <w:left w:val="none" w:sz="0" w:space="0" w:color="auto"/>
                    <w:bottom w:val="none" w:sz="0" w:space="0" w:color="auto"/>
                    <w:right w:val="none" w:sz="0" w:space="0" w:color="auto"/>
                  </w:divBdr>
                  <w:divsChild>
                    <w:div w:id="1098331059">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845">
          <w:marLeft w:val="-225"/>
          <w:marRight w:val="-225"/>
          <w:marTop w:val="0"/>
          <w:marBottom w:val="0"/>
          <w:divBdr>
            <w:top w:val="none" w:sz="0" w:space="0" w:color="auto"/>
            <w:left w:val="none" w:sz="0" w:space="0" w:color="auto"/>
            <w:bottom w:val="none" w:sz="0" w:space="0" w:color="auto"/>
            <w:right w:val="none" w:sz="0" w:space="0" w:color="auto"/>
          </w:divBdr>
          <w:divsChild>
            <w:div w:id="1590649824">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96022427">
      <w:bodyDiv w:val="1"/>
      <w:marLeft w:val="0"/>
      <w:marRight w:val="0"/>
      <w:marTop w:val="0"/>
      <w:marBottom w:val="0"/>
      <w:divBdr>
        <w:top w:val="none" w:sz="0" w:space="0" w:color="auto"/>
        <w:left w:val="none" w:sz="0" w:space="0" w:color="auto"/>
        <w:bottom w:val="none" w:sz="0" w:space="0" w:color="auto"/>
        <w:right w:val="none" w:sz="0" w:space="0" w:color="auto"/>
      </w:divBdr>
      <w:divsChild>
        <w:div w:id="805660175">
          <w:marLeft w:val="-225"/>
          <w:marRight w:val="-225"/>
          <w:marTop w:val="0"/>
          <w:marBottom w:val="0"/>
          <w:divBdr>
            <w:top w:val="none" w:sz="0" w:space="0" w:color="auto"/>
            <w:left w:val="none" w:sz="0" w:space="0" w:color="auto"/>
            <w:bottom w:val="none" w:sz="0" w:space="0" w:color="auto"/>
            <w:right w:val="none" w:sz="0" w:space="0" w:color="auto"/>
          </w:divBdr>
          <w:divsChild>
            <w:div w:id="767579804">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234633368">
      <w:bodyDiv w:val="1"/>
      <w:marLeft w:val="0"/>
      <w:marRight w:val="0"/>
      <w:marTop w:val="0"/>
      <w:marBottom w:val="0"/>
      <w:divBdr>
        <w:top w:val="none" w:sz="0" w:space="0" w:color="auto"/>
        <w:left w:val="none" w:sz="0" w:space="0" w:color="auto"/>
        <w:bottom w:val="none" w:sz="0" w:space="0" w:color="auto"/>
        <w:right w:val="none" w:sz="0" w:space="0" w:color="auto"/>
      </w:divBdr>
      <w:divsChild>
        <w:div w:id="1246459042">
          <w:marLeft w:val="-225"/>
          <w:marRight w:val="-225"/>
          <w:marTop w:val="0"/>
          <w:marBottom w:val="0"/>
          <w:divBdr>
            <w:top w:val="none" w:sz="0" w:space="0" w:color="auto"/>
            <w:left w:val="none" w:sz="0" w:space="0" w:color="auto"/>
            <w:bottom w:val="none" w:sz="0" w:space="0" w:color="auto"/>
            <w:right w:val="none" w:sz="0" w:space="0" w:color="auto"/>
          </w:divBdr>
          <w:divsChild>
            <w:div w:id="363991080">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311955461">
      <w:bodyDiv w:val="1"/>
      <w:marLeft w:val="0"/>
      <w:marRight w:val="0"/>
      <w:marTop w:val="0"/>
      <w:marBottom w:val="0"/>
      <w:divBdr>
        <w:top w:val="none" w:sz="0" w:space="0" w:color="auto"/>
        <w:left w:val="none" w:sz="0" w:space="0" w:color="auto"/>
        <w:bottom w:val="none" w:sz="0" w:space="0" w:color="auto"/>
        <w:right w:val="none" w:sz="0" w:space="0" w:color="auto"/>
      </w:divBdr>
      <w:divsChild>
        <w:div w:id="103424319">
          <w:marLeft w:val="-225"/>
          <w:marRight w:val="-225"/>
          <w:marTop w:val="0"/>
          <w:marBottom w:val="0"/>
          <w:divBdr>
            <w:top w:val="none" w:sz="0" w:space="0" w:color="auto"/>
            <w:left w:val="none" w:sz="0" w:space="0" w:color="auto"/>
            <w:bottom w:val="none" w:sz="0" w:space="0" w:color="auto"/>
            <w:right w:val="none" w:sz="0" w:space="0" w:color="auto"/>
          </w:divBdr>
          <w:divsChild>
            <w:div w:id="446773986">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463694428">
      <w:bodyDiv w:val="1"/>
      <w:marLeft w:val="0"/>
      <w:marRight w:val="0"/>
      <w:marTop w:val="0"/>
      <w:marBottom w:val="0"/>
      <w:divBdr>
        <w:top w:val="none" w:sz="0" w:space="0" w:color="auto"/>
        <w:left w:val="none" w:sz="0" w:space="0" w:color="auto"/>
        <w:bottom w:val="none" w:sz="0" w:space="0" w:color="auto"/>
        <w:right w:val="none" w:sz="0" w:space="0" w:color="auto"/>
      </w:divBdr>
      <w:divsChild>
        <w:div w:id="1592159747">
          <w:marLeft w:val="-225"/>
          <w:marRight w:val="-225"/>
          <w:marTop w:val="0"/>
          <w:marBottom w:val="0"/>
          <w:divBdr>
            <w:top w:val="none" w:sz="0" w:space="0" w:color="auto"/>
            <w:left w:val="none" w:sz="0" w:space="0" w:color="auto"/>
            <w:bottom w:val="none" w:sz="0" w:space="0" w:color="auto"/>
            <w:right w:val="none" w:sz="0" w:space="0" w:color="auto"/>
          </w:divBdr>
          <w:divsChild>
            <w:div w:id="792672309">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466510115">
      <w:bodyDiv w:val="1"/>
      <w:marLeft w:val="0"/>
      <w:marRight w:val="0"/>
      <w:marTop w:val="0"/>
      <w:marBottom w:val="0"/>
      <w:divBdr>
        <w:top w:val="none" w:sz="0" w:space="0" w:color="auto"/>
        <w:left w:val="none" w:sz="0" w:space="0" w:color="auto"/>
        <w:bottom w:val="none" w:sz="0" w:space="0" w:color="auto"/>
        <w:right w:val="none" w:sz="0" w:space="0" w:color="auto"/>
      </w:divBdr>
      <w:divsChild>
        <w:div w:id="462231144">
          <w:marLeft w:val="-225"/>
          <w:marRight w:val="-225"/>
          <w:marTop w:val="0"/>
          <w:marBottom w:val="0"/>
          <w:divBdr>
            <w:top w:val="none" w:sz="0" w:space="0" w:color="auto"/>
            <w:left w:val="none" w:sz="0" w:space="0" w:color="auto"/>
            <w:bottom w:val="none" w:sz="0" w:space="0" w:color="auto"/>
            <w:right w:val="none" w:sz="0" w:space="0" w:color="auto"/>
          </w:divBdr>
          <w:divsChild>
            <w:div w:id="1377319514">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512837287">
      <w:bodyDiv w:val="1"/>
      <w:marLeft w:val="0"/>
      <w:marRight w:val="0"/>
      <w:marTop w:val="0"/>
      <w:marBottom w:val="0"/>
      <w:divBdr>
        <w:top w:val="none" w:sz="0" w:space="0" w:color="auto"/>
        <w:left w:val="none" w:sz="0" w:space="0" w:color="auto"/>
        <w:bottom w:val="none" w:sz="0" w:space="0" w:color="auto"/>
        <w:right w:val="none" w:sz="0" w:space="0" w:color="auto"/>
      </w:divBdr>
      <w:divsChild>
        <w:div w:id="222955978">
          <w:marLeft w:val="-225"/>
          <w:marRight w:val="-225"/>
          <w:marTop w:val="0"/>
          <w:marBottom w:val="0"/>
          <w:divBdr>
            <w:top w:val="none" w:sz="0" w:space="0" w:color="auto"/>
            <w:left w:val="none" w:sz="0" w:space="0" w:color="auto"/>
            <w:bottom w:val="none" w:sz="0" w:space="0" w:color="auto"/>
            <w:right w:val="none" w:sz="0" w:space="0" w:color="auto"/>
          </w:divBdr>
          <w:divsChild>
            <w:div w:id="740978960">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546646963">
      <w:bodyDiv w:val="1"/>
      <w:marLeft w:val="0"/>
      <w:marRight w:val="0"/>
      <w:marTop w:val="0"/>
      <w:marBottom w:val="0"/>
      <w:divBdr>
        <w:top w:val="none" w:sz="0" w:space="0" w:color="auto"/>
        <w:left w:val="none" w:sz="0" w:space="0" w:color="auto"/>
        <w:bottom w:val="none" w:sz="0" w:space="0" w:color="auto"/>
        <w:right w:val="none" w:sz="0" w:space="0" w:color="auto"/>
      </w:divBdr>
      <w:divsChild>
        <w:div w:id="1438016199">
          <w:marLeft w:val="-225"/>
          <w:marRight w:val="-225"/>
          <w:marTop w:val="0"/>
          <w:marBottom w:val="0"/>
          <w:divBdr>
            <w:top w:val="none" w:sz="0" w:space="0" w:color="auto"/>
            <w:left w:val="none" w:sz="0" w:space="0" w:color="auto"/>
            <w:bottom w:val="none" w:sz="0" w:space="0" w:color="auto"/>
            <w:right w:val="none" w:sz="0" w:space="0" w:color="auto"/>
          </w:divBdr>
          <w:divsChild>
            <w:div w:id="902063073">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609318999">
      <w:bodyDiv w:val="1"/>
      <w:marLeft w:val="0"/>
      <w:marRight w:val="0"/>
      <w:marTop w:val="0"/>
      <w:marBottom w:val="0"/>
      <w:divBdr>
        <w:top w:val="none" w:sz="0" w:space="0" w:color="auto"/>
        <w:left w:val="none" w:sz="0" w:space="0" w:color="auto"/>
        <w:bottom w:val="none" w:sz="0" w:space="0" w:color="auto"/>
        <w:right w:val="none" w:sz="0" w:space="0" w:color="auto"/>
      </w:divBdr>
      <w:divsChild>
        <w:div w:id="302201851">
          <w:marLeft w:val="-225"/>
          <w:marRight w:val="-225"/>
          <w:marTop w:val="0"/>
          <w:marBottom w:val="0"/>
          <w:divBdr>
            <w:top w:val="none" w:sz="0" w:space="0" w:color="auto"/>
            <w:left w:val="none" w:sz="0" w:space="0" w:color="auto"/>
            <w:bottom w:val="none" w:sz="0" w:space="0" w:color="auto"/>
            <w:right w:val="none" w:sz="0" w:space="0" w:color="auto"/>
          </w:divBdr>
          <w:divsChild>
            <w:div w:id="2136636745">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698894402">
      <w:bodyDiv w:val="1"/>
      <w:marLeft w:val="0"/>
      <w:marRight w:val="0"/>
      <w:marTop w:val="0"/>
      <w:marBottom w:val="0"/>
      <w:divBdr>
        <w:top w:val="none" w:sz="0" w:space="0" w:color="auto"/>
        <w:left w:val="none" w:sz="0" w:space="0" w:color="auto"/>
        <w:bottom w:val="none" w:sz="0" w:space="0" w:color="auto"/>
        <w:right w:val="none" w:sz="0" w:space="0" w:color="auto"/>
      </w:divBdr>
      <w:divsChild>
        <w:div w:id="444153778">
          <w:marLeft w:val="-225"/>
          <w:marRight w:val="-225"/>
          <w:marTop w:val="0"/>
          <w:marBottom w:val="0"/>
          <w:divBdr>
            <w:top w:val="none" w:sz="0" w:space="0" w:color="auto"/>
            <w:left w:val="none" w:sz="0" w:space="0" w:color="auto"/>
            <w:bottom w:val="none" w:sz="0" w:space="0" w:color="auto"/>
            <w:right w:val="none" w:sz="0" w:space="0" w:color="auto"/>
          </w:divBdr>
          <w:divsChild>
            <w:div w:id="160900006">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1403917236">
      <w:bodyDiv w:val="1"/>
      <w:marLeft w:val="0"/>
      <w:marRight w:val="0"/>
      <w:marTop w:val="0"/>
      <w:marBottom w:val="0"/>
      <w:divBdr>
        <w:top w:val="none" w:sz="0" w:space="0" w:color="auto"/>
        <w:left w:val="none" w:sz="0" w:space="0" w:color="auto"/>
        <w:bottom w:val="none" w:sz="0" w:space="0" w:color="auto"/>
        <w:right w:val="none" w:sz="0" w:space="0" w:color="auto"/>
      </w:divBdr>
      <w:divsChild>
        <w:div w:id="700478591">
          <w:marLeft w:val="-225"/>
          <w:marRight w:val="-225"/>
          <w:marTop w:val="0"/>
          <w:marBottom w:val="0"/>
          <w:divBdr>
            <w:top w:val="none" w:sz="0" w:space="0" w:color="auto"/>
            <w:left w:val="none" w:sz="0" w:space="0" w:color="auto"/>
            <w:bottom w:val="none" w:sz="0" w:space="0" w:color="auto"/>
            <w:right w:val="none" w:sz="0" w:space="0" w:color="auto"/>
          </w:divBdr>
          <w:divsChild>
            <w:div w:id="2006931440">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1531915764">
      <w:bodyDiv w:val="1"/>
      <w:marLeft w:val="0"/>
      <w:marRight w:val="0"/>
      <w:marTop w:val="0"/>
      <w:marBottom w:val="0"/>
      <w:divBdr>
        <w:top w:val="none" w:sz="0" w:space="0" w:color="auto"/>
        <w:left w:val="none" w:sz="0" w:space="0" w:color="auto"/>
        <w:bottom w:val="none" w:sz="0" w:space="0" w:color="auto"/>
        <w:right w:val="none" w:sz="0" w:space="0" w:color="auto"/>
      </w:divBdr>
      <w:divsChild>
        <w:div w:id="1024206800">
          <w:marLeft w:val="-225"/>
          <w:marRight w:val="-225"/>
          <w:marTop w:val="0"/>
          <w:marBottom w:val="0"/>
          <w:divBdr>
            <w:top w:val="none" w:sz="0" w:space="0" w:color="auto"/>
            <w:left w:val="none" w:sz="0" w:space="0" w:color="auto"/>
            <w:bottom w:val="none" w:sz="0" w:space="0" w:color="auto"/>
            <w:right w:val="none" w:sz="0" w:space="0" w:color="auto"/>
          </w:divBdr>
          <w:divsChild>
            <w:div w:id="1048720005">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1629240173">
      <w:bodyDiv w:val="1"/>
      <w:marLeft w:val="0"/>
      <w:marRight w:val="0"/>
      <w:marTop w:val="0"/>
      <w:marBottom w:val="0"/>
      <w:divBdr>
        <w:top w:val="none" w:sz="0" w:space="0" w:color="auto"/>
        <w:left w:val="none" w:sz="0" w:space="0" w:color="auto"/>
        <w:bottom w:val="none" w:sz="0" w:space="0" w:color="auto"/>
        <w:right w:val="none" w:sz="0" w:space="0" w:color="auto"/>
      </w:divBdr>
      <w:divsChild>
        <w:div w:id="712459228">
          <w:marLeft w:val="-225"/>
          <w:marRight w:val="-225"/>
          <w:marTop w:val="0"/>
          <w:marBottom w:val="0"/>
          <w:divBdr>
            <w:top w:val="none" w:sz="0" w:space="0" w:color="auto"/>
            <w:left w:val="none" w:sz="0" w:space="0" w:color="auto"/>
            <w:bottom w:val="none" w:sz="0" w:space="0" w:color="auto"/>
            <w:right w:val="none" w:sz="0" w:space="0" w:color="auto"/>
          </w:divBdr>
          <w:divsChild>
            <w:div w:id="462389208">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1837115164">
      <w:bodyDiv w:val="1"/>
      <w:marLeft w:val="0"/>
      <w:marRight w:val="0"/>
      <w:marTop w:val="0"/>
      <w:marBottom w:val="0"/>
      <w:divBdr>
        <w:top w:val="none" w:sz="0" w:space="0" w:color="auto"/>
        <w:left w:val="none" w:sz="0" w:space="0" w:color="auto"/>
        <w:bottom w:val="none" w:sz="0" w:space="0" w:color="auto"/>
        <w:right w:val="none" w:sz="0" w:space="0" w:color="auto"/>
      </w:divBdr>
      <w:divsChild>
        <w:div w:id="1641887307">
          <w:marLeft w:val="-225"/>
          <w:marRight w:val="-225"/>
          <w:marTop w:val="0"/>
          <w:marBottom w:val="0"/>
          <w:divBdr>
            <w:top w:val="none" w:sz="0" w:space="0" w:color="auto"/>
            <w:left w:val="none" w:sz="0" w:space="0" w:color="auto"/>
            <w:bottom w:val="none" w:sz="0" w:space="0" w:color="auto"/>
            <w:right w:val="none" w:sz="0" w:space="0" w:color="auto"/>
          </w:divBdr>
          <w:divsChild>
            <w:div w:id="385183831">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1957981475">
      <w:bodyDiv w:val="1"/>
      <w:marLeft w:val="0"/>
      <w:marRight w:val="0"/>
      <w:marTop w:val="0"/>
      <w:marBottom w:val="0"/>
      <w:divBdr>
        <w:top w:val="none" w:sz="0" w:space="0" w:color="auto"/>
        <w:left w:val="none" w:sz="0" w:space="0" w:color="auto"/>
        <w:bottom w:val="none" w:sz="0" w:space="0" w:color="auto"/>
        <w:right w:val="none" w:sz="0" w:space="0" w:color="auto"/>
      </w:divBdr>
      <w:divsChild>
        <w:div w:id="808207217">
          <w:marLeft w:val="-225"/>
          <w:marRight w:val="-225"/>
          <w:marTop w:val="0"/>
          <w:marBottom w:val="0"/>
          <w:divBdr>
            <w:top w:val="none" w:sz="0" w:space="0" w:color="auto"/>
            <w:left w:val="none" w:sz="0" w:space="0" w:color="auto"/>
            <w:bottom w:val="none" w:sz="0" w:space="0" w:color="auto"/>
            <w:right w:val="none" w:sz="0" w:space="0" w:color="auto"/>
          </w:divBdr>
          <w:divsChild>
            <w:div w:id="590893203">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 w:id="2037778017">
      <w:bodyDiv w:val="1"/>
      <w:marLeft w:val="0"/>
      <w:marRight w:val="0"/>
      <w:marTop w:val="0"/>
      <w:marBottom w:val="0"/>
      <w:divBdr>
        <w:top w:val="none" w:sz="0" w:space="0" w:color="auto"/>
        <w:left w:val="none" w:sz="0" w:space="0" w:color="auto"/>
        <w:bottom w:val="none" w:sz="0" w:space="0" w:color="auto"/>
        <w:right w:val="none" w:sz="0" w:space="0" w:color="auto"/>
      </w:divBdr>
      <w:divsChild>
        <w:div w:id="988245063">
          <w:marLeft w:val="-225"/>
          <w:marRight w:val="-225"/>
          <w:marTop w:val="0"/>
          <w:marBottom w:val="0"/>
          <w:divBdr>
            <w:top w:val="none" w:sz="0" w:space="0" w:color="auto"/>
            <w:left w:val="none" w:sz="0" w:space="0" w:color="auto"/>
            <w:bottom w:val="none" w:sz="0" w:space="0" w:color="auto"/>
            <w:right w:val="none" w:sz="0" w:space="0" w:color="auto"/>
          </w:divBdr>
          <w:divsChild>
            <w:div w:id="502822808">
              <w:marLeft w:val="949"/>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2020-04-11T07:41:00Z</dcterms:created>
  <dcterms:modified xsi:type="dcterms:W3CDTF">2020-04-11T07:58:00Z</dcterms:modified>
</cp:coreProperties>
</file>