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2CBB" w14:textId="3D63F2A4" w:rsidR="00C934D2" w:rsidRPr="00C934D2" w:rsidRDefault="00C934D2" w:rsidP="00C934D2">
      <w:pPr>
        <w:pStyle w:val="ListParagraph"/>
        <w:numPr>
          <w:ilvl w:val="0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Comparison between 9AM data and our python-fetched data.</w:t>
      </w:r>
    </w:p>
    <w:p w14:paraId="70BB40F1" w14:textId="5C8A6414" w:rsidR="007924E8" w:rsidRDefault="00C934D2" w:rsidP="00C934D2">
      <w:pPr>
        <w:spacing w:after="120" w:line="240" w:lineRule="auto"/>
        <w:jc w:val="center"/>
        <w:rPr>
          <w:rFonts w:cs="Arial"/>
          <w:szCs w:val="20"/>
        </w:rPr>
      </w:pPr>
      <w:r>
        <w:rPr>
          <w:noProof/>
        </w:rPr>
        <w:drawing>
          <wp:inline distT="0" distB="0" distL="0" distR="0" wp14:anchorId="4176B3DE" wp14:editId="01DF2664">
            <wp:extent cx="4584613" cy="2744286"/>
            <wp:effectExtent l="38100" t="0" r="6985" b="0"/>
            <wp:docPr id="1143338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B316C33-82A2-4243-8CD1-1A88D9C70E3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tbl>
      <w:tblPr>
        <w:tblW w:w="2480" w:type="dxa"/>
        <w:jc w:val="center"/>
        <w:tblLook w:val="04A0" w:firstRow="1" w:lastRow="0" w:firstColumn="1" w:lastColumn="0" w:noHBand="0" w:noVBand="1"/>
      </w:tblPr>
      <w:tblGrid>
        <w:gridCol w:w="1200"/>
        <w:gridCol w:w="1280"/>
      </w:tblGrid>
      <w:tr w:rsidR="00C934D2" w:rsidRPr="00C934D2" w14:paraId="3B325331" w14:textId="77777777" w:rsidTr="00C934D2">
        <w:trPr>
          <w:trHeight w:val="423"/>
          <w:jc w:val="center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6C6E6A1C" w14:textId="77777777" w:rsidR="00C934D2" w:rsidRPr="00C934D2" w:rsidRDefault="00C934D2" w:rsidP="00C934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kern w:val="0"/>
                <w:sz w:val="24"/>
                <w:szCs w:val="24"/>
                <w:lang w:val="en-IN" w:eastAsia="en-IN"/>
                <w14:ligatures w14:val="none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62E9B785" w14:textId="7D84549F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</w:p>
        </w:tc>
      </w:tr>
      <w:tr w:rsidR="00C934D2" w:rsidRPr="00C934D2" w14:paraId="3E62D6C6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14AE4B88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matched</w:t>
            </w:r>
          </w:p>
        </w:tc>
        <w:tc>
          <w:tcPr>
            <w:tcW w:w="128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7D9453E1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2174</w:t>
            </w:r>
          </w:p>
        </w:tc>
      </w:tr>
      <w:tr w:rsidR="00C934D2" w:rsidRPr="00C934D2" w14:paraId="4DF98C23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70D64377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not matched</w:t>
            </w:r>
          </w:p>
        </w:tc>
        <w:tc>
          <w:tcPr>
            <w:tcW w:w="128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66E72EC1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99</w:t>
            </w:r>
          </w:p>
        </w:tc>
      </w:tr>
      <w:tr w:rsidR="00C934D2" w:rsidRPr="00C934D2" w14:paraId="2762F33D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7981F560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  <w:t>Grand Total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09AF5BD7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  <w:t>2273</w:t>
            </w:r>
          </w:p>
        </w:tc>
      </w:tr>
    </w:tbl>
    <w:p w14:paraId="57724776" w14:textId="77777777" w:rsidR="00C934D2" w:rsidRDefault="00C934D2" w:rsidP="00C934D2">
      <w:pPr>
        <w:spacing w:after="120" w:line="240" w:lineRule="auto"/>
        <w:jc w:val="center"/>
        <w:rPr>
          <w:rFonts w:cs="Arial"/>
          <w:szCs w:val="20"/>
        </w:rPr>
      </w:pPr>
    </w:p>
    <w:p w14:paraId="0A328332" w14:textId="6EF91A21" w:rsidR="00C934D2" w:rsidRPr="00C934D2" w:rsidRDefault="00C934D2" w:rsidP="00C934D2">
      <w:pPr>
        <w:pStyle w:val="ListParagraph"/>
        <w:numPr>
          <w:ilvl w:val="0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Comparison between 2PM data and our python-fetched data.</w:t>
      </w:r>
    </w:p>
    <w:p w14:paraId="00D5B2ED" w14:textId="4C9CD7BF" w:rsidR="00C934D2" w:rsidRDefault="00C934D2" w:rsidP="00C934D2">
      <w:pPr>
        <w:spacing w:after="120" w:line="240" w:lineRule="auto"/>
        <w:jc w:val="center"/>
        <w:rPr>
          <w:rFonts w:cs="Arial"/>
          <w:szCs w:val="20"/>
        </w:rPr>
      </w:pPr>
      <w:r>
        <w:rPr>
          <w:noProof/>
        </w:rPr>
        <w:drawing>
          <wp:inline distT="0" distB="0" distL="0" distR="0" wp14:anchorId="380D9C05" wp14:editId="7D27394A">
            <wp:extent cx="4588238" cy="2744286"/>
            <wp:effectExtent l="38100" t="0" r="3175" b="0"/>
            <wp:docPr id="10710466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C4F6AC3-B97E-1FE4-E1BD-EDDCC6D5572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tbl>
      <w:tblPr>
        <w:tblW w:w="2480" w:type="dxa"/>
        <w:jc w:val="center"/>
        <w:tblLook w:val="04A0" w:firstRow="1" w:lastRow="0" w:firstColumn="1" w:lastColumn="0" w:noHBand="0" w:noVBand="1"/>
      </w:tblPr>
      <w:tblGrid>
        <w:gridCol w:w="1200"/>
        <w:gridCol w:w="1280"/>
      </w:tblGrid>
      <w:tr w:rsidR="00C934D2" w:rsidRPr="00C934D2" w14:paraId="0551E193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3E8F68B6" w14:textId="77777777" w:rsidR="00C934D2" w:rsidRPr="00C934D2" w:rsidRDefault="00C934D2" w:rsidP="00C934D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kern w:val="0"/>
                <w:sz w:val="24"/>
                <w:szCs w:val="24"/>
                <w:lang w:val="en-IN" w:eastAsia="en-IN"/>
                <w14:ligatures w14:val="none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1EB0F273" w14:textId="12D0711E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</w:p>
        </w:tc>
      </w:tr>
      <w:tr w:rsidR="00C934D2" w:rsidRPr="00C934D2" w14:paraId="6D2B0860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314775EE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matched</w:t>
            </w:r>
          </w:p>
        </w:tc>
        <w:tc>
          <w:tcPr>
            <w:tcW w:w="128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1D8407C6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2178</w:t>
            </w:r>
          </w:p>
        </w:tc>
      </w:tr>
      <w:tr w:rsidR="00C934D2" w:rsidRPr="00C934D2" w14:paraId="3A20207B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26ED35BA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not matched</w:t>
            </w:r>
          </w:p>
        </w:tc>
        <w:tc>
          <w:tcPr>
            <w:tcW w:w="1280" w:type="dxa"/>
            <w:tcBorders>
              <w:top w:val="nil"/>
              <w:left w:val="single" w:sz="4" w:space="0" w:color="D9D9D9"/>
              <w:bottom w:val="nil"/>
              <w:right w:val="single" w:sz="4" w:space="0" w:color="D9D9D9"/>
            </w:tcBorders>
            <w:shd w:val="clear" w:color="F2F2F2" w:fill="F2F2F2"/>
            <w:noWrap/>
            <w:vAlign w:val="bottom"/>
            <w:hideMark/>
          </w:tcPr>
          <w:p w14:paraId="7532D4F1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000000"/>
                <w:kern w:val="0"/>
                <w:sz w:val="22"/>
                <w:lang w:val="en-IN" w:eastAsia="en-IN"/>
                <w14:ligatures w14:val="none"/>
              </w:rPr>
              <w:t>95</w:t>
            </w:r>
          </w:p>
        </w:tc>
      </w:tr>
      <w:tr w:rsidR="00C934D2" w:rsidRPr="00C934D2" w14:paraId="15BB2CDB" w14:textId="77777777" w:rsidTr="00C934D2">
        <w:trPr>
          <w:trHeight w:val="286"/>
          <w:jc w:val="center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7D8ADD21" w14:textId="77777777" w:rsidR="00C934D2" w:rsidRPr="00C934D2" w:rsidRDefault="00C934D2" w:rsidP="00C934D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  <w:t>Grand Total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53524202" w14:textId="77777777" w:rsidR="00C934D2" w:rsidRPr="00C934D2" w:rsidRDefault="00C934D2" w:rsidP="00C934D2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</w:pPr>
            <w:r w:rsidRPr="00C934D2">
              <w:rPr>
                <w:rFonts w:ascii="Calibri" w:eastAsia="Times New Roman" w:hAnsi="Calibri" w:cs="Calibri"/>
                <w:color w:val="FFFFFF"/>
                <w:kern w:val="0"/>
                <w:sz w:val="22"/>
                <w:lang w:val="en-IN" w:eastAsia="en-IN"/>
                <w14:ligatures w14:val="none"/>
              </w:rPr>
              <w:t>2273</w:t>
            </w:r>
          </w:p>
        </w:tc>
      </w:tr>
    </w:tbl>
    <w:p w14:paraId="07E5593A" w14:textId="77777777" w:rsidR="00C934D2" w:rsidRDefault="00C934D2" w:rsidP="00C934D2">
      <w:pPr>
        <w:spacing w:after="120" w:line="240" w:lineRule="auto"/>
        <w:jc w:val="center"/>
        <w:rPr>
          <w:rFonts w:cs="Arial"/>
          <w:szCs w:val="20"/>
        </w:rPr>
      </w:pPr>
    </w:p>
    <w:p w14:paraId="1934CFE6" w14:textId="0D4A94EB" w:rsidR="00C934D2" w:rsidRDefault="00C934D2">
      <w:pPr>
        <w:rPr>
          <w:rFonts w:cs="Arial"/>
          <w:szCs w:val="20"/>
        </w:rPr>
      </w:pPr>
      <w:r>
        <w:rPr>
          <w:rFonts w:cs="Arial"/>
          <w:szCs w:val="20"/>
        </w:rPr>
        <w:br w:type="page"/>
      </w:r>
    </w:p>
    <w:p w14:paraId="276C8E04" w14:textId="79D6A63C" w:rsidR="00C934D2" w:rsidRDefault="00C934D2" w:rsidP="00C934D2">
      <w:pPr>
        <w:pStyle w:val="ListParagraph"/>
        <w:numPr>
          <w:ilvl w:val="0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lastRenderedPageBreak/>
        <w:t>Mismatched data [total 99]:</w:t>
      </w:r>
    </w:p>
    <w:p w14:paraId="013FA9C2" w14:textId="57F68581" w:rsidR="00C934D2" w:rsidRDefault="00C934D2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There are 12 entries where 9AM data is showing the links as Inactive but in 2PM data they are showing as active. According to my data they are working.</w:t>
      </w:r>
    </w:p>
    <w:p w14:paraId="6B80B225" w14:textId="0C9A5DF2" w:rsidR="00C934D2" w:rsidRDefault="00C934D2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There are 30 entries which are shown as active in both 9AM &amp; 2PM data. But my data say they are inactive. [Team looks only into inactive data; hence these 30 data are not verified by the team as well].</w:t>
      </w:r>
    </w:p>
    <w:p w14:paraId="4E99FD0B" w14:textId="1BF9A056" w:rsidR="00C934D2" w:rsidRDefault="00C934D2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There are 57 entries which are shown as Inactive in both 9AM &amp; 2PM data, but my data says they are working.</w:t>
      </w:r>
    </w:p>
    <w:p w14:paraId="7F1DF17D" w14:textId="492B3C37" w:rsidR="00C934D2" w:rsidRDefault="00C934D2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 xml:space="preserve">So overall there is 99 [avg. 4.27%] entries which are mismatching with </w:t>
      </w:r>
      <w:r w:rsidR="00274C35">
        <w:rPr>
          <w:rFonts w:cs="Arial"/>
          <w:szCs w:val="20"/>
        </w:rPr>
        <w:t>our</w:t>
      </w:r>
      <w:r>
        <w:rPr>
          <w:rFonts w:cs="Arial"/>
          <w:szCs w:val="20"/>
        </w:rPr>
        <w:t xml:space="preserve"> data.</w:t>
      </w:r>
    </w:p>
    <w:p w14:paraId="1EB8A1A1" w14:textId="6BE8E118" w:rsidR="000F536E" w:rsidRDefault="000F536E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 xml:space="preserve">We’ve manually verified these 99 </w:t>
      </w:r>
      <w:r w:rsidR="0006346D">
        <w:rPr>
          <w:rFonts w:cs="Arial"/>
          <w:szCs w:val="20"/>
        </w:rPr>
        <w:t>cases;</w:t>
      </w:r>
      <w:r>
        <w:rPr>
          <w:rFonts w:cs="Arial"/>
          <w:szCs w:val="20"/>
        </w:rPr>
        <w:t xml:space="preserve"> 98 entries are matching with our data.</w:t>
      </w:r>
    </w:p>
    <w:p w14:paraId="786988E6" w14:textId="77777777" w:rsidR="007974B0" w:rsidRPr="007974B0" w:rsidRDefault="007974B0" w:rsidP="007974B0">
      <w:pPr>
        <w:spacing w:after="120" w:line="240" w:lineRule="auto"/>
        <w:rPr>
          <w:rFonts w:cs="Arial"/>
          <w:szCs w:val="20"/>
        </w:rPr>
      </w:pPr>
    </w:p>
    <w:p w14:paraId="1EC3BCE1" w14:textId="6C835CA6" w:rsidR="007974B0" w:rsidRDefault="007974B0" w:rsidP="007974B0">
      <w:pPr>
        <w:pStyle w:val="ListParagraph"/>
        <w:numPr>
          <w:ilvl w:val="0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W</w:t>
      </w:r>
      <w:r w:rsidRPr="007974B0">
        <w:rPr>
          <w:rFonts w:cs="Arial"/>
          <w:szCs w:val="20"/>
        </w:rPr>
        <w:t>e've manually checked those 99 mismatched entries; 98 entries are matching with my data achieving 98.99% accuracy. But my code took almost 3 hours to fetch 2274 records data taking avg. 4.64 seconds per record.</w:t>
      </w:r>
    </w:p>
    <w:p w14:paraId="69E307B3" w14:textId="77777777" w:rsidR="00C934D2" w:rsidRPr="00C934D2" w:rsidRDefault="00C934D2" w:rsidP="00C934D2">
      <w:pPr>
        <w:spacing w:after="120" w:line="240" w:lineRule="auto"/>
        <w:rPr>
          <w:rFonts w:cs="Arial"/>
          <w:szCs w:val="20"/>
        </w:rPr>
      </w:pPr>
    </w:p>
    <w:p w14:paraId="122D9478" w14:textId="639D0983" w:rsidR="00C934D2" w:rsidRDefault="00C934D2" w:rsidP="00C934D2">
      <w:pPr>
        <w:pStyle w:val="ListParagraph"/>
        <w:numPr>
          <w:ilvl w:val="0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Some key insights based on the titles fetched:</w:t>
      </w:r>
    </w:p>
    <w:p w14:paraId="268CFD15" w14:textId="422AC540" w:rsidR="00C934D2" w:rsidRDefault="00C934D2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“</w:t>
      </w:r>
      <w:r w:rsidRPr="00C934D2">
        <w:rPr>
          <w:rFonts w:cs="Arial"/>
          <w:szCs w:val="20"/>
        </w:rPr>
        <w:t>Just a moment...</w:t>
      </w:r>
      <w:r>
        <w:rPr>
          <w:rFonts w:cs="Arial"/>
          <w:szCs w:val="20"/>
        </w:rPr>
        <w:t xml:space="preserve">”: </w:t>
      </w:r>
      <w:r w:rsidR="00274C35">
        <w:rPr>
          <w:rFonts w:cs="Arial"/>
          <w:szCs w:val="20"/>
        </w:rPr>
        <w:t>These are working fine and marked as Working/Active in my data.</w:t>
      </w:r>
    </w:p>
    <w:p w14:paraId="54B5CAD4" w14:textId="49138515" w:rsidR="00274C35" w:rsidRDefault="00274C35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“</w:t>
      </w:r>
      <w:r w:rsidRPr="00274C35">
        <w:rPr>
          <w:rFonts w:cs="Arial"/>
          <w:szCs w:val="20"/>
        </w:rPr>
        <w:t>Attention Required! | Cloudflare</w:t>
      </w:r>
      <w:r>
        <w:rPr>
          <w:rFonts w:cs="Arial"/>
          <w:szCs w:val="20"/>
        </w:rPr>
        <w:t>”: These portals detected our automation, but we are marking them working as well.</w:t>
      </w:r>
    </w:p>
    <w:p w14:paraId="5432FE6E" w14:textId="78CC7720" w:rsidR="00274C35" w:rsidRDefault="00274C35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 w:rsidRPr="00F827B5">
        <w:rPr>
          <w:rFonts w:cs="Arial"/>
          <w:szCs w:val="20"/>
          <w:u w:val="single"/>
        </w:rPr>
        <w:t>Access denied | comelec.gov.ph used Cloudflare to restrict access Total:</w:t>
      </w:r>
      <w:r>
        <w:rPr>
          <w:rFonts w:cs="Arial"/>
          <w:szCs w:val="20"/>
        </w:rPr>
        <w:t xml:space="preserve"> </w:t>
      </w:r>
      <w:r w:rsidR="00F745A4">
        <w:rPr>
          <w:rFonts w:cs="Arial"/>
          <w:szCs w:val="20"/>
        </w:rPr>
        <w:t xml:space="preserve">These are shown as DOWN but should be shown as </w:t>
      </w:r>
      <w:r w:rsidR="00F827B5">
        <w:rPr>
          <w:rFonts w:cs="Arial"/>
          <w:szCs w:val="20"/>
        </w:rPr>
        <w:t>Active.</w:t>
      </w:r>
    </w:p>
    <w:p w14:paraId="55FA9BAC" w14:textId="4B8906FB" w:rsidR="00274C35" w:rsidRDefault="00274C35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>403</w:t>
      </w:r>
      <w:r w:rsidR="00246426">
        <w:rPr>
          <w:rFonts w:cs="Arial"/>
          <w:szCs w:val="20"/>
        </w:rPr>
        <w:t xml:space="preserve"> –</w:t>
      </w:r>
      <w:r>
        <w:rPr>
          <w:rFonts w:cs="Arial"/>
          <w:szCs w:val="20"/>
        </w:rPr>
        <w:t xml:space="preserve"> </w:t>
      </w:r>
      <w:r w:rsidR="00246426">
        <w:rPr>
          <w:rFonts w:cs="Arial"/>
          <w:szCs w:val="20"/>
        </w:rPr>
        <w:t xml:space="preserve">These working and </w:t>
      </w:r>
      <w:r>
        <w:rPr>
          <w:rFonts w:cs="Arial"/>
          <w:szCs w:val="20"/>
        </w:rPr>
        <w:t>marked as working</w:t>
      </w:r>
      <w:r w:rsidR="00246426">
        <w:rPr>
          <w:rFonts w:cs="Arial"/>
          <w:szCs w:val="20"/>
        </w:rPr>
        <w:t>.</w:t>
      </w:r>
    </w:p>
    <w:p w14:paraId="0E73F8CD" w14:textId="2DEDEE61" w:rsidR="00274C35" w:rsidRPr="00C934D2" w:rsidRDefault="00274C35" w:rsidP="00C934D2">
      <w:pPr>
        <w:pStyle w:val="ListParagraph"/>
        <w:numPr>
          <w:ilvl w:val="1"/>
          <w:numId w:val="2"/>
        </w:numPr>
        <w:spacing w:after="120" w:line="240" w:lineRule="auto"/>
        <w:rPr>
          <w:rFonts w:cs="Arial"/>
          <w:szCs w:val="20"/>
        </w:rPr>
      </w:pPr>
      <w:r>
        <w:rPr>
          <w:rFonts w:cs="Arial"/>
          <w:szCs w:val="20"/>
        </w:rPr>
        <w:t xml:space="preserve">No useful – </w:t>
      </w:r>
      <w:r w:rsidR="00246426">
        <w:rPr>
          <w:rFonts w:cs="Arial"/>
          <w:szCs w:val="20"/>
        </w:rPr>
        <w:t>These are correct.</w:t>
      </w:r>
    </w:p>
    <w:sectPr w:rsidR="00274C35" w:rsidRPr="00C934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87F8C"/>
    <w:multiLevelType w:val="hybridMultilevel"/>
    <w:tmpl w:val="47700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9A4808"/>
    <w:multiLevelType w:val="hybridMultilevel"/>
    <w:tmpl w:val="E3AE3E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B35B97"/>
    <w:multiLevelType w:val="hybridMultilevel"/>
    <w:tmpl w:val="DAC071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FDF7270"/>
    <w:multiLevelType w:val="hybridMultilevel"/>
    <w:tmpl w:val="EE7CC7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647755">
    <w:abstractNumId w:val="2"/>
  </w:num>
  <w:num w:numId="2" w16cid:durableId="1149327412">
    <w:abstractNumId w:val="3"/>
  </w:num>
  <w:num w:numId="3" w16cid:durableId="268702756">
    <w:abstractNumId w:val="1"/>
  </w:num>
  <w:num w:numId="4" w16cid:durableId="74984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4D2"/>
    <w:rsid w:val="0001433E"/>
    <w:rsid w:val="00015D17"/>
    <w:rsid w:val="0006346D"/>
    <w:rsid w:val="00072151"/>
    <w:rsid w:val="000F536E"/>
    <w:rsid w:val="00106509"/>
    <w:rsid w:val="001B3F47"/>
    <w:rsid w:val="00233902"/>
    <w:rsid w:val="00246426"/>
    <w:rsid w:val="00274C35"/>
    <w:rsid w:val="00413A0B"/>
    <w:rsid w:val="00614F24"/>
    <w:rsid w:val="006359C0"/>
    <w:rsid w:val="00661905"/>
    <w:rsid w:val="007924E8"/>
    <w:rsid w:val="007974B0"/>
    <w:rsid w:val="007B28B5"/>
    <w:rsid w:val="00997D1D"/>
    <w:rsid w:val="00AA1446"/>
    <w:rsid w:val="00AC4ABE"/>
    <w:rsid w:val="00AE1D1C"/>
    <w:rsid w:val="00BB5F61"/>
    <w:rsid w:val="00C46F56"/>
    <w:rsid w:val="00C934D2"/>
    <w:rsid w:val="00CC4242"/>
    <w:rsid w:val="00E57864"/>
    <w:rsid w:val="00E9745E"/>
    <w:rsid w:val="00F56F9D"/>
    <w:rsid w:val="00F745A4"/>
    <w:rsid w:val="00F827B5"/>
    <w:rsid w:val="00FC2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4A67E"/>
  <w15:chartTrackingRefBased/>
  <w15:docId w15:val="{E8655C76-F047-4D74-ACFD-2E31C680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3902"/>
    <w:rPr>
      <w:rFonts w:ascii="Arial" w:hAnsi="Arial"/>
      <w:color w:val="333333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902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902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4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87877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4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87877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4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87877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4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7A7A7A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4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7A7A7A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4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52525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4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2525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7D1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3902"/>
    <w:rPr>
      <w:rFonts w:ascii="Arial" w:eastAsiaTheme="majorEastAsia" w:hAnsi="Arial" w:cstheme="majorBidi"/>
      <w:color w:val="333333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902"/>
    <w:rPr>
      <w:rFonts w:ascii="Arial" w:eastAsiaTheme="majorEastAsia" w:hAnsi="Arial" w:cstheme="majorBidi"/>
      <w:color w:val="333333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33902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902"/>
    <w:rPr>
      <w:rFonts w:ascii="Arial" w:eastAsiaTheme="majorEastAsia" w:hAnsi="Arial" w:cstheme="majorBidi"/>
      <w:color w:val="333333" w:themeColor="text1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902"/>
    <w:pPr>
      <w:numPr>
        <w:ilvl w:val="1"/>
      </w:numPr>
    </w:pPr>
    <w:rPr>
      <w:rFonts w:asciiTheme="minorHAnsi" w:eastAsiaTheme="minorEastAsia" w:hAnsiTheme="minorHAnsi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33902"/>
    <w:rPr>
      <w:rFonts w:eastAsiaTheme="minorEastAsia"/>
      <w:color w:val="333333" w:themeColor="text1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4D2"/>
    <w:rPr>
      <w:rFonts w:eastAsiaTheme="majorEastAsia" w:cstheme="majorBidi"/>
      <w:color w:val="87877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4D2"/>
    <w:rPr>
      <w:rFonts w:eastAsiaTheme="majorEastAsia" w:cstheme="majorBidi"/>
      <w:i/>
      <w:iCs/>
      <w:color w:val="878772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4D2"/>
    <w:rPr>
      <w:rFonts w:eastAsiaTheme="majorEastAsia" w:cstheme="majorBidi"/>
      <w:color w:val="878772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4D2"/>
    <w:rPr>
      <w:rFonts w:eastAsiaTheme="majorEastAsia" w:cstheme="majorBidi"/>
      <w:i/>
      <w:iCs/>
      <w:color w:val="7A7A7A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4D2"/>
    <w:rPr>
      <w:rFonts w:eastAsiaTheme="majorEastAsia" w:cstheme="majorBidi"/>
      <w:color w:val="7A7A7A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4D2"/>
    <w:rPr>
      <w:rFonts w:eastAsiaTheme="majorEastAsia" w:cstheme="majorBidi"/>
      <w:i/>
      <w:iCs/>
      <w:color w:val="525252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4D2"/>
    <w:rPr>
      <w:rFonts w:eastAsiaTheme="majorEastAsia" w:cstheme="majorBidi"/>
      <w:color w:val="525252" w:themeColor="text1" w:themeTint="D8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C934D2"/>
    <w:pPr>
      <w:spacing w:before="160"/>
      <w:jc w:val="center"/>
    </w:pPr>
    <w:rPr>
      <w:i/>
      <w:iCs/>
      <w:color w:val="666666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4D2"/>
    <w:rPr>
      <w:rFonts w:ascii="Arial" w:hAnsi="Arial"/>
      <w:i/>
      <w:iCs/>
      <w:color w:val="666666" w:themeColor="text1" w:themeTint="BF"/>
      <w:sz w:val="20"/>
    </w:rPr>
  </w:style>
  <w:style w:type="character" w:styleId="IntenseEmphasis">
    <w:name w:val="Intense Emphasis"/>
    <w:basedOn w:val="DefaultParagraphFont"/>
    <w:uiPriority w:val="21"/>
    <w:qFormat/>
    <w:rsid w:val="00C934D2"/>
    <w:rPr>
      <w:i/>
      <w:iCs/>
      <w:color w:val="87877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4D2"/>
    <w:pPr>
      <w:pBdr>
        <w:top w:val="single" w:sz="4" w:space="10" w:color="878772" w:themeColor="accent1" w:themeShade="BF"/>
        <w:bottom w:val="single" w:sz="4" w:space="10" w:color="878772" w:themeColor="accent1" w:themeShade="BF"/>
      </w:pBdr>
      <w:spacing w:before="360" w:after="360"/>
      <w:ind w:left="864" w:right="864"/>
      <w:jc w:val="center"/>
    </w:pPr>
    <w:rPr>
      <w:i/>
      <w:iCs/>
      <w:color w:val="87877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4D2"/>
    <w:rPr>
      <w:rFonts w:ascii="Arial" w:hAnsi="Arial"/>
      <w:i/>
      <w:iCs/>
      <w:color w:val="878772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C934D2"/>
    <w:rPr>
      <w:b/>
      <w:bCs/>
      <w:smallCaps/>
      <w:color w:val="878772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ktglbuc-my.sharepoint.com/personal/sudhir_jangra_kantar_com/Documents/Desktop/VIF-automation/compariso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ktglbuc-my.sharepoint.com/personal/sudhir_jangra_kantar_com/Documents/Desktop/VIF-automation/comparison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[comparison.xlsx]comparison!PivotTable1</c:name>
    <c:fmtId val="-1"/>
  </c:pivotSource>
  <c:chart>
    <c:autoTitleDeleted val="1"/>
    <c:pivotFmts>
      <c:pivotFmt>
        <c:idx val="0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2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3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5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6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8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</c:pivotFmts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strRef>
              <c:f>comparison!$B$3</c:f>
              <c:strCache>
                <c:ptCount val="1"/>
                <c:pt idx="0">
                  <c:v>Total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shade val="51000"/>
                      <a:satMod val="130000"/>
                    </a:schemeClr>
                  </a:gs>
                  <a:gs pos="80000">
                    <a:schemeClr val="accent1">
                      <a:shade val="93000"/>
                      <a:satMod val="130000"/>
                    </a:schemeClr>
                  </a:gs>
                  <a:gs pos="100000">
                    <a:schemeClr val="accent1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>
                <a:noFill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  <c:extLst>
              <c:ext xmlns:c16="http://schemas.microsoft.com/office/drawing/2014/chart" uri="{C3380CC4-5D6E-409C-BE32-E72D297353CC}">
                <c16:uniqueId val="{00000001-F7B3-4590-86F4-4BB67B1B2F4D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>
                <a:noFill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  <c:extLst>
              <c:ext xmlns:c16="http://schemas.microsoft.com/office/drawing/2014/chart" uri="{C3380CC4-5D6E-409C-BE32-E72D297353CC}">
                <c16:uniqueId val="{00000003-F7B3-4590-86F4-4BB67B1B2F4D}"/>
              </c:ext>
            </c:extLst>
          </c:dPt>
          <c:dLbls>
            <c:numFmt formatCode="0.0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lt1">
                      <a:lumMod val="95000"/>
                      <a:alpha val="54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comparison!$A$4:$A$6</c:f>
              <c:strCache>
                <c:ptCount val="2"/>
                <c:pt idx="0">
                  <c:v>matched</c:v>
                </c:pt>
                <c:pt idx="1">
                  <c:v>not matched</c:v>
                </c:pt>
              </c:strCache>
            </c:strRef>
          </c:cat>
          <c:val>
            <c:numRef>
              <c:f>comparison!$B$4:$B$6</c:f>
              <c:numCache>
                <c:formatCode>General</c:formatCode>
                <c:ptCount val="2"/>
                <c:pt idx="0">
                  <c:v>2174</c:v>
                </c:pt>
                <c:pt idx="1">
                  <c:v>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7B3-4590-86F4-4BB67B1B2F4D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[comparison.xlsx]comparison!PivotTable3</c:name>
    <c:fmtId val="-1"/>
  </c:pivotSource>
  <c:chart>
    <c:autoTitleDeleted val="1"/>
    <c:pivotFmts>
      <c:pivotFmt>
        <c:idx val="0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2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3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5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6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8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9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0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11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12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3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14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15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  <c:marker>
          <c:symbol val="none"/>
        </c:marker>
        <c:dLbl>
          <c:idx val="0"/>
          <c:numFmt formatCode="0.00%" sourceLinked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ctr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6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  <c:pivotFmt>
        <c:idx val="17"/>
        <c:spPr>
          <a:gradFill rotWithShape="1">
            <a:gsLst>
              <a:gs pos="0">
                <a:schemeClr val="accent1">
                  <a:shade val="51000"/>
                  <a:satMod val="130000"/>
                </a:schemeClr>
              </a:gs>
              <a:gs pos="80000">
                <a:schemeClr val="accent1">
                  <a:shade val="93000"/>
                  <a:satMod val="130000"/>
                </a:schemeClr>
              </a:gs>
              <a:gs pos="100000">
                <a:schemeClr val="accent1">
                  <a:shade val="94000"/>
                  <a:satMod val="135000"/>
                </a:schemeClr>
              </a:gs>
            </a:gsLst>
            <a:lin ang="16200000" scaled="0"/>
          </a:gradFill>
          <a:ln>
            <a:noFill/>
          </a:ln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c:spPr>
      </c:pivotFmt>
    </c:pivotFmts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strRef>
              <c:f>comparison!$S$3</c:f>
              <c:strCache>
                <c:ptCount val="1"/>
                <c:pt idx="0">
                  <c:v>Total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shade val="51000"/>
                      <a:satMod val="130000"/>
                    </a:schemeClr>
                  </a:gs>
                  <a:gs pos="80000">
                    <a:schemeClr val="accent1">
                      <a:shade val="93000"/>
                      <a:satMod val="130000"/>
                    </a:schemeClr>
                  </a:gs>
                  <a:gs pos="100000">
                    <a:schemeClr val="accent1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>
                <a:noFill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  <c:extLst>
              <c:ext xmlns:c16="http://schemas.microsoft.com/office/drawing/2014/chart" uri="{C3380CC4-5D6E-409C-BE32-E72D297353CC}">
                <c16:uniqueId val="{00000001-1F4F-4267-BBD5-1BA9CBB5D432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>
                <a:noFill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  <c:extLst>
              <c:ext xmlns:c16="http://schemas.microsoft.com/office/drawing/2014/chart" uri="{C3380CC4-5D6E-409C-BE32-E72D297353CC}">
                <c16:uniqueId val="{00000003-1F4F-4267-BBD5-1BA9CBB5D432}"/>
              </c:ext>
            </c:extLst>
          </c:dPt>
          <c:dLbls>
            <c:numFmt formatCode="0.0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lt1">
                      <a:lumMod val="95000"/>
                      <a:alpha val="54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comparison!$R$4:$R$6</c:f>
              <c:strCache>
                <c:ptCount val="2"/>
                <c:pt idx="0">
                  <c:v>matched</c:v>
                </c:pt>
                <c:pt idx="1">
                  <c:v>not matched</c:v>
                </c:pt>
              </c:strCache>
            </c:strRef>
          </c:cat>
          <c:val>
            <c:numRef>
              <c:f>comparison!$S$4:$S$6</c:f>
              <c:numCache>
                <c:formatCode>General</c:formatCode>
                <c:ptCount val="2"/>
                <c:pt idx="0">
                  <c:v>2178</c:v>
                </c:pt>
                <c:pt idx="1">
                  <c:v>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F4F-4267-BBD5-1BA9CBB5D432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8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68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Office Theme">
  <a:themeElements>
    <a:clrScheme name="Kantar colour theme">
      <a:dk1>
        <a:srgbClr val="333333"/>
      </a:dk1>
      <a:lt1>
        <a:srgbClr val="FFFFFF"/>
      </a:lt1>
      <a:dk2>
        <a:srgbClr val="0060FF"/>
      </a:dk2>
      <a:lt2>
        <a:srgbClr val="802AB7"/>
      </a:lt2>
      <a:accent1>
        <a:srgbClr val="AEAE9F"/>
      </a:accent1>
      <a:accent2>
        <a:srgbClr val="00E5BA"/>
      </a:accent2>
      <a:accent3>
        <a:srgbClr val="00B600"/>
      </a:accent3>
      <a:accent4>
        <a:srgbClr val="FEDB00"/>
      </a:accent4>
      <a:accent5>
        <a:srgbClr val="FF5000"/>
      </a:accent5>
      <a:accent6>
        <a:srgbClr val="FA0028"/>
      </a:accent6>
      <a:hlink>
        <a:srgbClr val="0060FF"/>
      </a:hlink>
      <a:folHlink>
        <a:srgbClr val="802AB7"/>
      </a:folHlink>
    </a:clrScheme>
    <a:fontScheme name="TNS Master Fonts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41da7a-79c1-417c-b408-16c0bfe99fca}" enabled="1" method="Standard" siteId="{1e355c04-e0a4-42ed-8e2d-7351591f0ef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274</Words>
  <Characters>1263</Characters>
  <Application>Microsoft Office Word</Application>
  <DocSecurity>0</DocSecurity>
  <Lines>54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Sudhir Jangra (external)</dc:creator>
  <cp:keywords/>
  <dc:description/>
  <cp:lastModifiedBy>Sudhir Jangra (external)</cp:lastModifiedBy>
  <cp:revision>15</cp:revision>
  <dcterms:created xsi:type="dcterms:W3CDTF">2025-11-19T11:03:00Z</dcterms:created>
  <dcterms:modified xsi:type="dcterms:W3CDTF">2025-11-19T12:06:00Z</dcterms:modified>
</cp:coreProperties>
</file>