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[INTERNAL] Document Metadata Block</w:t>
      </w:r>
    </w:p>
    <w:p>
      <w:pPr>
        <w:spacing w:after="160"/>
        <w:ind w:left="360"/>
      </w:pPr>
      <w:r>
        <w:rPr>
          <w:b/>
          <w:bCs/>
        </w:rPr>
        <w:t xml:space="preserve">Automation system anchor — do not publish. Populate before content generation.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Template Version:         </w:t>
      </w:r>
      <w:r>
        <w:rPr>
          <w:rFonts w:ascii="Consolas" w:cs="Consolas" w:eastAsia="Consolas" w:hAnsi="Consolas"/>
          <w:sz w:val="20"/>
          <w:szCs w:val="20"/>
        </w:rPr>
        <w:t xml:space="preserve">2.0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Template Type:            </w:t>
      </w:r>
      <w:r>
        <w:rPr>
          <w:rFonts w:ascii="Consolas" w:cs="Consolas" w:eastAsia="Consolas" w:hAnsi="Consolas"/>
          <w:sz w:val="20"/>
          <w:szCs w:val="20"/>
        </w:rPr>
        <w:t xml:space="preserve">[Custom — Cross-Border]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60" w:before="160"/>
      </w:pPr>
      <w:r>
        <w:rPr>
          <w:rFonts w:ascii="Consolas" w:cs="Consolas" w:eastAsia="Consolas" w:hAnsi="Consolas"/>
          <w:sz w:val="20"/>
          <w:szCs w:val="20"/>
        </w:rPr>
        <w:t xml:space="preserve">--- Release Identification ---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Product:                  </w:t>
      </w:r>
      <w:r>
        <w:rPr>
          <w:rFonts w:ascii="Consolas" w:cs="Consolas" w:eastAsia="Consolas" w:hAnsi="Consolas"/>
          <w:sz w:val="20"/>
          <w:szCs w:val="20"/>
        </w:rPr>
        <w:t xml:space="preserve">[e.g., AvaTax Cross-Border]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Product Area:             </w:t>
      </w:r>
      <w:r>
        <w:rPr>
          <w:rFonts w:ascii="Consolas" w:cs="Consolas" w:eastAsia="Consolas" w:hAnsi="Consolas"/>
          <w:sz w:val="20"/>
          <w:szCs w:val="20"/>
        </w:rPr>
        <w:t xml:space="preserve">[Jira Product Area value]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Release Version:          </w:t>
      </w:r>
      <w:r>
        <w:rPr>
          <w:rFonts w:ascii="Consolas" w:cs="Consolas" w:eastAsia="Consolas" w:hAnsi="Consolas"/>
          <w:sz w:val="20"/>
          <w:szCs w:val="20"/>
        </w:rPr>
        <w:t xml:space="preserve">[e.g., 26.6.1.0]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Fix Version:              </w:t>
      </w:r>
      <w:r>
        <w:rPr>
          <w:rFonts w:ascii="Consolas" w:cs="Consolas" w:eastAsia="Consolas" w:hAnsi="Consolas"/>
          <w:sz w:val="20"/>
          <w:szCs w:val="20"/>
        </w:rPr>
        <w:t xml:space="preserve">[Jira Fix Version value]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Release Date:             </w:t>
      </w:r>
      <w:r>
        <w:rPr>
          <w:rFonts w:ascii="Consolas" w:cs="Consolas" w:eastAsia="Consolas" w:hAnsi="Consolas"/>
          <w:sz w:val="20"/>
          <w:szCs w:val="20"/>
        </w:rPr>
        <w:t xml:space="preserve">[YYYY-MM-DD]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Content Sync Date:        </w:t>
      </w:r>
      <w:r>
        <w:rPr>
          <w:rFonts w:ascii="Consolas" w:cs="Consolas" w:eastAsia="Consolas" w:hAnsi="Consolas"/>
          <w:sz w:val="20"/>
          <w:szCs w:val="20"/>
        </w:rPr>
        <w:t xml:space="preserve">[latest content synchronization date]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60" w:before="160"/>
      </w:pPr>
      <w:r>
        <w:rPr>
          <w:rFonts w:ascii="Consolas" w:cs="Consolas" w:eastAsia="Consolas" w:hAnsi="Consolas"/>
          <w:sz w:val="20"/>
          <w:szCs w:val="20"/>
        </w:rPr>
        <w:t xml:space="preserve">--- Documentation Mapping ---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Content Library:          </w:t>
      </w:r>
      <w:r>
        <w:rPr>
          <w:rFonts w:ascii="Consolas" w:cs="Consolas" w:eastAsia="Consolas" w:hAnsi="Consolas"/>
          <w:sz w:val="20"/>
          <w:szCs w:val="20"/>
        </w:rPr>
        <w:t xml:space="preserve">[from Documentation Mapping Repository]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Documentation Branch:     </w:t>
      </w:r>
      <w:r>
        <w:rPr>
          <w:rFonts w:ascii="Consolas" w:cs="Consolas" w:eastAsia="Consolas" w:hAnsi="Consolas"/>
          <w:sz w:val="20"/>
          <w:szCs w:val="20"/>
        </w:rPr>
        <w:t xml:space="preserve">[e.g., release-26.6]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DITA Map ID:              </w:t>
      </w:r>
      <w:r>
        <w:rPr>
          <w:rFonts w:ascii="Consolas" w:cs="Consolas" w:eastAsia="Consolas" w:hAnsi="Consolas"/>
          <w:sz w:val="20"/>
          <w:szCs w:val="20"/>
        </w:rPr>
        <w:t xml:space="preserve">[e.g., AVATAX_XB_RN_MAP]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Release Notes Required:   </w:t>
      </w:r>
      <w:r>
        <w:rPr>
          <w:rFonts w:ascii="Consolas" w:cs="Consolas" w:eastAsia="Consolas" w:hAnsi="Consolas"/>
          <w:sz w:val="20"/>
          <w:szCs w:val="20"/>
        </w:rPr>
        <w:t xml:space="preserve">[Yes | No]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60" w:before="160"/>
      </w:pPr>
      <w:r>
        <w:rPr>
          <w:rFonts w:ascii="Consolas" w:cs="Consolas" w:eastAsia="Consolas" w:hAnsi="Consolas"/>
          <w:sz w:val="20"/>
          <w:szCs w:val="20"/>
        </w:rPr>
        <w:t xml:space="preserve">--- Workflow Status ---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Approval Status:          </w:t>
      </w:r>
      <w:r>
        <w:rPr>
          <w:rFonts w:ascii="Consolas" w:cs="Consolas" w:eastAsia="Consolas" w:hAnsi="Consolas"/>
          <w:sz w:val="20"/>
          <w:szCs w:val="20"/>
        </w:rPr>
        <w:t xml:space="preserve">[Draft | In Review | Approved | Published]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Publication Status:       </w:t>
      </w:r>
      <w:r>
        <w:rPr>
          <w:rFonts w:ascii="Consolas" w:cs="Consolas" w:eastAsia="Consolas" w:hAnsi="Consolas"/>
          <w:sz w:val="20"/>
          <w:szCs w:val="20"/>
        </w:rPr>
        <w:t xml:space="preserve">[Unpublished | Scheduled | Published]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Validation Result:        </w:t>
      </w:r>
      <w:r>
        <w:rPr>
          <w:rFonts w:ascii="Consolas" w:cs="Consolas" w:eastAsia="Consolas" w:hAnsi="Consolas"/>
          <w:sz w:val="20"/>
          <w:szCs w:val="20"/>
        </w:rPr>
        <w:t xml:space="preserve">[Pass | Fail | Pending]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Generation Timestamp:     </w:t>
      </w:r>
      <w:r>
        <w:rPr>
          <w:rFonts w:ascii="Consolas" w:cs="Consolas" w:eastAsia="Consolas" w:hAnsi="Consolas"/>
          <w:sz w:val="20"/>
          <w:szCs w:val="20"/>
        </w:rPr>
        <w:t xml:space="preserve">[auto-populated by automation service]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Last Updated:             </w:t>
      </w:r>
      <w:r>
        <w:rPr>
          <w:rFonts w:ascii="Consolas" w:cs="Consolas" w:eastAsia="Consolas" w:hAnsi="Consolas"/>
          <w:sz w:val="20"/>
          <w:szCs w:val="20"/>
        </w:rPr>
        <w:t xml:space="preserve">[auto-populated by automation service]  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[SYSTEM]</w:t>
      </w:r>
    </w:p>
    <w:p>
      <w:pPr>
        <w:pBdr>
          <w:bottom w:val="single" w:color="000000" w:sz="12" w:space="1"/>
        </w:pBdr>
        <w:spacing w:after="240" w:before="120"/>
      </w:pPr>
    </w:p>
    <w:p>
      <w:pPr>
        <w:pStyle w:val="Title"/>
      </w:pPr>
      <w:r>
        <w:t xml:space="preserve">Avalara AvaTax Cross-Border Release Notes</w:t>
      </w:r>
    </w:p>
    <w:p>
      <w:pPr>
        <w:spacing w:after="160"/>
      </w:pPr>
      <w:r>
        <w:rPr>
          <w:i/>
          <w:iCs/>
        </w:rPr>
        <w:t xml:space="preserve">[Release Date — e.g., June 2026]</w:t>
      </w:r>
    </w:p>
    <w:p>
      <w:pPr>
        <w:spacing w:after="80"/>
        <w:ind w:left="360"/>
      </w:pPr>
      <w:r>
        <w:t xml:space="preserve">This is a summary of system updates. It includes de minimis rules, HS taxonomy changes, customs valuation approaches, and cross-border content updates.</w:t>
      </w:r>
    </w:p>
    <w:p>
      <w:pPr>
        <w:pBdr>
          <w:bottom w:val="single" w:color="808080" w:sz="6" w:space="6"/>
        </w:pBdr>
        <w:spacing w:after="160"/>
        <w:ind w:left="360"/>
      </w:pPr>
      <w:r>
        <w:t xml:space="preserve">Avalara regularly updates Knowledge Center content and this document may be out of date. Please check back frequently for updates.</w:t>
      </w:r>
    </w:p>
    <w:p>
      <w:pPr>
        <w:pStyle w:val="Heading1"/>
      </w:pPr>
      <w:r>
        <w:t xml:space="preserve">Release Note [Version] ([Month Year])</w:t>
      </w:r>
    </w:p>
    <w:p>
      <w:pPr>
        <w:pStyle w:val="Heading2"/>
      </w:pPr>
      <w:r>
        <w:t xml:space="preserve">Systems Updated</w:t>
      </w:r>
    </w:p>
    <w:p>
      <w:pPr>
        <w:spacing w:after="120"/>
      </w:pPr>
      <w:r>
        <w:rPr>
          <w:b/>
          <w:bCs/>
        </w:rPr>
        <w:t xml:space="preserve">Overview: </w:t>
      </w:r>
      <w:r>
        <w:t xml:space="preserve">[Summarize which content systems were refreshed in this release. Effective dates reflect the latest available content synchronization. — LLM-GENERATED]</w:t>
      </w:r>
    </w:p>
    <w:p>
      <w:pPr>
        <w:spacing w:after="80"/>
      </w:pPr>
      <w:r>
        <w:rPr>
          <w:b/>
          <w:bCs/>
        </w:rPr>
        <w:t xml:space="preserve">Systems and effective dates: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System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System Name / 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Effective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[e.g., HTS A]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[e.g., United States]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[DD Mon YYYY]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[System code]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[System name / region]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[DD Mon YYYY]</w:t>
            </w:r>
          </w:p>
        </w:tc>
      </w:tr>
    </w:tbl>
    <w:p>
      <w:pPr>
        <w:spacing w:after="120"/>
      </w:pPr>
    </w:p>
    <w:p>
      <w:pPr>
        <w:pBdr>
          <w:bottom w:val="single" w:color="0F4761" w:sz="6" w:space="1"/>
        </w:pBdr>
        <w:spacing w:after="120"/>
      </w:pPr>
    </w:p>
    <w:p>
      <w:pPr>
        <w:pStyle w:val="Heading2"/>
      </w:pPr>
      <w:r>
        <w:t xml:space="preserve">Changes to De Minimis Rules</w:t>
      </w:r>
    </w:p>
    <w:p>
      <w:pPr>
        <w:spacing w:after="120"/>
      </w:pPr>
      <w:r>
        <w:rPr>
          <w:b/>
          <w:bCs/>
        </w:rPr>
        <w:t xml:space="preserve">What changed: </w:t>
      </w:r>
      <w:r>
        <w:t xml:space="preserve">[List each jurisdiction whose de minimis threshold changed, with the new value and, where relevant, the prior value. If none, write: “No changes to de minimis rules in this release.” — LLM-GENERATED]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[Jurisdiction] — updated to [new threshold] (from [prior threshold], if applicable)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[Jurisdiction] — [change detail]</w:t>
      </w:r>
    </w:p>
    <w:p>
      <w:pPr>
        <w:spacing w:after="120"/>
      </w:pPr>
    </w:p>
    <w:p>
      <w:pPr>
        <w:pBdr>
          <w:bottom w:val="single" w:color="0F4761" w:sz="6" w:space="1"/>
        </w:pBdr>
        <w:spacing w:after="120"/>
      </w:pPr>
    </w:p>
    <w:p>
      <w:pPr>
        <w:pStyle w:val="Heading2"/>
      </w:pPr>
      <w:r>
        <w:t xml:space="preserve">Changes to HS Taxonomy</w:t>
      </w:r>
    </w:p>
    <w:p>
      <w:pPr>
        <w:spacing w:after="120"/>
      </w:pPr>
      <w:r>
        <w:rPr>
          <w:b/>
          <w:bCs/>
        </w:rPr>
        <w:t xml:space="preserve">What changed: </w:t>
      </w:r>
      <w:r>
        <w:t xml:space="preserve">[Summarize chapter additions and deletions by system. List each affected system as a sub-heading with its added and deleted HS chapters. If none, write: “No HS taxonomy changes in this release.” — LLM-GENERATED]</w:t>
      </w:r>
    </w:p>
    <w:p>
      <w:pPr>
        <w:pStyle w:val="Heading3"/>
      </w:pPr>
      <w:r>
        <w:t xml:space="preserve">[System Code] ([Region])</w:t>
      </w:r>
    </w:p>
    <w:p>
      <w:pPr>
        <w:spacing w:after="40"/>
      </w:pPr>
      <w:r>
        <w:rPr>
          <w:b/>
          <w:bCs/>
        </w:rPr>
        <w:t xml:space="preserve">Additions: </w:t>
      </w:r>
      <w:r>
        <w:t xml:space="preserve">[HS chapters added, e.g., 07 (Edible vegetables); 08 (Edible fruit and nuts)]</w:t>
      </w:r>
    </w:p>
    <w:p>
      <w:pPr>
        <w:spacing w:after="120"/>
      </w:pPr>
      <w:r>
        <w:rPr>
          <w:b/>
          <w:bCs/>
        </w:rPr>
        <w:t xml:space="preserve">Deletions: </w:t>
      </w:r>
      <w:r>
        <w:t xml:space="preserve">[HS chapters deleted, or “none”]</w:t>
      </w:r>
    </w:p>
    <w:p>
      <w:pPr>
        <w:pBdr>
          <w:bottom w:val="single" w:color="0F4761" w:sz="6" w:space="1"/>
        </w:pBdr>
        <w:spacing w:after="120"/>
      </w:pPr>
    </w:p>
    <w:p>
      <w:pPr>
        <w:pStyle w:val="Heading2"/>
      </w:pPr>
      <w:r>
        <w:t xml:space="preserve">Changes to Customs Valuation Approaches</w:t>
      </w:r>
    </w:p>
    <w:p>
      <w:pPr>
        <w:spacing w:after="120"/>
      </w:pPr>
      <w:r>
        <w:rPr>
          <w:b/>
          <w:bCs/>
        </w:rPr>
        <w:t xml:space="preserve">What changed: </w:t>
      </w:r>
      <w:r>
        <w:t xml:space="preserve">[Describe any changes to customs valuation methods or approaches. If none, write: “No changes.” — LLM-GENERATED]</w:t>
      </w:r>
    </w:p>
    <w:p>
      <w:pPr>
        <w:spacing w:after="120"/>
      </w:pPr>
    </w:p>
    <w:p>
      <w:pPr>
        <w:pBdr>
          <w:bottom w:val="single" w:color="0F4761" w:sz="6" w:space="1"/>
        </w:pBdr>
        <w:spacing w:after="120"/>
      </w:pPr>
    </w:p>
    <w:p>
      <w:pPr>
        <w:pStyle w:val="Heading2"/>
      </w:pPr>
      <w:r>
        <w:t xml:space="preserve">Updated Cross-Border Content</w:t>
      </w:r>
    </w:p>
    <w:p>
      <w:pPr>
        <w:spacing w:after="120"/>
      </w:pPr>
      <w:r>
        <w:rPr>
          <w:b/>
          <w:bCs/>
        </w:rPr>
        <w:t xml:space="preserve">Overview: </w:t>
      </w:r>
      <w:r>
        <w:t xml:space="preserve">[Summarize MFN and preferential rate updates. Where volume is high, condense the full list of FTAs and note that it has been condensed. Group by system. — LLM-GENERATED]</w:t>
      </w:r>
    </w:p>
    <w:p>
      <w:pPr>
        <w:pStyle w:val="Heading3"/>
      </w:pPr>
      <w:r>
        <w:t xml:space="preserve">[System Code] ([Region])</w:t>
      </w:r>
    </w:p>
    <w:p>
      <w:pPr>
        <w:spacing w:after="40"/>
      </w:pPr>
      <w:r>
        <w:rPr>
          <w:b/>
          <w:bCs/>
        </w:rPr>
        <w:t xml:space="preserve">MFN changes: </w:t>
      </w:r>
      <w:r>
        <w:t xml:space="preserve">[Affected HS chapters, or “none”]</w:t>
      </w:r>
    </w:p>
    <w:p>
      <w:pPr>
        <w:spacing w:after="120"/>
      </w:pPr>
      <w:r>
        <w:rPr>
          <w:b/>
          <w:bCs/>
        </w:rPr>
        <w:t xml:space="preserve">Preferential changes: </w:t>
      </w:r>
      <w:r>
        <w:t xml:space="preserve">[Affected agreements/countries and chapter coverage, e.g., examples of FTA partners. — LLM-GENERATED]</w:t>
      </w:r>
    </w:p>
    <w:p>
      <w:pPr>
        <w:pBdr>
          <w:bottom w:val="single" w:color="0F4761" w:sz="6" w:space="1"/>
        </w:pBdr>
        <w:spacing w:after="120"/>
      </w:pPr>
    </w:p>
    <w:p>
      <w:pPr>
        <w:pStyle w:val="Heading2"/>
      </w:pPr>
      <w:r>
        <w:t xml:space="preserve">New Cross-Border Content Added</w:t>
      </w:r>
    </w:p>
    <w:p>
      <w:pPr>
        <w:spacing w:after="120"/>
      </w:pPr>
      <w:r>
        <w:rPr>
          <w:b/>
          <w:bCs/>
        </w:rPr>
        <w:t xml:space="preserve">What was added: </w:t>
      </w:r>
      <w:r>
        <w:t xml:space="preserve">[Describe any newly added systems, jurisdictions, or content sets. If none, write: “No changes.” — LLM-GENERATED]</w:t>
      </w:r>
    </w:p>
    <w:p>
      <w:pPr>
        <w:spacing w:after="120"/>
      </w:pPr>
    </w:p>
    <w:p>
      <w:pPr>
        <w:pBdr>
          <w:bottom w:val="single" w:color="0F4761" w:sz="6" w:space="1"/>
        </w:pBdr>
        <w:spacing w:after="120"/>
      </w:pPr>
    </w:p>
    <w:p>
      <w:pPr>
        <w:pStyle w:val="Heading2"/>
      </w:pPr>
      <w:r>
        <w:t xml:space="preserve">Supporting Resources</w:t>
      </w:r>
    </w:p>
    <w:p>
      <w:pPr>
        <w:spacing w:after="120"/>
      </w:pPr>
      <w:r>
        <w:rPr>
          <w:b/>
          <w:bCs/>
        </w:rPr>
        <w:t xml:space="preserve">Resources: </w:t>
      </w:r>
      <w:r>
        <w:t xml:space="preserve">[Link to help articles, content coverage references, or supporting assets. — AUTHOR if applicable]</w:t>
      </w:r>
    </w:p>
    <w:p>
      <w:pPr>
        <w:spacing w:after="120"/>
      </w:pPr>
    </w:p>
    <w:p>
      <w:pPr>
        <w:spacing w:after="40" w:before="200"/>
      </w:pPr>
      <w:r>
        <w:rPr>
          <w:i/>
          <w:iCs/>
        </w:rPr>
        <w:t xml:space="preserve">Parent topic: AvaTax Cross-Border Release Notes</w:t>
      </w:r>
    </w:p>
    <w:p>
      <w:pPr>
        <w:pBdr>
          <w:top w:val="single" w:color="808080" w:sz="6" w:space="6"/>
        </w:pBdr>
        <w:spacing w:before="80"/>
      </w:pPr>
      <w:r>
        <w:rPr>
          <w:color w:val="595959"/>
          <w:sz w:val="18"/>
          <w:szCs w:val="18"/>
        </w:rPr>
        <w:t xml:space="preserve">Avalara regularly updates Knowledge Center content and this document may be out of date. Please check back frequently for updates. © Avalara Inc. [Year]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ptos Display" w:cs="Aptos Display" w:eastAsia="Aptos Display" w:hAnsi="Aptos Display"/>
      <w:color w:val="0F4761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808080" w:sz="6" w:space="4"/>
      </w:pBdr>
      <w:spacing w:after="120" w:before="240"/>
      <w:outlineLvl w:val="0"/>
    </w:pPr>
    <w:rPr>
      <w:rFonts w:ascii="Aptos Display" w:cs="Aptos Display" w:eastAsia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ptos Display" w:cs="Aptos Display" w:eastAsia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ptos Display" w:cs="Aptos Display" w:eastAsia="Aptos Display" w:hAnsi="Aptos Display"/>
      <w:color w:val="0F4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2026-06-27T05:27:40.783Z</dcterms:created>
  <dcterms:modified xsi:type="dcterms:W3CDTF">2026-06-27T05:27:40.783Z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