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color w:val="1F5C6B"/>
        </w:rPr>
        <w:t xml:space="preserve">[INTERNAL] Document Metadata Block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Automation system anchor — do not publish. Populate before content generation.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Template Version:</w:t>
      </w:r>
      <w:r>
        <w:rPr>
          <w:rFonts w:ascii="Consolas" w:cs="Consolas" w:eastAsia="Consolas" w:hAnsi="Consolas"/>
          <w:sz w:val="20"/>
          <w:szCs w:val="20"/>
        </w:rPr>
        <w:t xml:space="preserve">	2.0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Template Type:</w:t>
      </w:r>
      <w:r>
        <w:rPr>
          <w:rFonts w:ascii="Consolas" w:cs="Consolas" w:eastAsia="Consolas" w:hAnsi="Consolas"/>
          <w:sz w:val="20"/>
          <w:szCs w:val="20"/>
        </w:rPr>
        <w:t xml:space="preserve">	[Custom — SUT (US Sales &amp; Use Tax)]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spacing w:after="40" w:before="160"/>
      </w:pPr>
      <w:r>
        <w:rPr>
          <w:rFonts w:ascii="Consolas" w:cs="Consolas" w:eastAsia="Consolas" w:hAnsi="Consolas"/>
          <w:sz w:val="20"/>
          <w:szCs w:val="20"/>
        </w:rPr>
        <w:t xml:space="preserve">--- Release Identification ---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Product:</w:t>
      </w:r>
      <w:r>
        <w:rPr>
          <w:rFonts w:ascii="Consolas" w:cs="Consolas" w:eastAsia="Consolas" w:hAnsi="Consolas"/>
          <w:sz w:val="20"/>
          <w:szCs w:val="20"/>
        </w:rPr>
        <w:t xml:space="preserve">	[e.g., AvaTax]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Product Area:</w:t>
      </w:r>
      <w:r>
        <w:rPr>
          <w:rFonts w:ascii="Consolas" w:cs="Consolas" w:eastAsia="Consolas" w:hAnsi="Consolas"/>
          <w:sz w:val="20"/>
          <w:szCs w:val="20"/>
        </w:rPr>
        <w:t xml:space="preserve">	[Jira Product Area value]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Release Version:</w:t>
      </w:r>
      <w:r>
        <w:rPr>
          <w:rFonts w:ascii="Consolas" w:cs="Consolas" w:eastAsia="Consolas" w:hAnsi="Consolas"/>
          <w:sz w:val="20"/>
          <w:szCs w:val="20"/>
        </w:rPr>
        <w:t xml:space="preserve">	[e.g., 26.6.1.0]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Fix Version:</w:t>
      </w:r>
      <w:r>
        <w:rPr>
          <w:rFonts w:ascii="Consolas" w:cs="Consolas" w:eastAsia="Consolas" w:hAnsi="Consolas"/>
          <w:sz w:val="20"/>
          <w:szCs w:val="20"/>
        </w:rPr>
        <w:t xml:space="preserve">	[Jira Fix Version value]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Release Date:</w:t>
      </w:r>
      <w:r>
        <w:rPr>
          <w:rFonts w:ascii="Consolas" w:cs="Consolas" w:eastAsia="Consolas" w:hAnsi="Consolas"/>
          <w:sz w:val="20"/>
          <w:szCs w:val="20"/>
        </w:rPr>
        <w:t xml:space="preserve">	[YYYY-MM-DD]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Content Sync Date:</w:t>
      </w:r>
      <w:r>
        <w:rPr>
          <w:rFonts w:ascii="Consolas" w:cs="Consolas" w:eastAsia="Consolas" w:hAnsi="Consolas"/>
          <w:sz w:val="20"/>
          <w:szCs w:val="20"/>
        </w:rPr>
        <w:t xml:space="preserve">	[latest content synchronization date]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spacing w:after="40" w:before="160"/>
      </w:pPr>
      <w:r>
        <w:rPr>
          <w:rFonts w:ascii="Consolas" w:cs="Consolas" w:eastAsia="Consolas" w:hAnsi="Consolas"/>
          <w:sz w:val="20"/>
          <w:szCs w:val="20"/>
        </w:rPr>
        <w:t xml:space="preserve">--- Documentation Mapping ---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Content Library:</w:t>
      </w:r>
      <w:r>
        <w:rPr>
          <w:rFonts w:ascii="Consolas" w:cs="Consolas" w:eastAsia="Consolas" w:hAnsi="Consolas"/>
          <w:sz w:val="20"/>
          <w:szCs w:val="20"/>
        </w:rPr>
        <w:t xml:space="preserve">	[from Documentation Mapping Repository]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Documentation Branch:</w:t>
      </w:r>
      <w:r>
        <w:rPr>
          <w:rFonts w:ascii="Consolas" w:cs="Consolas" w:eastAsia="Consolas" w:hAnsi="Consolas"/>
          <w:sz w:val="20"/>
          <w:szCs w:val="20"/>
        </w:rPr>
        <w:t xml:space="preserve">	[e.g., release-26.6]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DITA Map ID:</w:t>
      </w:r>
      <w:r>
        <w:rPr>
          <w:rFonts w:ascii="Consolas" w:cs="Consolas" w:eastAsia="Consolas" w:hAnsi="Consolas"/>
          <w:sz w:val="20"/>
          <w:szCs w:val="20"/>
        </w:rPr>
        <w:t xml:space="preserve">	[e.g., AVATAX_SUT_RN_MAP]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Release Notes Required:</w:t>
      </w:r>
      <w:r>
        <w:rPr>
          <w:rFonts w:ascii="Consolas" w:cs="Consolas" w:eastAsia="Consolas" w:hAnsi="Consolas"/>
          <w:sz w:val="20"/>
          <w:szCs w:val="20"/>
        </w:rPr>
        <w:t xml:space="preserve">	[Yes | No]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spacing w:after="40" w:before="160"/>
      </w:pPr>
      <w:r>
        <w:rPr>
          <w:rFonts w:ascii="Consolas" w:cs="Consolas" w:eastAsia="Consolas" w:hAnsi="Consolas"/>
          <w:sz w:val="20"/>
          <w:szCs w:val="20"/>
        </w:rPr>
        <w:t xml:space="preserve">--- Workflow Status ---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Approval Status:</w:t>
      </w:r>
      <w:r>
        <w:rPr>
          <w:rFonts w:ascii="Consolas" w:cs="Consolas" w:eastAsia="Consolas" w:hAnsi="Consolas"/>
          <w:sz w:val="20"/>
          <w:szCs w:val="20"/>
        </w:rPr>
        <w:t xml:space="preserve">	[Draft | In Review | Approved | Published]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Publication Status:</w:t>
      </w:r>
      <w:r>
        <w:rPr>
          <w:rFonts w:ascii="Consolas" w:cs="Consolas" w:eastAsia="Consolas" w:hAnsi="Consolas"/>
          <w:sz w:val="20"/>
          <w:szCs w:val="20"/>
        </w:rPr>
        <w:t xml:space="preserve">	[Unpublished | Scheduled | Published]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Validation Result:</w:t>
      </w:r>
      <w:r>
        <w:rPr>
          <w:rFonts w:ascii="Consolas" w:cs="Consolas" w:eastAsia="Consolas" w:hAnsi="Consolas"/>
          <w:sz w:val="20"/>
          <w:szCs w:val="20"/>
        </w:rPr>
        <w:t xml:space="preserve">	[Pass | Fail | Pending]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Generation Timestamp:</w:t>
      </w:r>
      <w:r>
        <w:rPr>
          <w:rFonts w:ascii="Consolas" w:cs="Consolas" w:eastAsia="Consolas" w:hAnsi="Consolas"/>
          <w:sz w:val="20"/>
          <w:szCs w:val="20"/>
        </w:rPr>
        <w:t xml:space="preserve">	[auto-populated by automation service]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Last Updated:</w:t>
      </w:r>
      <w:r>
        <w:rPr>
          <w:rFonts w:ascii="Consolas" w:cs="Consolas" w:eastAsia="Consolas" w:hAnsi="Consolas"/>
          <w:sz w:val="20"/>
          <w:szCs w:val="20"/>
        </w:rPr>
        <w:t xml:space="preserve">	[auto-populated by automation service]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pBdr>
          <w:bottom w:val="single" w:color="BFBFBF" w:sz="6" w:space="1"/>
        </w:pBdr>
        <w:spacing w:after="200" w:before="200"/>
      </w:pPr>
    </w:p>
    <w:p>
      <w:pPr>
        <w:spacing w:after="100"/>
      </w:pPr>
      <w:r>
        <w:rPr>
          <w:color w:val="1F5C6B"/>
          <w:sz w:val="44"/>
          <w:szCs w:val="44"/>
        </w:rPr>
        <w:t xml:space="preserve">Avalara AvaTax Sales &amp; Use Tax Release Notes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[Release Date — e.g., June 2026]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summary of system updates. It includes economic nexus threshold changes, tax rate changes, taxability rule changes, tax code changes, and jurisdiction content updates.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Avalara regularly updates Knowledge Center content and this document may be out of date. Please check back frequently for updates.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  <w:spacing w:after="120"/>
      </w:pPr>
      <w:r>
        <w:rPr>
          <w:b w:val="false"/>
          <w:bCs w:val="false"/>
          <w:color w:val="1F5C6B"/>
        </w:rPr>
        <w:t xml:space="preserve">Release Note [Version] ([Month Year])</w:t>
      </w: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Jurisdictions Updated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Overview: </w:t>
      </w:r>
      <w:r>
        <w:rPr>
          <w:rFonts w:ascii="Calibri" w:cs="Calibri" w:eastAsia="Calibri" w:hAnsi="Calibri"/>
          <w:sz w:val="22"/>
          <w:szCs w:val="22"/>
        </w:rPr>
        <w:t xml:space="preserve">[Summarize which jurisdictions' tax content was refreshed in this release. Effective dates reflect the latest available content synchronization. — LLM-GENERATED]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Jurisdictions and effective dates: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200"/>
      </w:tblGrid>
      <w:tr>
        <w:tc>
          <w:tcPr>
            <w:tcW w:type="dxa" w:w="2400"/>
            <w:shd w:fill="DCE6EC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Jurisdiction Code</w:t>
            </w:r>
          </w:p>
        </w:tc>
        <w:tc>
          <w:tcPr>
            <w:tcW w:type="dxa" w:w="4200"/>
            <w:shd w:fill="DCE6EC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Jurisdiction Name / Level</w:t>
            </w:r>
          </w:p>
        </w:tc>
        <w:tc>
          <w:tcPr>
            <w:tcW w:type="dxa" w:w="2200"/>
            <w:shd w:fill="DCE6EC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Effective Date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[e.g., US-MN]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[e.g., Minnesota / State]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[DD Mon YYYY]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[Jurisdiction code]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[Jurisdiction name / level]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[DD Mon YYYY]</w:t>
            </w:r>
          </w:p>
        </w:tc>
      </w:tr>
    </w:tbl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Changes to Economic Nexus Thresholds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changed: </w:t>
      </w:r>
      <w:r>
        <w:rPr>
          <w:rFonts w:ascii="Calibri" w:cs="Calibri" w:eastAsia="Calibri" w:hAnsi="Calibri"/>
          <w:sz w:val="22"/>
          <w:szCs w:val="22"/>
        </w:rPr>
        <w:t xml:space="preserve">[List each jurisdiction whose economic nexus threshold changed, with the new value and, where relevant, the prior value. If none, write: “No changes to economic nexus thresholds in this release.” — LLM-GENERATED]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[Jurisdiction] — updated to [new threshold] (from [prior threshold], if applicable)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[Jurisdiction] — [change detail]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Changes to Tax Rates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changed: </w:t>
      </w:r>
      <w:r>
        <w:rPr>
          <w:rFonts w:ascii="Calibri" w:cs="Calibri" w:eastAsia="Calibri" w:hAnsi="Calibri"/>
          <w:sz w:val="22"/>
          <w:szCs w:val="22"/>
        </w:rPr>
        <w:t xml:space="preserve">[Summarize rate additions, updates, and deletions by jurisdiction and tax type. List each affected jurisdiction as a sub-heading with its rate changes. If none, write: “No rate changes in this release.” — LLM-GENERATED]</w:t>
      </w:r>
    </w:p>
    <w:p>
      <w:pPr>
        <w:pStyle w:val="Heading3"/>
        <w:spacing w:after="100" w:before="160"/>
      </w:pPr>
      <w:r>
        <w:rPr>
          <w:b w:val="false"/>
          <w:bCs w:val="false"/>
          <w:color w:val="1F5C6B"/>
        </w:rPr>
        <w:t xml:space="preserve">[Jurisdiction Code] ([Jurisdiction Name])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Tax Type: </w:t>
      </w:r>
      <w:r>
        <w:rPr>
          <w:rFonts w:ascii="Calibri" w:cs="Calibri" w:eastAsia="Calibri" w:hAnsi="Calibri"/>
          <w:sz w:val="22"/>
          <w:szCs w:val="22"/>
        </w:rPr>
        <w:t xml:space="preserve">[e.g., Sales Tax, Use Tax, Lodging Tax]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Title: </w:t>
      </w:r>
      <w:r>
        <w:rPr>
          <w:rFonts w:ascii="Calibri" w:cs="Calibri" w:eastAsia="Calibri" w:hAnsi="Calibri"/>
          <w:sz w:val="22"/>
          <w:szCs w:val="22"/>
        </w:rPr>
        <w:t xml:space="preserve">[High-level headline of the rate change, e.g., “County Sales Tax Rate Increase”]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Citations: </w:t>
      </w:r>
      <w:r>
        <w:rPr>
          <w:rFonts w:ascii="Calibri" w:cs="Calibri" w:eastAsia="Calibri" w:hAnsi="Calibri"/>
          <w:sz w:val="22"/>
          <w:szCs w:val="22"/>
        </w:rPr>
        <w:t xml:space="preserve">[Legal or legislative reference(s) supporting this change, e.g., ordinance or statute number — AUTHOR if applicable]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Effective From / To: </w:t>
      </w:r>
      <w:r>
        <w:rPr>
          <w:rFonts w:ascii="Calibri" w:cs="Calibri" w:eastAsia="Calibri" w:hAnsi="Calibri"/>
          <w:sz w:val="22"/>
          <w:szCs w:val="22"/>
        </w:rPr>
        <w:t xml:space="preserve">[DD Mon YYYY] / [DD Mon YYYY, if applicable — e.g., for a tax holiday]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Additions: </w:t>
      </w:r>
      <w:r>
        <w:rPr>
          <w:rFonts w:ascii="Calibri" w:cs="Calibri" w:eastAsia="Calibri" w:hAnsi="Calibri"/>
          <w:sz w:val="22"/>
          <w:szCs w:val="22"/>
        </w:rPr>
        <w:t xml:space="preserve">[New rates introduced,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Updates: </w:t>
      </w:r>
      <w:r>
        <w:rPr>
          <w:rFonts w:ascii="Calibri" w:cs="Calibri" w:eastAsia="Calibri" w:hAnsi="Calibri"/>
          <w:sz w:val="22"/>
          <w:szCs w:val="22"/>
        </w:rPr>
        <w:t xml:space="preserve">[Rates changed from prior value,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Deletions: </w:t>
      </w:r>
      <w:r>
        <w:rPr>
          <w:rFonts w:ascii="Calibri" w:cs="Calibri" w:eastAsia="Calibri" w:hAnsi="Calibri"/>
          <w:sz w:val="22"/>
          <w:szCs w:val="22"/>
        </w:rPr>
        <w:t xml:space="preserve">[Rates removed or expired,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Summary: </w:t>
      </w:r>
      <w:r>
        <w:rPr>
          <w:rFonts w:ascii="Calibri" w:cs="Calibri" w:eastAsia="Calibri" w:hAnsi="Calibri"/>
          <w:sz w:val="22"/>
          <w:szCs w:val="22"/>
        </w:rPr>
        <w:t xml:space="preserve">[Concise explanation of what was modified. — LLM-GENERATED]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Impact: </w:t>
      </w:r>
      <w:r>
        <w:rPr>
          <w:rFonts w:ascii="Calibri" w:cs="Calibri" w:eastAsia="Calibri" w:hAnsi="Calibri"/>
          <w:sz w:val="22"/>
          <w:szCs w:val="22"/>
        </w:rPr>
        <w:t xml:space="preserve">[Narrative describing how the change affects customer tax calculations. — LLM-GENERATED]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 Required: </w:t>
      </w:r>
      <w:r>
        <w:rPr>
          <w:rFonts w:ascii="Calibri" w:cs="Calibri" w:eastAsia="Calibri" w:hAnsi="Calibri"/>
          <w:sz w:val="22"/>
          <w:szCs w:val="22"/>
        </w:rPr>
        <w:t xml:space="preserve">[Explicit instructions for customer system or process changes, if any — AUTHOR if applicable]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Changes to Taxability Rules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changed: </w:t>
      </w:r>
      <w:r>
        <w:rPr>
          <w:rFonts w:ascii="Calibri" w:cs="Calibri" w:eastAsia="Calibri" w:hAnsi="Calibri"/>
          <w:sz w:val="22"/>
          <w:szCs w:val="22"/>
        </w:rPr>
        <w:t xml:space="preserve">[Describe any changes to product/service taxability rules or logic. If none, write: “No changes.” — LLM-GENERATED]</w:t>
      </w:r>
    </w:p>
    <w:p>
      <w:pPr>
        <w:pStyle w:val="Heading3"/>
        <w:spacing w:after="100" w:before="160"/>
      </w:pPr>
      <w:r>
        <w:rPr>
          <w:b w:val="false"/>
          <w:bCs w:val="false"/>
          <w:color w:val="1F5C6B"/>
        </w:rPr>
        <w:t xml:space="preserve">[Jurisdiction Code] ([Jurisdiction Name])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Tax Type: </w:t>
      </w:r>
      <w:r>
        <w:rPr>
          <w:rFonts w:ascii="Calibri" w:cs="Calibri" w:eastAsia="Calibri" w:hAnsi="Calibri"/>
          <w:sz w:val="22"/>
          <w:szCs w:val="22"/>
        </w:rPr>
        <w:t xml:space="preserve">[e.g., Sales Tax]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Updates: </w:t>
      </w:r>
      <w:r>
        <w:rPr>
          <w:rFonts w:ascii="Calibri" w:cs="Calibri" w:eastAsia="Calibri" w:hAnsi="Calibri"/>
          <w:sz w:val="22"/>
          <w:szCs w:val="22"/>
        </w:rPr>
        <w:t xml:space="preserve">[Modified rule logic,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Impact: </w:t>
      </w:r>
      <w:r>
        <w:rPr>
          <w:rFonts w:ascii="Calibri" w:cs="Calibri" w:eastAsia="Calibri" w:hAnsi="Calibri"/>
          <w:sz w:val="22"/>
          <w:szCs w:val="22"/>
        </w:rPr>
        <w:t xml:space="preserve">[Narrative describing how the change affects customer tax outcomes. — LLM-GENERATED]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Updated Tax Codes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Overview: </w:t>
      </w:r>
      <w:r>
        <w:rPr>
          <w:rFonts w:ascii="Calibri" w:cs="Calibri" w:eastAsia="Calibri" w:hAnsi="Calibri"/>
          <w:sz w:val="22"/>
          <w:szCs w:val="22"/>
        </w:rPr>
        <w:t xml:space="preserve">[Summarize tax code additions and deletions. Group by jurisdiction and tax type. — LLM-GENERATED]</w:t>
      </w:r>
    </w:p>
    <w:p>
      <w:pPr>
        <w:pStyle w:val="Heading3"/>
        <w:spacing w:after="100" w:before="160"/>
      </w:pPr>
      <w:r>
        <w:rPr>
          <w:b w:val="false"/>
          <w:bCs w:val="false"/>
          <w:color w:val="1F5C6B"/>
        </w:rPr>
        <w:t xml:space="preserve">[Jurisdiction Code] ([Jurisdiction Name])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Additions: </w:t>
      </w:r>
      <w:r>
        <w:rPr>
          <w:rFonts w:ascii="Calibri" w:cs="Calibri" w:eastAsia="Calibri" w:hAnsi="Calibri"/>
          <w:sz w:val="22"/>
          <w:szCs w:val="22"/>
        </w:rPr>
        <w:t xml:space="preserve">[Tax codes added,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Deletions: </w:t>
      </w:r>
      <w:r>
        <w:rPr>
          <w:rFonts w:ascii="Calibri" w:cs="Calibri" w:eastAsia="Calibri" w:hAnsi="Calibri"/>
          <w:sz w:val="22"/>
          <w:szCs w:val="22"/>
        </w:rPr>
        <w:t xml:space="preserve">[Tax codes removed, or “none”]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New Jurisdictions or Tax Types Added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was added: </w:t>
      </w:r>
      <w:r>
        <w:rPr>
          <w:rFonts w:ascii="Calibri" w:cs="Calibri" w:eastAsia="Calibri" w:hAnsi="Calibri"/>
          <w:sz w:val="22"/>
          <w:szCs w:val="22"/>
        </w:rPr>
        <w:t xml:space="preserve">[Describe any newly added jurisdictions, tax types, or content sets. If none, write: “No changes.” — LLM-GENERATED]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Supporting Resources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Resources: </w:t>
      </w:r>
      <w:r>
        <w:rPr>
          <w:rFonts w:ascii="Calibri" w:cs="Calibri" w:eastAsia="Calibri" w:hAnsi="Calibri"/>
          <w:sz w:val="22"/>
          <w:szCs w:val="22"/>
        </w:rPr>
        <w:t xml:space="preserve">[Link to help articles, content coverage references, or supporting assets. — AUTHOR if applicable]</w:t>
      </w:r>
    </w:p>
    <w:p>
      <w:pPr>
        <w:spacing w:before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Parent topic: AvaTax Sales &amp; Use Tax Release Notes</w:t>
      </w:r>
    </w:p>
    <w:p>
      <w:pPr>
        <w:pBdr>
          <w:bottom w:val="single" w:color="BFBFBF" w:sz="6" w:space="1"/>
        </w:pBdr>
        <w:spacing w:after="200" w:before="200"/>
      </w:pPr>
    </w:p>
    <w:p>
      <w:pPr>
        <w:spacing w:before="100"/>
      </w:pPr>
      <w:r>
        <w:rPr>
          <w:rFonts w:ascii="Calibri" w:cs="Calibri" w:eastAsia="Calibri" w:hAnsi="Calibri"/>
          <w:color w:val="8C8C8C"/>
          <w:sz w:val="18"/>
          <w:szCs w:val="18"/>
        </w:rPr>
        <w:t xml:space="preserve">Avalara regularly updates Knowledge Center content and this document may be out of date. Please check back frequently for updates. © Avalara Inc. [Year]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2026-07-08T07:05:55.476Z</dcterms:created>
  <dcterms:modified xsi:type="dcterms:W3CDTF">2026-07-08T07:05:55.476Z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