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color w:val="1F5C6B"/>
        </w:rPr>
        <w:t xml:space="preserve">[INTERNAL] Document Metadata Block</w:t>
      </w:r>
    </w:p>
    <w:p>
      <w:pPr>
        <w:spacing w:after="1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Automation system anchor — do not publish. Populate before content generation.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Template Version:</w:t>
      </w:r>
      <w:r>
        <w:rPr>
          <w:rFonts w:ascii="Consolas" w:cs="Consolas" w:eastAsia="Consolas" w:hAnsi="Consolas"/>
          <w:sz w:val="20"/>
          <w:szCs w:val="20"/>
        </w:rPr>
        <w:t xml:space="preserve">	2.0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Template Type:</w:t>
      </w:r>
      <w:r>
        <w:rPr>
          <w:rFonts w:ascii="Consolas" w:cs="Consolas" w:eastAsia="Consolas" w:hAnsi="Consolas"/>
          <w:sz w:val="20"/>
          <w:szCs w:val="20"/>
        </w:rPr>
        <w:t xml:space="preserve">	[Custom — VAT International]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Release Identification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Product:</w:t>
      </w:r>
      <w:r>
        <w:rPr>
          <w:rFonts w:ascii="Consolas" w:cs="Consolas" w:eastAsia="Consolas" w:hAnsi="Consolas"/>
          <w:sz w:val="20"/>
          <w:szCs w:val="20"/>
        </w:rPr>
        <w:t xml:space="preserve">	[e.g., AvaTax VAT International]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Product Area:</w:t>
      </w:r>
      <w:r>
        <w:rPr>
          <w:rFonts w:ascii="Consolas" w:cs="Consolas" w:eastAsia="Consolas" w:hAnsi="Consolas"/>
          <w:sz w:val="20"/>
          <w:szCs w:val="20"/>
        </w:rPr>
        <w:t xml:space="preserve">	[Jira Product Area value]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Version:</w:t>
      </w:r>
      <w:r>
        <w:rPr>
          <w:rFonts w:ascii="Consolas" w:cs="Consolas" w:eastAsia="Consolas" w:hAnsi="Consolas"/>
          <w:sz w:val="20"/>
          <w:szCs w:val="20"/>
        </w:rPr>
        <w:t xml:space="preserve">	[e.g., 26.6.1.0]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Fix Version:</w:t>
      </w:r>
      <w:r>
        <w:rPr>
          <w:rFonts w:ascii="Consolas" w:cs="Consolas" w:eastAsia="Consolas" w:hAnsi="Consolas"/>
          <w:sz w:val="20"/>
          <w:szCs w:val="20"/>
        </w:rPr>
        <w:t xml:space="preserve">	[Jira Fix Version value]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Date:</w:t>
      </w:r>
      <w:r>
        <w:rPr>
          <w:rFonts w:ascii="Consolas" w:cs="Consolas" w:eastAsia="Consolas" w:hAnsi="Consolas"/>
          <w:sz w:val="20"/>
          <w:szCs w:val="20"/>
        </w:rPr>
        <w:t xml:space="preserve">	[YYYY-MM-DD]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Content Sync Date:</w:t>
      </w:r>
      <w:r>
        <w:rPr>
          <w:rFonts w:ascii="Consolas" w:cs="Consolas" w:eastAsia="Consolas" w:hAnsi="Consolas"/>
          <w:sz w:val="20"/>
          <w:szCs w:val="20"/>
        </w:rPr>
        <w:t xml:space="preserve">	[latest content synchronization date]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Documentation Mapping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Content Library:</w:t>
      </w:r>
      <w:r>
        <w:rPr>
          <w:rFonts w:ascii="Consolas" w:cs="Consolas" w:eastAsia="Consolas" w:hAnsi="Consolas"/>
          <w:sz w:val="20"/>
          <w:szCs w:val="20"/>
        </w:rPr>
        <w:t xml:space="preserve">	[from Documentation Mapping Repository]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Documentation Branch:</w:t>
      </w:r>
      <w:r>
        <w:rPr>
          <w:rFonts w:ascii="Consolas" w:cs="Consolas" w:eastAsia="Consolas" w:hAnsi="Consolas"/>
          <w:sz w:val="20"/>
          <w:szCs w:val="20"/>
        </w:rPr>
        <w:t xml:space="preserve">	[e.g., release-26.6]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DITA Map ID:</w:t>
      </w:r>
      <w:r>
        <w:rPr>
          <w:rFonts w:ascii="Consolas" w:cs="Consolas" w:eastAsia="Consolas" w:hAnsi="Consolas"/>
          <w:sz w:val="20"/>
          <w:szCs w:val="20"/>
        </w:rPr>
        <w:t xml:space="preserve">	[e.g., AVATAX_VAT_RN_MAP]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Release Notes Required:</w:t>
      </w:r>
      <w:r>
        <w:rPr>
          <w:rFonts w:ascii="Consolas" w:cs="Consolas" w:eastAsia="Consolas" w:hAnsi="Consolas"/>
          <w:sz w:val="20"/>
          <w:szCs w:val="20"/>
        </w:rPr>
        <w:t xml:space="preserve">	[Yes | No]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spacing w:after="40" w:before="160"/>
      </w:pPr>
      <w:r>
        <w:rPr>
          <w:rFonts w:ascii="Consolas" w:cs="Consolas" w:eastAsia="Consolas" w:hAnsi="Consolas"/>
          <w:sz w:val="20"/>
          <w:szCs w:val="20"/>
        </w:rPr>
        <w:t xml:space="preserve">--- Workflow Status ---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Approval Status:</w:t>
      </w:r>
      <w:r>
        <w:rPr>
          <w:rFonts w:ascii="Consolas" w:cs="Consolas" w:eastAsia="Consolas" w:hAnsi="Consolas"/>
          <w:sz w:val="20"/>
          <w:szCs w:val="20"/>
        </w:rPr>
        <w:t xml:space="preserve">	[Draft | In Review | Approved | Published]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Publication Status:</w:t>
      </w:r>
      <w:r>
        <w:rPr>
          <w:rFonts w:ascii="Consolas" w:cs="Consolas" w:eastAsia="Consolas" w:hAnsi="Consolas"/>
          <w:sz w:val="20"/>
          <w:szCs w:val="20"/>
        </w:rPr>
        <w:t xml:space="preserve">	[Unpublished | Scheduled | Published]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Validation Result:</w:t>
      </w:r>
      <w:r>
        <w:rPr>
          <w:rFonts w:ascii="Consolas" w:cs="Consolas" w:eastAsia="Consolas" w:hAnsi="Consolas"/>
          <w:sz w:val="20"/>
          <w:szCs w:val="20"/>
        </w:rPr>
        <w:t xml:space="preserve">	[Pass | Fail | Pending]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Generation Timestamp:</w:t>
      </w:r>
      <w:r>
        <w:rPr>
          <w:rFonts w:ascii="Consolas" w:cs="Consolas" w:eastAsia="Consolas" w:hAnsi="Consolas"/>
          <w:sz w:val="20"/>
          <w:szCs w:val="20"/>
        </w:rPr>
        <w:t xml:space="preserve">	[auto-populated by automation service]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tabs>
          <w:tab w:val="left" w:pos="2600"/>
          <w:tab w:val="left" w:pos="6200"/>
        </w:tabs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Last Updated:</w:t>
      </w:r>
      <w:r>
        <w:rPr>
          <w:rFonts w:ascii="Consolas" w:cs="Consolas" w:eastAsia="Consolas" w:hAnsi="Consolas"/>
          <w:sz w:val="20"/>
          <w:szCs w:val="20"/>
        </w:rPr>
        <w:t xml:space="preserve">	[auto-populated by automation service]</w:t>
      </w:r>
      <w:r>
        <w:rPr>
          <w:rFonts w:ascii="Consolas" w:cs="Consolas" w:eastAsia="Consolas" w:hAnsi="Consolas"/>
          <w:color w:val="8C8C8C"/>
          <w:sz w:val="20"/>
          <w:szCs w:val="20"/>
        </w:rPr>
        <w:t xml:space="preserve">	[SYSTEM]</w:t>
      </w:r>
    </w:p>
    <w:p>
      <w:pPr>
        <w:pBdr>
          <w:bottom w:val="single" w:color="BFBFBF" w:sz="6" w:space="1"/>
        </w:pBdr>
        <w:spacing w:after="200" w:before="200"/>
      </w:pPr>
    </w:p>
    <w:p>
      <w:pPr>
        <w:spacing w:after="100"/>
      </w:pPr>
      <w:r>
        <w:rPr>
          <w:color w:val="1F5C6B"/>
          <w:sz w:val="44"/>
          <w:szCs w:val="44"/>
        </w:rPr>
        <w:t xml:space="preserve">Avalara AvaTax VAT International Release Notes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[Release Date — e.g., June 2026]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summary of system updates. It includes VAT registration threshold changes, VAT rate changes, taxability and exemption rule changes, tax code changes, and jurisdiction content updates.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Avalara regularly updates Knowledge Center content and this document may be out of date. Please check back frequently for updates.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1"/>
        <w:spacing w:after="120"/>
      </w:pPr>
      <w:r>
        <w:rPr>
          <w:b w:val="false"/>
          <w:bCs w:val="false"/>
          <w:color w:val="1F5C6B"/>
        </w:rPr>
        <w:t xml:space="preserve">Release Note [Version] ([Month Year])</w:t>
      </w: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Jurisdictions Updated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Overview: </w:t>
      </w:r>
      <w:r>
        <w:rPr>
          <w:rFonts w:ascii="Calibri" w:cs="Calibri" w:eastAsia="Calibri" w:hAnsi="Calibri"/>
          <w:sz w:val="22"/>
          <w:szCs w:val="22"/>
        </w:rPr>
        <w:t xml:space="preserve">[Summarize which jurisdictions' VAT content was refreshed in this release. Effective dates reflect the latest available content synchronization. — LLM-GENERATED]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Jurisdictions and effective dates: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200"/>
      </w:tblGrid>
      <w:tr>
        <w:tc>
          <w:tcPr>
            <w:tcW w:type="dxa" w:w="24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Jurisdiction Code</w:t>
            </w:r>
          </w:p>
        </w:tc>
        <w:tc>
          <w:tcPr>
            <w:tcW w:type="dxa" w:w="42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Jurisdiction Name / Level</w:t>
            </w:r>
          </w:p>
        </w:tc>
        <w:tc>
          <w:tcPr>
            <w:tcW w:type="dxa" w:w="2200"/>
            <w:shd w:fill="DCE6EC" w:color="auto" w:val="clea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Effective Date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[e.g., DE]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[e.g., Germany / Country]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 Mon YYYY]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[Jurisdiction code]</w:t>
            </w:r>
          </w:p>
        </w:tc>
        <w:tc>
          <w:tcPr>
            <w:tcW w:type="dxa" w:w="4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[Jurisdiction name / level]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[DD Mon YYYY]</w:t>
            </w:r>
          </w:p>
        </w:tc>
      </w:tr>
    </w:tbl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VAT Registration Thresholds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[List each jurisdiction whose VAT registration threshold changed, with the new value and, where relevant, the prior value. If none, write: “No changes to VAT registration thresholds in this release.” — LLM-GENERATED]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[Jurisdiction] — updated to [new threshold] (from [prior threshold], if applicable)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[Jurisdiction] — [change detail]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VAT Rates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[Summarize standard, reduced, and zero-rate additions, updates, and deletions by jurisdiction. List each affected jurisdiction as a sub-heading with its rate changes. If none, write: “No VAT rate changes in this release.”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 Type: </w:t>
      </w:r>
      <w:r>
        <w:rPr>
          <w:rFonts w:ascii="Calibri" w:cs="Calibri" w:eastAsia="Calibri" w:hAnsi="Calibri"/>
          <w:sz w:val="22"/>
          <w:szCs w:val="22"/>
        </w:rPr>
        <w:t xml:space="preserve">[e.g., VAT, GST]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Title: </w:t>
      </w:r>
      <w:r>
        <w:rPr>
          <w:rFonts w:ascii="Calibri" w:cs="Calibri" w:eastAsia="Calibri" w:hAnsi="Calibri"/>
          <w:sz w:val="22"/>
          <w:szCs w:val="22"/>
        </w:rPr>
        <w:t xml:space="preserve">[High-level headline of the rate change, e.g., “Standard VAT Rate Increase”]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Citations: </w:t>
      </w:r>
      <w:r>
        <w:rPr>
          <w:rFonts w:ascii="Calibri" w:cs="Calibri" w:eastAsia="Calibri" w:hAnsi="Calibri"/>
          <w:sz w:val="22"/>
          <w:szCs w:val="22"/>
        </w:rPr>
        <w:t xml:space="preserve">[Legal or legislative reference(s) supporting this change, e.g., directive or decree number — AUTHOR if applicable]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Effective From / To: </w:t>
      </w:r>
      <w:r>
        <w:rPr>
          <w:rFonts w:ascii="Calibri" w:cs="Calibri" w:eastAsia="Calibri" w:hAnsi="Calibri"/>
          <w:sz w:val="22"/>
          <w:szCs w:val="22"/>
        </w:rPr>
        <w:t xml:space="preserve">[DD Mon YYYY] / [DD Mon YYYY, if applicable]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Additions: </w:t>
      </w:r>
      <w:r>
        <w:rPr>
          <w:rFonts w:ascii="Calibri" w:cs="Calibri" w:eastAsia="Calibri" w:hAnsi="Calibri"/>
          <w:sz w:val="22"/>
          <w:szCs w:val="22"/>
        </w:rPr>
        <w:t xml:space="preserve">[New rates introduced,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Updates: </w:t>
      </w:r>
      <w:r>
        <w:rPr>
          <w:rFonts w:ascii="Calibri" w:cs="Calibri" w:eastAsia="Calibri" w:hAnsi="Calibri"/>
          <w:sz w:val="22"/>
          <w:szCs w:val="22"/>
        </w:rPr>
        <w:t xml:space="preserve">[Rates changed from prior value,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Deletions: </w:t>
      </w:r>
      <w:r>
        <w:rPr>
          <w:rFonts w:ascii="Calibri" w:cs="Calibri" w:eastAsia="Calibri" w:hAnsi="Calibri"/>
          <w:sz w:val="22"/>
          <w:szCs w:val="22"/>
        </w:rPr>
        <w:t xml:space="preserve">[Rates removed or expired,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Summary: </w:t>
      </w:r>
      <w:r>
        <w:rPr>
          <w:rFonts w:ascii="Calibri" w:cs="Calibri" w:eastAsia="Calibri" w:hAnsi="Calibri"/>
          <w:sz w:val="22"/>
          <w:szCs w:val="22"/>
        </w:rPr>
        <w:t xml:space="preserve">[Concise explanation of what was modified. — LLM-GENERATED]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Impact: </w:t>
      </w:r>
      <w:r>
        <w:rPr>
          <w:rFonts w:ascii="Calibri" w:cs="Calibri" w:eastAsia="Calibri" w:hAnsi="Calibri"/>
          <w:sz w:val="22"/>
          <w:szCs w:val="22"/>
        </w:rPr>
        <w:t xml:space="preserve">[Narrative describing how the change affects customer tax calculations. — LLM-GENERATED]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Action Required: </w:t>
      </w:r>
      <w:r>
        <w:rPr>
          <w:rFonts w:ascii="Calibri" w:cs="Calibri" w:eastAsia="Calibri" w:hAnsi="Calibri"/>
          <w:sz w:val="22"/>
          <w:szCs w:val="22"/>
        </w:rPr>
        <w:t xml:space="preserve">[Explicit instructions for customer system or process changes, if any — AUTHOR if applicable]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Changes to Taxability and Exemption Rules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changed: </w:t>
      </w:r>
      <w:r>
        <w:rPr>
          <w:rFonts w:ascii="Calibri" w:cs="Calibri" w:eastAsia="Calibri" w:hAnsi="Calibri"/>
          <w:sz w:val="22"/>
          <w:szCs w:val="22"/>
        </w:rPr>
        <w:t xml:space="preserve">[Describe any changes to goods/services taxability or exemption rules or logic. If none, write: “No changes.”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Tax Type: </w:t>
      </w:r>
      <w:r>
        <w:rPr>
          <w:rFonts w:ascii="Calibri" w:cs="Calibri" w:eastAsia="Calibri" w:hAnsi="Calibri"/>
          <w:sz w:val="22"/>
          <w:szCs w:val="22"/>
        </w:rPr>
        <w:t xml:space="preserve">[e.g., VAT]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Updates: </w:t>
      </w:r>
      <w:r>
        <w:rPr>
          <w:rFonts w:ascii="Calibri" w:cs="Calibri" w:eastAsia="Calibri" w:hAnsi="Calibri"/>
          <w:sz w:val="22"/>
          <w:szCs w:val="22"/>
        </w:rPr>
        <w:t xml:space="preserve">[Modified rule logic,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Impact: </w:t>
      </w:r>
      <w:r>
        <w:rPr>
          <w:rFonts w:ascii="Calibri" w:cs="Calibri" w:eastAsia="Calibri" w:hAnsi="Calibri"/>
          <w:sz w:val="22"/>
          <w:szCs w:val="22"/>
        </w:rPr>
        <w:t xml:space="preserve">[Narrative describing how the change affects customer tax outcomes. — LLM-GENERATED]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Updated Tax Codes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Overview: </w:t>
      </w:r>
      <w:r>
        <w:rPr>
          <w:rFonts w:ascii="Calibri" w:cs="Calibri" w:eastAsia="Calibri" w:hAnsi="Calibri"/>
          <w:sz w:val="22"/>
          <w:szCs w:val="22"/>
        </w:rPr>
        <w:t xml:space="preserve">[Summarize tax code additions and deletions. Group by jurisdiction. — LLM-GENERATED]</w:t>
      </w:r>
    </w:p>
    <w:p>
      <w:pPr>
        <w:pStyle w:val="Heading3"/>
        <w:spacing w:after="100" w:before="160"/>
      </w:pPr>
      <w:r>
        <w:rPr>
          <w:b w:val="false"/>
          <w:bCs w:val="false"/>
          <w:color w:val="1F5C6B"/>
        </w:rPr>
        <w:t xml:space="preserve">[Jurisdiction Code] ([Jurisdiction Name])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Additions: </w:t>
      </w:r>
      <w:r>
        <w:rPr>
          <w:rFonts w:ascii="Calibri" w:cs="Calibri" w:eastAsia="Calibri" w:hAnsi="Calibri"/>
          <w:sz w:val="22"/>
          <w:szCs w:val="22"/>
        </w:rPr>
        <w:t xml:space="preserve">[Tax codes added, or “none”]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Deletions: </w:t>
      </w:r>
      <w:r>
        <w:rPr>
          <w:rFonts w:ascii="Calibri" w:cs="Calibri" w:eastAsia="Calibri" w:hAnsi="Calibri"/>
          <w:sz w:val="22"/>
          <w:szCs w:val="22"/>
        </w:rPr>
        <w:t xml:space="preserve">[Tax codes removed, or “none”]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New Jurisdictions or VAT Regimes Added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was added: </w:t>
      </w:r>
      <w:r>
        <w:rPr>
          <w:rFonts w:ascii="Calibri" w:cs="Calibri" w:eastAsia="Calibri" w:hAnsi="Calibri"/>
          <w:sz w:val="22"/>
          <w:szCs w:val="22"/>
        </w:rPr>
        <w:t xml:space="preserve">[Describe any newly added jurisdictions, VAT regimes (e.g., OSS/IOSS), or content sets. If none, write: “No changes.” — LLM-GENERATED]</w:t>
      </w:r>
    </w:p>
    <w:p>
      <w:pPr>
        <w:pBdr>
          <w:bottom w:val="single" w:color="BFBFBF" w:sz="6" w:space="1"/>
        </w:pBdr>
        <w:spacing w:after="200" w:before="200"/>
      </w:pPr>
    </w:p>
    <w:p>
      <w:pPr>
        <w:pStyle w:val="Heading2"/>
        <w:spacing w:after="120" w:before="200"/>
      </w:pPr>
      <w:r>
        <w:rPr>
          <w:b w:val="false"/>
          <w:bCs w:val="false"/>
          <w:color w:val="1F5C6B"/>
        </w:rPr>
        <w:t xml:space="preserve">Supporting Resources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Resources: </w:t>
      </w:r>
      <w:r>
        <w:rPr>
          <w:rFonts w:ascii="Calibri" w:cs="Calibri" w:eastAsia="Calibri" w:hAnsi="Calibri"/>
          <w:sz w:val="22"/>
          <w:szCs w:val="22"/>
        </w:rPr>
        <w:t xml:space="preserve">[Link to help articles, content coverage references, or supporting assets. — AUTHOR if applicable]</w:t>
      </w:r>
    </w:p>
    <w:p>
      <w:pPr>
        <w:spacing w:before="2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Parent topic: AvaTax VAT International Release Notes</w:t>
      </w:r>
    </w:p>
    <w:p>
      <w:pPr>
        <w:pBdr>
          <w:bottom w:val="single" w:color="BFBFBF" w:sz="6" w:space="1"/>
        </w:pBdr>
        <w:spacing w:after="200" w:before="200"/>
      </w:pPr>
    </w:p>
    <w:p>
      <w:pPr>
        <w:spacing w:before="100"/>
      </w:pPr>
      <w:r>
        <w:rPr>
          <w:rFonts w:ascii="Calibri" w:cs="Calibri" w:eastAsia="Calibri" w:hAnsi="Calibri"/>
          <w:color w:val="8C8C8C"/>
          <w:sz w:val="18"/>
          <w:szCs w:val="18"/>
        </w:rPr>
        <w:t xml:space="preserve">Avalara regularly updates Knowledge Center content and this document may be out of date. Please check back frequently for updates. © Avalara Inc. [Year]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2026-07-08T07:05:55.487Z</dcterms:created>
  <dcterms:modified xsi:type="dcterms:W3CDTF">2026-07-08T07:05:55.487Z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