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111111"/>
          <w:sz w:val="34"/>
          <w:szCs w:val="34"/>
          <w:rtl w:val="0"/>
        </w:rPr>
        <w:t xml:space="preserve">Pattern Recognition and Agentic AI for Payment Integrity</w:t>
      </w:r>
      <w:r w:rsidDel="00000000" w:rsidR="00000000" w:rsidRPr="00000000">
        <w:rPr>
          <w:rtl w:val="0"/>
        </w:rPr>
      </w:r>
    </w:p>
    <w:p w:rsidR="00000000" w:rsidDel="00000000" w:rsidP="00000000" w:rsidRDefault="00000000" w:rsidRPr="00000000" w14:paraId="00000002">
      <w:pPr>
        <w:spacing w:after="300" w:lineRule="auto"/>
        <w:rPr/>
      </w:pPr>
      <w:r w:rsidDel="00000000" w:rsidR="00000000" w:rsidRPr="00000000">
        <w:rPr>
          <w:i w:val="1"/>
          <w:iCs w:val="1"/>
          <w:color w:val="444444"/>
          <w:sz w:val="24"/>
          <w:szCs w:val="24"/>
          <w:rtl w:val="0"/>
        </w:rPr>
        <w:t xml:space="preserve">Detecting Fraud, Waste, and Abuse in Healthcare Claims</w:t>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1. Defining the Topic</w:t>
      </w:r>
    </w:p>
    <w:p w:rsidR="00000000" w:rsidDel="00000000" w:rsidP="00000000" w:rsidRDefault="00000000" w:rsidRPr="00000000" w14:paraId="00000004">
      <w:pPr>
        <w:spacing w:after="160" w:line="276" w:lineRule="auto"/>
        <w:rPr/>
      </w:pPr>
      <w:r w:rsidDel="00000000" w:rsidR="00000000" w:rsidRPr="00000000">
        <w:rPr>
          <w:rFonts w:ascii="Arial" w:cs="Arial" w:eastAsia="Arial" w:hAnsi="Arial"/>
          <w:color w:val="1f1f1f"/>
          <w:sz w:val="22"/>
          <w:szCs w:val="22"/>
          <w:rtl w:val="0"/>
        </w:rPr>
        <w:t xml:space="preserve">Clinical decision making and pattern recognition in health care covers a family of techniques </w:t>
      </w:r>
      <w:r w:rsidDel="00000000" w:rsidR="00000000" w:rsidRPr="00000000">
        <w:rPr>
          <w:rtl w:val="0"/>
        </w:rPr>
        <w:t xml:space="preserve">like</w:t>
      </w:r>
      <w:r w:rsidDel="00000000" w:rsidR="00000000" w:rsidRPr="00000000">
        <w:rPr>
          <w:rFonts w:ascii="Arial" w:cs="Arial" w:eastAsia="Arial" w:hAnsi="Arial"/>
          <w:color w:val="1f1f1f"/>
          <w:sz w:val="22"/>
          <w:szCs w:val="22"/>
          <w:rtl w:val="0"/>
        </w:rPr>
        <w:t xml:space="preserve"> classification, prediction, inference, clustering, and time-series anomaly detection </w:t>
      </w:r>
      <w:r w:rsidDel="00000000" w:rsidR="00000000" w:rsidRPr="00000000">
        <w:rPr>
          <w:rtl w:val="0"/>
        </w:rPr>
        <w:t xml:space="preserve">that are</w:t>
      </w:r>
      <w:r w:rsidDel="00000000" w:rsidR="00000000" w:rsidRPr="00000000">
        <w:rPr>
          <w:rFonts w:ascii="Arial" w:cs="Arial" w:eastAsia="Arial" w:hAnsi="Arial"/>
          <w:color w:val="1f1f1f"/>
          <w:sz w:val="22"/>
          <w:szCs w:val="22"/>
          <w:rtl w:val="0"/>
        </w:rPr>
        <w:t xml:space="preserve"> applied across three intersecting domains: Treatment, Payment, and Operations (TPO). </w:t>
      </w:r>
      <w:r w:rsidDel="00000000" w:rsidR="00000000" w:rsidRPr="00000000">
        <w:rPr>
          <w:rtl w:val="0"/>
        </w:rPr>
        <w:t xml:space="preserve">I have chosen to</w:t>
      </w:r>
      <w:r w:rsidDel="00000000" w:rsidR="00000000" w:rsidRPr="00000000">
        <w:rPr>
          <w:rFonts w:ascii="Arial" w:cs="Arial" w:eastAsia="Arial" w:hAnsi="Arial"/>
          <w:color w:val="1f1f1f"/>
          <w:sz w:val="22"/>
          <w:szCs w:val="22"/>
          <w:rtl w:val="0"/>
        </w:rPr>
        <w:t xml:space="preserve"> focus on the Payment and Operations dimensions, specifically how pattern recognition combined with agentic generative AI can identify fraud, waste, and abuse (FWA) in healthcare claims before money leaves the building.</w:t>
      </w:r>
      <w:r w:rsidDel="00000000" w:rsidR="00000000" w:rsidRPr="00000000">
        <w:rPr>
          <w:rtl w:val="0"/>
        </w:rPr>
      </w:r>
    </w:p>
    <w:p w:rsidR="00000000" w:rsidDel="00000000" w:rsidP="00000000" w:rsidRDefault="00000000" w:rsidRPr="00000000" w14:paraId="00000005">
      <w:pPr>
        <w:spacing w:after="160" w:line="276" w:lineRule="auto"/>
        <w:rPr/>
      </w:pPr>
      <w:r w:rsidDel="00000000" w:rsidR="00000000" w:rsidRPr="00000000">
        <w:rPr>
          <w:rFonts w:ascii="Arial" w:cs="Arial" w:eastAsia="Arial" w:hAnsi="Arial"/>
          <w:color w:val="1f1f1f"/>
          <w:sz w:val="22"/>
          <w:szCs w:val="22"/>
          <w:rtl w:val="0"/>
        </w:rPr>
        <w:t xml:space="preserve">FWA is formally distinguished by intent: fraud involves knowingly submitting false claims, waste reflects careless overuse of services without criminal intent, and abuse describes care that fails to meet recognized clinical standards (Centene, 2026). Detecting these patterns at scale requires two capabilities</w:t>
      </w:r>
      <w:r w:rsidDel="00000000" w:rsidR="00000000" w:rsidRPr="00000000">
        <w:rPr>
          <w:rtl w:val="0"/>
        </w:rPr>
        <w:t xml:space="preserve">:</w:t>
      </w:r>
      <w:r w:rsidDel="00000000" w:rsidR="00000000" w:rsidRPr="00000000">
        <w:rPr>
          <w:rFonts w:ascii="Arial" w:cs="Arial" w:eastAsia="Arial" w:hAnsi="Arial"/>
          <w:color w:val="1f1f1f"/>
          <w:sz w:val="22"/>
          <w:szCs w:val="22"/>
          <w:rtl w:val="0"/>
        </w:rPr>
        <w:t xml:space="preserve"> </w:t>
      </w:r>
      <w:r w:rsidDel="00000000" w:rsidR="00000000" w:rsidRPr="00000000">
        <w:rPr>
          <w:rtl w:val="0"/>
        </w:rPr>
        <w:t xml:space="preserve">a</w:t>
      </w:r>
      <w:r w:rsidDel="00000000" w:rsidR="00000000" w:rsidRPr="00000000">
        <w:rPr>
          <w:rFonts w:ascii="Arial" w:cs="Arial" w:eastAsia="Arial" w:hAnsi="Arial"/>
          <w:color w:val="1f1f1f"/>
          <w:sz w:val="22"/>
          <w:szCs w:val="22"/>
          <w:rtl w:val="0"/>
        </w:rPr>
        <w:t xml:space="preserve"> deterministic statistical or machine-learning layer flags claims that deviate from expected peer-group, temporal, or coding norms </w:t>
      </w:r>
      <w:r w:rsidDel="00000000" w:rsidR="00000000" w:rsidRPr="00000000">
        <w:rPr>
          <w:rtl w:val="0"/>
        </w:rPr>
        <w:t xml:space="preserve">and a</w:t>
      </w:r>
      <w:r w:rsidDel="00000000" w:rsidR="00000000" w:rsidRPr="00000000">
        <w:rPr>
          <w:rFonts w:ascii="Arial" w:cs="Arial" w:eastAsia="Arial" w:hAnsi="Arial"/>
          <w:color w:val="1f1f1f"/>
          <w:sz w:val="22"/>
          <w:szCs w:val="22"/>
          <w:rtl w:val="0"/>
        </w:rPr>
        <w:t xml:space="preserve">n agentic generative AI layer </w:t>
      </w:r>
      <w:r w:rsidDel="00000000" w:rsidR="00000000" w:rsidRPr="00000000">
        <w:rPr>
          <w:rtl w:val="0"/>
        </w:rPr>
        <w:t xml:space="preserve">that</w:t>
      </w:r>
      <w:r w:rsidDel="00000000" w:rsidR="00000000" w:rsidRPr="00000000">
        <w:rPr>
          <w:rFonts w:ascii="Arial" w:cs="Arial" w:eastAsia="Arial" w:hAnsi="Arial"/>
          <w:color w:val="1f1f1f"/>
          <w:sz w:val="22"/>
          <w:szCs w:val="22"/>
          <w:rtl w:val="0"/>
        </w:rPr>
        <w:t xml:space="preserve"> retrieves relevant billing policy, reasons across the available evidence (chain reasoning), and produces a citable, human-readable explanation for why a claim was flagged. Neither layer is sufficient alone: a statistical model lacks the interpretive reasoning needed for actionable inference, and a language model lacks the numerical precision and reproducibility a decision needs once it faces audit or appeal.</w:t>
      </w: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2. Industry Trends</w:t>
      </w:r>
    </w:p>
    <w:p w:rsidR="00000000" w:rsidDel="00000000" w:rsidP="00000000" w:rsidRDefault="00000000" w:rsidRPr="00000000" w14:paraId="00000007">
      <w:pPr>
        <w:spacing w:after="160" w:line="276" w:lineRule="auto"/>
        <w:rPr/>
      </w:pPr>
      <w:r w:rsidDel="00000000" w:rsidR="00000000" w:rsidRPr="00000000">
        <w:rPr>
          <w:rFonts w:ascii="Arial" w:cs="Arial" w:eastAsia="Arial" w:hAnsi="Arial"/>
          <w:color w:val="1f1f1f"/>
          <w:sz w:val="22"/>
          <w:szCs w:val="22"/>
          <w:rtl w:val="0"/>
        </w:rPr>
        <w:t xml:space="preserve">The underlying problem is large enough to keep this topic strategically urgent: the National Health Care Anti-Fraud Association estimates that 3 to 10 percent of total U.S. health care spending (potentially exceeding $300 billion annually</w:t>
      </w:r>
      <w:r w:rsidDel="00000000" w:rsidR="00000000" w:rsidRPr="00000000">
        <w:rPr>
          <w:rtl w:val="0"/>
        </w:rPr>
        <w:t xml:space="preserve">)</w:t>
      </w:r>
      <w:r w:rsidDel="00000000" w:rsidR="00000000" w:rsidRPr="00000000">
        <w:rPr>
          <w:rFonts w:ascii="Arial" w:cs="Arial" w:eastAsia="Arial" w:hAnsi="Arial"/>
          <w:color w:val="1f1f1f"/>
          <w:sz w:val="22"/>
          <w:szCs w:val="22"/>
          <w:rtl w:val="0"/>
        </w:rPr>
        <w:t xml:space="preserve"> is lost to FWA (NHCAA, n.d.). Because payers process millions of claims daily, the industry has steadily shifted from manual investigative review toward advanced analytics and automated detection (Vee Healthtek, 2024).</w:t>
      </w:r>
      <w:r w:rsidDel="00000000" w:rsidR="00000000" w:rsidRPr="00000000">
        <w:rPr>
          <w:rtl w:val="0"/>
        </w:rPr>
      </w:r>
    </w:p>
    <w:p w:rsidR="00000000" w:rsidDel="00000000" w:rsidP="00000000" w:rsidRDefault="00000000" w:rsidRPr="00000000" w14:paraId="00000008">
      <w:pPr>
        <w:spacing w:after="160" w:line="276" w:lineRule="auto"/>
        <w:rPr/>
      </w:pPr>
      <w:r w:rsidDel="00000000" w:rsidR="00000000" w:rsidRPr="00000000">
        <w:rPr>
          <w:rFonts w:ascii="Arial" w:cs="Arial" w:eastAsia="Arial" w:hAnsi="Arial"/>
          <w:color w:val="1f1f1f"/>
          <w:sz w:val="22"/>
          <w:szCs w:val="22"/>
          <w:rtl w:val="0"/>
        </w:rPr>
        <w:t xml:space="preserve">Generative and agentic AI now sit at the leading edge of that shift. Gartner forecasts that by 2028, 80 percent of ambulatory claims will move through AI-enabled, real-time adjudication (Cohere Health, 2026), and major automation vendors </w:t>
      </w:r>
      <w:r w:rsidDel="00000000" w:rsidR="00000000" w:rsidRPr="00000000">
        <w:rPr>
          <w:rtl w:val="0"/>
        </w:rPr>
        <w:t xml:space="preserve">like</w:t>
      </w:r>
      <w:r w:rsidDel="00000000" w:rsidR="00000000" w:rsidRPr="00000000">
        <w:rPr>
          <w:rFonts w:ascii="Arial" w:cs="Arial" w:eastAsia="Arial" w:hAnsi="Arial"/>
          <w:color w:val="1f1f1f"/>
          <w:sz w:val="22"/>
          <w:szCs w:val="22"/>
          <w:rtl w:val="0"/>
        </w:rPr>
        <w:t xml:space="preserve"> UiPath and Accenture </w:t>
      </w:r>
      <w:r w:rsidDel="00000000" w:rsidR="00000000" w:rsidRPr="00000000">
        <w:rPr>
          <w:rtl w:val="0"/>
        </w:rPr>
        <w:t xml:space="preserve">have</w:t>
      </w:r>
      <w:r w:rsidDel="00000000" w:rsidR="00000000" w:rsidRPr="00000000">
        <w:rPr>
          <w:rFonts w:ascii="Arial" w:cs="Arial" w:eastAsia="Arial" w:hAnsi="Arial"/>
          <w:color w:val="1f1f1f"/>
          <w:sz w:val="22"/>
          <w:szCs w:val="22"/>
          <w:rtl w:val="0"/>
        </w:rPr>
        <w:t xml:space="preserve"> launched agentic offerings in 2026 specifically for claim denial prevention, prior authorization, and payment integrity workflows (UiPath, 2026; Accenture, 2026). Industry research from HealthVerity indicates most agentic deployments remain in early pilot stages, concentrated among larger, technology-forward payers</w:t>
      </w:r>
      <w:r w:rsidDel="00000000" w:rsidR="00000000" w:rsidRPr="00000000">
        <w:rPr>
          <w:rtl w:val="0"/>
        </w:rPr>
        <w:t xml:space="preserve">,</w:t>
      </w:r>
      <w:r w:rsidDel="00000000" w:rsidR="00000000" w:rsidRPr="00000000">
        <w:rPr>
          <w:rFonts w:ascii="Arial" w:cs="Arial" w:eastAsia="Arial" w:hAnsi="Arial"/>
          <w:color w:val="1f1f1f"/>
          <w:sz w:val="22"/>
          <w:szCs w:val="22"/>
          <w:rtl w:val="0"/>
        </w:rPr>
        <w:t xml:space="preserve"> suggesting a near-term window for a fast-moving, well-governed entrant to differentiate (HealthVerity, 2025).</w:t>
      </w: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3. Opportunities</w:t>
      </w:r>
    </w:p>
    <w:p w:rsidR="00000000" w:rsidDel="00000000" w:rsidP="00000000" w:rsidRDefault="00000000" w:rsidRPr="00000000" w14:paraId="0000000A">
      <w:pPr>
        <w:spacing w:after="160" w:line="276" w:lineRule="auto"/>
        <w:rPr/>
      </w:pPr>
      <w:r w:rsidDel="00000000" w:rsidR="00000000" w:rsidRPr="00000000">
        <w:rPr>
          <w:rFonts w:ascii="Arial" w:cs="Arial" w:eastAsia="Arial" w:hAnsi="Arial"/>
          <w:color w:val="1f1f1f"/>
          <w:sz w:val="22"/>
          <w:szCs w:val="22"/>
          <w:rtl w:val="0"/>
        </w:rPr>
        <w:t xml:space="preserve">For Cotiviti, advancing this capability set offers concrete upside, and the company's own client results already show the value achievable with focused payment-accuracy work: one health plan tripled its projected findings after adopting clinical chart (DRG) validation, and coordination-of-benefits clients realize roughly 80 percent of overpaid findings as actual cost savings (Cotiviti, 2026a). Layering a GenAI explanation capability on top of existing detection models compounds this value by shortening review cycles </w:t>
      </w:r>
      <w:r w:rsidDel="00000000" w:rsidR="00000000" w:rsidRPr="00000000">
        <w:rPr>
          <w:rtl w:val="0"/>
        </w:rPr>
        <w:t xml:space="preserve">and</w:t>
      </w:r>
      <w:r w:rsidDel="00000000" w:rsidR="00000000" w:rsidRPr="00000000">
        <w:rPr>
          <w:rFonts w:ascii="Arial" w:cs="Arial" w:eastAsia="Arial" w:hAnsi="Arial"/>
          <w:color w:val="1f1f1f"/>
          <w:sz w:val="22"/>
          <w:szCs w:val="22"/>
          <w:rtl w:val="0"/>
        </w:rPr>
        <w:t xml:space="preserve"> Cotiviti already reports cutting time-to-results from over 90 days to under five through integrated pre- and postpay programs (Cotiviti, 2026b)</w:t>
      </w:r>
      <w:r w:rsidDel="00000000" w:rsidR="00000000" w:rsidRPr="00000000">
        <w:rPr>
          <w:rtl w:val="0"/>
        </w:rPr>
        <w:t xml:space="preserve">, all</w:t>
      </w:r>
      <w:r w:rsidDel="00000000" w:rsidR="00000000" w:rsidRPr="00000000">
        <w:rPr>
          <w:rFonts w:ascii="Arial" w:cs="Arial" w:eastAsia="Arial" w:hAnsi="Arial"/>
          <w:color w:val="1f1f1f"/>
          <w:sz w:val="22"/>
          <w:szCs w:val="22"/>
          <w:rtl w:val="0"/>
        </w:rPr>
        <w:t xml:space="preserve"> while producing the auditable rationale regulators increasingly require. A well-explained flag is also a faster flag, reducing both administrative cost and provider abrasion at once.</w:t>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4. Threats</w:t>
      </w:r>
    </w:p>
    <w:p w:rsidR="00000000" w:rsidDel="00000000" w:rsidP="00000000" w:rsidRDefault="00000000" w:rsidRPr="00000000" w14:paraId="0000000C">
      <w:pPr>
        <w:spacing w:after="160" w:line="276" w:lineRule="auto"/>
        <w:rPr/>
      </w:pPr>
      <w:r w:rsidDel="00000000" w:rsidR="00000000" w:rsidRPr="00000000">
        <w:rPr>
          <w:rFonts w:ascii="Arial" w:cs="Arial" w:eastAsia="Arial" w:hAnsi="Arial"/>
          <w:color w:val="1f1f1f"/>
          <w:sz w:val="22"/>
          <w:szCs w:val="22"/>
          <w:rtl w:val="0"/>
        </w:rPr>
        <w:t xml:space="preserve">The same capability carries real regulatory and reputational exposure. As of early 2026, at least 25 states have adopted guidance based on the NAIC's AI Model Bulletin, requiring insurers to document AI oversight, demonstrate explainability for automated decisions, and accept responsibility for third-party AI vendors (KFF, 2026). Several states have gone further: Texas, Arizona, Maryland, and Indiana now prohibit using AI as the sole basis for an adverse claim determination or coding downgrade without human review, and California's SB 1120 has barred fully automated coverage denials since 2025 (Sheppard Mullin, 2026; Holland &amp; Knight, 2026).</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rFonts w:ascii="Arial" w:cs="Arial" w:eastAsia="Arial" w:hAnsi="Arial"/>
          <w:color w:val="1f1f1f"/>
          <w:sz w:val="22"/>
          <w:szCs w:val="22"/>
          <w:rtl w:val="0"/>
        </w:rPr>
        <w:t xml:space="preserve">Poorly governed AI has already triggered litigation, including allegations that one insurer’s review algorithm had a 90 percent error rate</w:t>
      </w:r>
      <w:r w:rsidDel="00000000" w:rsidR="00000000" w:rsidRPr="00000000">
        <w:rPr>
          <w:rtl w:val="0"/>
        </w:rPr>
        <w:t xml:space="preserve">,</w:t>
      </w:r>
      <w:r w:rsidDel="00000000" w:rsidR="00000000" w:rsidRPr="00000000">
        <w:rPr>
          <w:rFonts w:ascii="Arial" w:cs="Arial" w:eastAsia="Arial" w:hAnsi="Arial"/>
          <w:color w:val="1f1f1f"/>
          <w:sz w:val="22"/>
          <w:szCs w:val="22"/>
          <w:rtl w:val="0"/>
        </w:rPr>
        <w:t xml:space="preserve"> and that another's automated review system enabled physicians to reject hundreds of thousands of claims in a matter of months at roughly a second of review each (PCMI, 2026). For a vendor whose product is AI-assisted claim review, the central risk is governance, not technical failure: an explanation layer that misapplies a policy citation, or a detection model that drifts as billing behavior adapts to evade it, could expose Cotiviti and its health-plan clients to exactly this kind of scrutiny.</w:t>
      </w: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5. Strategic Recommendations for Cotiviti</w:t>
      </w:r>
    </w:p>
    <w:p w:rsidR="00000000" w:rsidDel="00000000" w:rsidP="00000000" w:rsidRDefault="00000000" w:rsidRPr="00000000" w14:paraId="0000000F">
      <w:pPr>
        <w:spacing w:after="160" w:line="276" w:lineRule="auto"/>
        <w:rPr/>
      </w:pPr>
      <w:r w:rsidDel="00000000" w:rsidR="00000000" w:rsidRPr="00000000">
        <w:rPr>
          <w:rFonts w:ascii="Arial" w:cs="Arial" w:eastAsia="Arial" w:hAnsi="Arial"/>
          <w:color w:val="1f1f1f"/>
          <w:sz w:val="22"/>
          <w:szCs w:val="22"/>
          <w:rtl w:val="0"/>
        </w:rPr>
        <w:t xml:space="preserve">I suggest exploring three main options. First, I recommend a “detect</w:t>
      </w:r>
      <w:r w:rsidDel="00000000" w:rsidR="00000000" w:rsidRPr="00000000">
        <w:rPr>
          <w:rtl w:val="0"/>
        </w:rPr>
        <w:t xml:space="preserve"> and </w:t>
      </w:r>
      <w:r w:rsidDel="00000000" w:rsidR="00000000" w:rsidRPr="00000000">
        <w:rPr>
          <w:rFonts w:ascii="Arial" w:cs="Arial" w:eastAsia="Arial" w:hAnsi="Arial"/>
          <w:color w:val="1f1f1f"/>
          <w:sz w:val="22"/>
          <w:szCs w:val="22"/>
          <w:rtl w:val="0"/>
        </w:rPr>
        <w:t xml:space="preserve">explain” approach for our product. We can pair our current data-mining models with a new AI layer that finds the exact policy clause for every flag. This way, we give reviewers a clear reason for each decision and meet state legal requirements for explainability from the start.</w:t>
      </w:r>
      <w:r w:rsidDel="00000000" w:rsidR="00000000" w:rsidRPr="00000000">
        <w:rPr>
          <w:rtl w:val="0"/>
        </w:rPr>
      </w:r>
    </w:p>
    <w:p w:rsidR="00000000" w:rsidDel="00000000" w:rsidP="00000000" w:rsidRDefault="00000000" w:rsidRPr="00000000" w14:paraId="00000010">
      <w:pPr>
        <w:spacing w:after="160" w:line="276" w:lineRule="auto"/>
        <w:rPr/>
      </w:pPr>
      <w:r w:rsidDel="00000000" w:rsidR="00000000" w:rsidRPr="00000000">
        <w:rPr>
          <w:rFonts w:ascii="Arial" w:cs="Arial" w:eastAsia="Arial" w:hAnsi="Arial"/>
          <w:color w:val="1f1f1f"/>
          <w:sz w:val="22"/>
          <w:szCs w:val="22"/>
          <w:rtl w:val="0"/>
        </w:rPr>
        <w:t xml:space="preserve">Second, I propose building an agentic payment-integrity copilot for our analysts. This tool would automatically pull up the relevant coding and coverage policies for each claim, draft the review rationale, and route it to a human reviewer. This approach saves time while maintaining the human-in-the-loop oversight required by recent state laws.</w:t>
      </w:r>
      <w:r w:rsidDel="00000000" w:rsidR="00000000" w:rsidRPr="00000000">
        <w:rPr>
          <w:rtl w:val="0"/>
        </w:rPr>
      </w:r>
    </w:p>
    <w:p w:rsidR="00000000" w:rsidDel="00000000" w:rsidP="00000000" w:rsidRDefault="00000000" w:rsidRPr="00000000" w14:paraId="00000011">
      <w:pPr>
        <w:spacing w:after="160" w:line="276" w:lineRule="auto"/>
        <w:rPr/>
      </w:pPr>
      <w:r w:rsidDel="00000000" w:rsidR="00000000" w:rsidRPr="00000000">
        <w:rPr>
          <w:rFonts w:ascii="Arial" w:cs="Arial" w:eastAsia="Arial" w:hAnsi="Arial"/>
          <w:color w:val="1f1f1f"/>
          <w:sz w:val="22"/>
          <w:szCs w:val="22"/>
          <w:rtl w:val="0"/>
        </w:rPr>
        <w:t xml:space="preserve">Third, I believe we should prioritize "compliance-by-design" as a market differentiator. With many new state AI regulations emerging, we can gain a significant advantage by building features like audit logs, bias testing, and human-review checkpoints directly into our core product, rather than rushing to retrofit them later.</w:t>
      </w:r>
      <w:r w:rsidDel="00000000" w:rsidR="00000000" w:rsidRPr="00000000">
        <w:rPr>
          <w:rtl w:val="0"/>
        </w:rPr>
      </w:r>
    </w:p>
    <w:p w:rsidR="00000000" w:rsidDel="00000000" w:rsidP="00000000" w:rsidRDefault="00000000" w:rsidRPr="00000000" w14:paraId="00000012">
      <w:pPr>
        <w:spacing w:after="160" w:line="276" w:lineRule="auto"/>
        <w:rPr/>
      </w:pPr>
      <w:r w:rsidDel="00000000" w:rsidR="00000000" w:rsidRPr="00000000">
        <w:rPr>
          <w:rFonts w:ascii="Arial" w:cs="Arial" w:eastAsia="Arial" w:hAnsi="Arial"/>
          <w:color w:val="1f1f1f"/>
          <w:sz w:val="22"/>
          <w:szCs w:val="22"/>
          <w:rtl w:val="0"/>
        </w:rPr>
        <w:t xml:space="preserve">Pattern recognition and agentic AI are converging on payment integrity faster than the regulatory floor beneath them is settling. Organizations that treat explainability and human oversight as core product features, not compliance overhead, are best positioned to capture the underlying $300 billion opportunity without inheriting its legal exposure.</w:t>
      </w:r>
      <w:r w:rsidDel="00000000" w:rsidR="00000000" w:rsidRPr="00000000">
        <w:rPr>
          <w:rtl w:val="0"/>
        </w:rPr>
      </w:r>
    </w:p>
    <w:p w:rsidR="00000000" w:rsidDel="00000000" w:rsidP="00000000" w:rsidRDefault="00000000" w:rsidRPr="00000000" w14:paraId="00000013">
      <w:pPr>
        <w:pStyle w:val="Heading1"/>
        <w:pageBreakBefore w:val="1"/>
        <w:rPr/>
      </w:pPr>
      <w:r w:rsidDel="00000000" w:rsidR="00000000" w:rsidRPr="00000000">
        <w:rPr>
          <w:rtl w:val="0"/>
        </w:rPr>
        <w:t xml:space="preserve">References</w:t>
      </w:r>
    </w:p>
    <w:p w:rsidR="00000000" w:rsidDel="00000000" w:rsidP="00000000" w:rsidRDefault="00000000" w:rsidRPr="00000000" w14:paraId="00000014">
      <w:pPr>
        <w:spacing w:after="160" w:line="276" w:lineRule="auto"/>
        <w:ind w:left="720" w:hanging="720"/>
        <w:rPr>
          <w:sz w:val="20"/>
          <w:szCs w:val="20"/>
        </w:rPr>
      </w:pPr>
      <w:r w:rsidDel="00000000" w:rsidR="00000000" w:rsidRPr="00000000">
        <w:rPr>
          <w:rFonts w:ascii="Arial" w:cs="Arial" w:eastAsia="Arial" w:hAnsi="Arial"/>
          <w:color w:val="1f1f1f"/>
          <w:sz w:val="20"/>
          <w:szCs w:val="20"/>
          <w:rtl w:val="0"/>
        </w:rPr>
        <w:t xml:space="preserve">Accenture. (2026, February 6). Agentic AI is transforming health insurance claims. Accenture</w:t>
      </w:r>
      <w:r w:rsidDel="00000000" w:rsidR="00000000" w:rsidRPr="00000000">
        <w:rPr>
          <w:sz w:val="20"/>
          <w:szCs w:val="20"/>
          <w:rtl w:val="0"/>
        </w:rPr>
        <w:t xml:space="preserve"> </w:t>
      </w:r>
      <w:r w:rsidDel="00000000" w:rsidR="00000000" w:rsidRPr="00000000">
        <w:rPr>
          <w:rFonts w:ascii="Arial" w:cs="Arial" w:eastAsia="Arial" w:hAnsi="Arial"/>
          <w:color w:val="1f1f1f"/>
          <w:sz w:val="20"/>
          <w:szCs w:val="20"/>
          <w:rtl w:val="0"/>
        </w:rPr>
        <w:t xml:space="preserve">Insurance Blog. </w:t>
      </w:r>
      <w:hyperlink r:id="rId7">
        <w:r w:rsidDel="00000000" w:rsidR="00000000" w:rsidRPr="00000000">
          <w:rPr>
            <w:rFonts w:ascii="Arial" w:cs="Arial" w:eastAsia="Arial" w:hAnsi="Arial"/>
            <w:color w:val="1155cc"/>
            <w:sz w:val="20"/>
            <w:szCs w:val="20"/>
            <w:u w:val="single"/>
            <w:rtl w:val="0"/>
          </w:rPr>
          <w:t xml:space="preserve">https://insuranceblog.accenture.com/agentic-ai-transforming-claims-health-insurance</w:t>
        </w:r>
      </w:hyperlink>
      <w:r w:rsidDel="00000000" w:rsidR="00000000" w:rsidRPr="00000000">
        <w:rPr>
          <w:rtl w:val="0"/>
        </w:rPr>
      </w:r>
    </w:p>
    <w:p w:rsidR="00000000" w:rsidDel="00000000" w:rsidP="00000000" w:rsidRDefault="00000000" w:rsidRPr="00000000" w14:paraId="00000015">
      <w:pPr>
        <w:spacing w:after="160" w:line="276" w:lineRule="auto"/>
        <w:ind w:left="720" w:hanging="720"/>
        <w:rPr>
          <w:sz w:val="20"/>
          <w:szCs w:val="20"/>
        </w:rPr>
      </w:pPr>
      <w:r w:rsidDel="00000000" w:rsidR="00000000" w:rsidRPr="00000000">
        <w:rPr>
          <w:rFonts w:ascii="Arial" w:cs="Arial" w:eastAsia="Arial" w:hAnsi="Arial"/>
          <w:color w:val="1f1f1f"/>
          <w:sz w:val="20"/>
          <w:szCs w:val="20"/>
          <w:rtl w:val="0"/>
        </w:rPr>
        <w:t xml:space="preserve">Centene Corporation. (2026). Combating fraud, waste and abuse (FWA). </w:t>
      </w:r>
      <w:hyperlink r:id="rId8">
        <w:r w:rsidDel="00000000" w:rsidR="00000000" w:rsidRPr="00000000">
          <w:rPr>
            <w:rFonts w:ascii="Arial" w:cs="Arial" w:eastAsia="Arial" w:hAnsi="Arial"/>
            <w:color w:val="1155cc"/>
            <w:sz w:val="20"/>
            <w:szCs w:val="20"/>
            <w:u w:val="single"/>
            <w:rtl w:val="0"/>
          </w:rPr>
          <w:t xml:space="preserve">https://www.centene.com/why-were-different/healthcare-fraud-waste-abuse-oversight.html</w:t>
        </w:r>
      </w:hyperlink>
      <w:r w:rsidDel="00000000" w:rsidR="00000000" w:rsidRPr="00000000">
        <w:rPr>
          <w:rtl w:val="0"/>
        </w:rPr>
      </w:r>
    </w:p>
    <w:p w:rsidR="00000000" w:rsidDel="00000000" w:rsidP="00000000" w:rsidRDefault="00000000" w:rsidRPr="00000000" w14:paraId="00000016">
      <w:pPr>
        <w:spacing w:after="160" w:line="276" w:lineRule="auto"/>
        <w:ind w:left="720" w:hanging="720"/>
        <w:rPr>
          <w:sz w:val="20"/>
          <w:szCs w:val="20"/>
        </w:rPr>
      </w:pPr>
      <w:r w:rsidDel="00000000" w:rsidR="00000000" w:rsidRPr="00000000">
        <w:rPr>
          <w:rFonts w:ascii="Arial" w:cs="Arial" w:eastAsia="Arial" w:hAnsi="Arial"/>
          <w:color w:val="1f1f1f"/>
          <w:sz w:val="20"/>
          <w:szCs w:val="20"/>
          <w:rtl w:val="0"/>
        </w:rPr>
        <w:t xml:space="preserve">Cohere Health. (2026, February 27). Agentic AI for health plans: Key Gartner 2026 insights. </w:t>
      </w:r>
      <w:hyperlink r:id="rId9">
        <w:r w:rsidDel="00000000" w:rsidR="00000000" w:rsidRPr="00000000">
          <w:rPr>
            <w:rFonts w:ascii="Arial" w:cs="Arial" w:eastAsia="Arial" w:hAnsi="Arial"/>
            <w:color w:val="1155cc"/>
            <w:sz w:val="20"/>
            <w:szCs w:val="20"/>
            <w:u w:val="single"/>
            <w:rtl w:val="0"/>
          </w:rPr>
          <w:t xml:space="preserve">https://www.coherehealth.com/blog/agentic-ai-health-plans-gartner-2026-insights</w:t>
        </w:r>
      </w:hyperlink>
      <w:r w:rsidDel="00000000" w:rsidR="00000000" w:rsidRPr="00000000">
        <w:rPr>
          <w:rtl w:val="0"/>
        </w:rPr>
      </w:r>
    </w:p>
    <w:p w:rsidR="00000000" w:rsidDel="00000000" w:rsidP="00000000" w:rsidRDefault="00000000" w:rsidRPr="00000000" w14:paraId="00000017">
      <w:pPr>
        <w:spacing w:after="160" w:line="276" w:lineRule="auto"/>
        <w:ind w:left="720" w:hanging="720"/>
        <w:rPr>
          <w:sz w:val="20"/>
          <w:szCs w:val="20"/>
        </w:rPr>
      </w:pPr>
      <w:r w:rsidDel="00000000" w:rsidR="00000000" w:rsidRPr="00000000">
        <w:rPr>
          <w:rFonts w:ascii="Arial" w:cs="Arial" w:eastAsia="Arial" w:hAnsi="Arial"/>
          <w:color w:val="1f1f1f"/>
          <w:sz w:val="20"/>
          <w:szCs w:val="20"/>
          <w:rtl w:val="0"/>
        </w:rPr>
        <w:t xml:space="preserve">Cotiviti, Inc. (2026a). Healthcare claim payment accuracy solutions. </w:t>
      </w:r>
      <w:hyperlink r:id="rId10">
        <w:r w:rsidDel="00000000" w:rsidR="00000000" w:rsidRPr="00000000">
          <w:rPr>
            <w:rFonts w:ascii="Arial" w:cs="Arial" w:eastAsia="Arial" w:hAnsi="Arial"/>
            <w:color w:val="1155cc"/>
            <w:sz w:val="20"/>
            <w:szCs w:val="20"/>
            <w:u w:val="single"/>
            <w:rtl w:val="0"/>
          </w:rPr>
          <w:t xml:space="preserve">https://www.cotiviti.com/solutions/payment-accuracy</w:t>
        </w:r>
      </w:hyperlink>
      <w:r w:rsidDel="00000000" w:rsidR="00000000" w:rsidRPr="00000000">
        <w:rPr>
          <w:rtl w:val="0"/>
        </w:rPr>
      </w:r>
    </w:p>
    <w:p w:rsidR="00000000" w:rsidDel="00000000" w:rsidP="00000000" w:rsidRDefault="00000000" w:rsidRPr="00000000" w14:paraId="00000018">
      <w:pPr>
        <w:spacing w:after="160" w:line="276" w:lineRule="auto"/>
        <w:ind w:left="720" w:hanging="720"/>
        <w:rPr>
          <w:sz w:val="20"/>
          <w:szCs w:val="20"/>
        </w:rPr>
      </w:pPr>
      <w:r w:rsidDel="00000000" w:rsidR="00000000" w:rsidRPr="00000000">
        <w:rPr>
          <w:rFonts w:ascii="Arial" w:cs="Arial" w:eastAsia="Arial" w:hAnsi="Arial"/>
          <w:color w:val="1f1f1f"/>
          <w:sz w:val="20"/>
          <w:szCs w:val="20"/>
          <w:rtl w:val="0"/>
        </w:rPr>
        <w:t xml:space="preserve">Cotiviti, Inc. (2026b). Payment accuracy solutions for health plans. </w:t>
      </w:r>
      <w:hyperlink r:id="rId11">
        <w:r w:rsidDel="00000000" w:rsidR="00000000" w:rsidRPr="00000000">
          <w:rPr>
            <w:rFonts w:ascii="Arial" w:cs="Arial" w:eastAsia="Arial" w:hAnsi="Arial"/>
            <w:color w:val="1155cc"/>
            <w:sz w:val="20"/>
            <w:szCs w:val="20"/>
            <w:u w:val="single"/>
            <w:rtl w:val="0"/>
          </w:rPr>
          <w:t xml:space="preserve">https://resources.cotiviti.com/payment-accuracy-solutions</w:t>
        </w:r>
      </w:hyperlink>
      <w:r w:rsidDel="00000000" w:rsidR="00000000" w:rsidRPr="00000000">
        <w:rPr>
          <w:rtl w:val="0"/>
        </w:rPr>
      </w:r>
    </w:p>
    <w:p w:rsidR="00000000" w:rsidDel="00000000" w:rsidP="00000000" w:rsidRDefault="00000000" w:rsidRPr="00000000" w14:paraId="00000019">
      <w:pPr>
        <w:spacing w:after="160" w:line="276" w:lineRule="auto"/>
        <w:ind w:left="720" w:hanging="720"/>
        <w:rPr>
          <w:sz w:val="20"/>
          <w:szCs w:val="20"/>
        </w:rPr>
      </w:pPr>
      <w:r w:rsidDel="00000000" w:rsidR="00000000" w:rsidRPr="00000000">
        <w:rPr>
          <w:rFonts w:ascii="Arial" w:cs="Arial" w:eastAsia="Arial" w:hAnsi="Arial"/>
          <w:color w:val="1f1f1f"/>
          <w:sz w:val="20"/>
          <w:szCs w:val="20"/>
          <w:rtl w:val="0"/>
        </w:rPr>
        <w:t xml:space="preserve">HealthVerity. (2025, December 29). AI trends shaping healthcare in 2026: Agentic, physical &amp; sovereign AI. </w:t>
      </w:r>
      <w:hyperlink r:id="rId12">
        <w:r w:rsidDel="00000000" w:rsidR="00000000" w:rsidRPr="00000000">
          <w:rPr>
            <w:rFonts w:ascii="Arial" w:cs="Arial" w:eastAsia="Arial" w:hAnsi="Arial"/>
            <w:color w:val="1155cc"/>
            <w:sz w:val="20"/>
            <w:szCs w:val="20"/>
            <w:u w:val="single"/>
            <w:rtl w:val="0"/>
          </w:rPr>
          <w:t xml:space="preserve">https://blog.healthverity.com/ai-trends-shaping-healthcare-in-2026-agentic-physical-sovereign-ai</w:t>
        </w:r>
      </w:hyperlink>
      <w:r w:rsidDel="00000000" w:rsidR="00000000" w:rsidRPr="00000000">
        <w:rPr>
          <w:rtl w:val="0"/>
        </w:rPr>
      </w:r>
    </w:p>
    <w:p w:rsidR="00000000" w:rsidDel="00000000" w:rsidP="00000000" w:rsidRDefault="00000000" w:rsidRPr="00000000" w14:paraId="0000001A">
      <w:pPr>
        <w:spacing w:after="160" w:line="276" w:lineRule="auto"/>
        <w:ind w:left="720" w:hanging="720"/>
        <w:rPr>
          <w:sz w:val="20"/>
          <w:szCs w:val="20"/>
        </w:rPr>
      </w:pPr>
      <w:r w:rsidDel="00000000" w:rsidR="00000000" w:rsidRPr="00000000">
        <w:rPr>
          <w:rFonts w:ascii="Arial" w:cs="Arial" w:eastAsia="Arial" w:hAnsi="Arial"/>
          <w:color w:val="1f1f1f"/>
          <w:sz w:val="20"/>
          <w:szCs w:val="20"/>
          <w:rtl w:val="0"/>
        </w:rPr>
        <w:t xml:space="preserve">Holland &amp; Knight. (2026, May). States continue efforts to regulate AI in healthcare: A review of legislation passed in 2026. </w:t>
      </w:r>
      <w:hyperlink r:id="rId13">
        <w:r w:rsidDel="00000000" w:rsidR="00000000" w:rsidRPr="00000000">
          <w:rPr>
            <w:rFonts w:ascii="Arial" w:cs="Arial" w:eastAsia="Arial" w:hAnsi="Arial"/>
            <w:color w:val="1155cc"/>
            <w:sz w:val="20"/>
            <w:szCs w:val="20"/>
            <w:u w:val="single"/>
            <w:rtl w:val="0"/>
          </w:rPr>
          <w:t xml:space="preserve">https://www.hklaw.com/en/insights/publications/2026/05/states-continue-efforts-to-regulate-ai-in-healthcare</w:t>
        </w:r>
      </w:hyperlink>
      <w:r w:rsidDel="00000000" w:rsidR="00000000" w:rsidRPr="00000000">
        <w:rPr>
          <w:rtl w:val="0"/>
        </w:rPr>
      </w:r>
    </w:p>
    <w:p w:rsidR="00000000" w:rsidDel="00000000" w:rsidP="00000000" w:rsidRDefault="00000000" w:rsidRPr="00000000" w14:paraId="0000001B">
      <w:pPr>
        <w:spacing w:after="160" w:line="276" w:lineRule="auto"/>
        <w:ind w:left="720" w:hanging="720"/>
        <w:rPr>
          <w:sz w:val="20"/>
          <w:szCs w:val="20"/>
        </w:rPr>
      </w:pPr>
      <w:r w:rsidDel="00000000" w:rsidR="00000000" w:rsidRPr="00000000">
        <w:rPr>
          <w:rFonts w:ascii="Arial" w:cs="Arial" w:eastAsia="Arial" w:hAnsi="Arial"/>
          <w:color w:val="1f1f1f"/>
          <w:sz w:val="20"/>
          <w:szCs w:val="20"/>
          <w:rtl w:val="0"/>
        </w:rPr>
        <w:t xml:space="preserve">Kaiser Family Foundation. (2026, May 6). Regulation of AI in prior authorization and claims review: A look at federal and state consumer protections. </w:t>
      </w:r>
      <w:hyperlink r:id="rId14">
        <w:r w:rsidDel="00000000" w:rsidR="00000000" w:rsidRPr="00000000">
          <w:rPr>
            <w:rFonts w:ascii="Arial" w:cs="Arial" w:eastAsia="Arial" w:hAnsi="Arial"/>
            <w:color w:val="1155cc"/>
            <w:sz w:val="20"/>
            <w:szCs w:val="20"/>
            <w:u w:val="single"/>
            <w:rtl w:val="0"/>
          </w:rPr>
          <w:t xml:space="preserve">https://www.kff.org/patient-consumer-protections/regulation-of-ai-in-prior-authorization-and-claims-review-a-look-at-federal-and-state-consumer-protections/</w:t>
        </w:r>
      </w:hyperlink>
      <w:r w:rsidDel="00000000" w:rsidR="00000000" w:rsidRPr="00000000">
        <w:rPr>
          <w:rtl w:val="0"/>
        </w:rPr>
      </w:r>
    </w:p>
    <w:p w:rsidR="00000000" w:rsidDel="00000000" w:rsidP="00000000" w:rsidRDefault="00000000" w:rsidRPr="00000000" w14:paraId="0000001C">
      <w:pPr>
        <w:spacing w:after="160" w:line="276" w:lineRule="auto"/>
        <w:ind w:left="720" w:hanging="720"/>
        <w:rPr>
          <w:sz w:val="20"/>
          <w:szCs w:val="20"/>
        </w:rPr>
      </w:pPr>
      <w:r w:rsidDel="00000000" w:rsidR="00000000" w:rsidRPr="00000000">
        <w:rPr>
          <w:rFonts w:ascii="Arial" w:cs="Arial" w:eastAsia="Arial" w:hAnsi="Arial"/>
          <w:color w:val="1f1f1f"/>
          <w:sz w:val="20"/>
          <w:szCs w:val="20"/>
          <w:rtl w:val="0"/>
        </w:rPr>
        <w:t xml:space="preserve">National Health Care Anti-Fraud Association. (n.d.). The challenge of health care fraud. </w:t>
      </w:r>
      <w:hyperlink r:id="rId15">
        <w:r w:rsidDel="00000000" w:rsidR="00000000" w:rsidRPr="00000000">
          <w:rPr>
            <w:rFonts w:ascii="Arial" w:cs="Arial" w:eastAsia="Arial" w:hAnsi="Arial"/>
            <w:color w:val="1155cc"/>
            <w:sz w:val="20"/>
            <w:szCs w:val="20"/>
            <w:u w:val="single"/>
            <w:rtl w:val="0"/>
          </w:rPr>
          <w:t xml:space="preserve">https://www.nhcaa.org/tools-insights/about-health-care-fraud/the-challenge-of-health-care-fraud/</w:t>
        </w:r>
      </w:hyperlink>
      <w:r w:rsidDel="00000000" w:rsidR="00000000" w:rsidRPr="00000000">
        <w:rPr>
          <w:rtl w:val="0"/>
        </w:rPr>
      </w:r>
    </w:p>
    <w:p w:rsidR="00000000" w:rsidDel="00000000" w:rsidP="00000000" w:rsidRDefault="00000000" w:rsidRPr="00000000" w14:paraId="0000001D">
      <w:pPr>
        <w:spacing w:after="160" w:line="276" w:lineRule="auto"/>
        <w:ind w:left="720" w:hanging="720"/>
        <w:rPr>
          <w:sz w:val="20"/>
          <w:szCs w:val="20"/>
        </w:rPr>
      </w:pPr>
      <w:r w:rsidDel="00000000" w:rsidR="00000000" w:rsidRPr="00000000">
        <w:rPr>
          <w:rFonts w:ascii="Arial" w:cs="Arial" w:eastAsia="Arial" w:hAnsi="Arial"/>
          <w:color w:val="1f1f1f"/>
          <w:sz w:val="20"/>
          <w:szCs w:val="20"/>
          <w:rtl w:val="0"/>
        </w:rPr>
        <w:t xml:space="preserve">PCMI Corporation. (2026, April 27). The regulatory clock on AI claims is already running. </w:t>
      </w:r>
      <w:hyperlink r:id="rId16">
        <w:r w:rsidDel="00000000" w:rsidR="00000000" w:rsidRPr="00000000">
          <w:rPr>
            <w:rFonts w:ascii="Arial" w:cs="Arial" w:eastAsia="Arial" w:hAnsi="Arial"/>
            <w:color w:val="1155cc"/>
            <w:sz w:val="20"/>
            <w:szCs w:val="20"/>
            <w:u w:val="single"/>
            <w:rtl w:val="0"/>
          </w:rPr>
          <w:t xml:space="preserve">https://www.pcmicorp.com/2026/04/the-regulatory-clock-on-ai-claims-is-already-running/</w:t>
        </w:r>
      </w:hyperlink>
      <w:r w:rsidDel="00000000" w:rsidR="00000000" w:rsidRPr="00000000">
        <w:rPr>
          <w:rtl w:val="0"/>
        </w:rPr>
      </w:r>
    </w:p>
    <w:p w:rsidR="00000000" w:rsidDel="00000000" w:rsidP="00000000" w:rsidRDefault="00000000" w:rsidRPr="00000000" w14:paraId="0000001E">
      <w:pPr>
        <w:spacing w:after="160" w:line="276" w:lineRule="auto"/>
        <w:ind w:left="720" w:hanging="720"/>
        <w:rPr>
          <w:sz w:val="20"/>
          <w:szCs w:val="20"/>
        </w:rPr>
      </w:pPr>
      <w:r w:rsidDel="00000000" w:rsidR="00000000" w:rsidRPr="00000000">
        <w:rPr>
          <w:rFonts w:ascii="Arial" w:cs="Arial" w:eastAsia="Arial" w:hAnsi="Arial"/>
          <w:color w:val="1f1f1f"/>
          <w:sz w:val="20"/>
          <w:szCs w:val="20"/>
          <w:rtl w:val="0"/>
        </w:rPr>
        <w:t xml:space="preserve">Sheppard Mullin. (2026, April 21). State legislatures consider oversight of artificial intelligence in health insurance decisions. </w:t>
      </w:r>
      <w:hyperlink r:id="rId17">
        <w:r w:rsidDel="00000000" w:rsidR="00000000" w:rsidRPr="00000000">
          <w:rPr>
            <w:rFonts w:ascii="Arial" w:cs="Arial" w:eastAsia="Arial" w:hAnsi="Arial"/>
            <w:color w:val="1155cc"/>
            <w:sz w:val="20"/>
            <w:szCs w:val="20"/>
            <w:u w:val="single"/>
            <w:rtl w:val="0"/>
          </w:rPr>
          <w:t xml:space="preserve">https://www.sheppard.com/insights/blogs/state-legislatures-consider-oversight-of-artificial-intelligence-in-health-insurance-decisions</w:t>
        </w:r>
      </w:hyperlink>
      <w:r w:rsidDel="00000000" w:rsidR="00000000" w:rsidRPr="00000000">
        <w:rPr>
          <w:rtl w:val="0"/>
        </w:rPr>
      </w:r>
    </w:p>
    <w:p w:rsidR="00000000" w:rsidDel="00000000" w:rsidP="00000000" w:rsidRDefault="00000000" w:rsidRPr="00000000" w14:paraId="0000001F">
      <w:pPr>
        <w:spacing w:after="160" w:line="276" w:lineRule="auto"/>
        <w:ind w:left="720" w:hanging="720"/>
        <w:rPr>
          <w:sz w:val="20"/>
          <w:szCs w:val="20"/>
        </w:rPr>
      </w:pPr>
      <w:r w:rsidDel="00000000" w:rsidR="00000000" w:rsidRPr="00000000">
        <w:rPr>
          <w:rFonts w:ascii="Arial" w:cs="Arial" w:eastAsia="Arial" w:hAnsi="Arial"/>
          <w:color w:val="1f1f1f"/>
          <w:sz w:val="20"/>
          <w:szCs w:val="20"/>
          <w:rtl w:val="0"/>
        </w:rPr>
        <w:t xml:space="preserve">UiPath, Inc. (2026, February 23). UiPath launches agentic AI solutions to break administrative &amp; financial bottlenecks for clinicians and healthcare admins. </w:t>
      </w:r>
      <w:hyperlink r:id="rId18">
        <w:r w:rsidDel="00000000" w:rsidR="00000000" w:rsidRPr="00000000">
          <w:rPr>
            <w:rFonts w:ascii="Arial" w:cs="Arial" w:eastAsia="Arial" w:hAnsi="Arial"/>
            <w:color w:val="1155cc"/>
            <w:sz w:val="20"/>
            <w:szCs w:val="20"/>
            <w:u w:val="single"/>
            <w:rtl w:val="0"/>
          </w:rPr>
          <w:t xml:space="preserve">https://ir.uipath.com/news/detail/428/uipath-launches-agentic-ai-solutions-to-break-administrative-financial-bottlenecks-for-clinicians-and-healthcare-admins</w:t>
        </w:r>
      </w:hyperlink>
      <w:r w:rsidDel="00000000" w:rsidR="00000000" w:rsidRPr="00000000">
        <w:rPr>
          <w:rtl w:val="0"/>
        </w:rPr>
      </w:r>
    </w:p>
    <w:p w:rsidR="00000000" w:rsidDel="00000000" w:rsidP="00000000" w:rsidRDefault="00000000" w:rsidRPr="00000000" w14:paraId="00000020">
      <w:pPr>
        <w:spacing w:after="160" w:line="276" w:lineRule="auto"/>
        <w:ind w:left="720" w:hanging="720"/>
        <w:rPr>
          <w:sz w:val="20"/>
          <w:szCs w:val="20"/>
        </w:rPr>
      </w:pPr>
      <w:r w:rsidDel="00000000" w:rsidR="00000000" w:rsidRPr="00000000">
        <w:rPr>
          <w:rFonts w:ascii="Arial" w:cs="Arial" w:eastAsia="Arial" w:hAnsi="Arial"/>
          <w:color w:val="1f1f1f"/>
          <w:sz w:val="20"/>
          <w:szCs w:val="20"/>
          <w:rtl w:val="0"/>
        </w:rPr>
        <w:t xml:space="preserve">Vee Healthtek. (2024). Fraud, waste, and abuse prevention and protection. </w:t>
      </w:r>
      <w:hyperlink r:id="rId19">
        <w:r w:rsidDel="00000000" w:rsidR="00000000" w:rsidRPr="00000000">
          <w:rPr>
            <w:rFonts w:ascii="Arial" w:cs="Arial" w:eastAsia="Arial" w:hAnsi="Arial"/>
            <w:color w:val="1155cc"/>
            <w:sz w:val="20"/>
            <w:szCs w:val="20"/>
            <w:u w:val="single"/>
            <w:rtl w:val="0"/>
          </w:rPr>
          <w:t xml:space="preserve">https://www.veehealthtek.com/resources/white-papers/healthcare-white-papers/fraud-waste-and-abuse-prevention-and-protection.htm</w:t>
        </w:r>
      </w:hyperlink>
      <w:r w:rsidDel="00000000" w:rsidR="00000000" w:rsidRPr="00000000">
        <w:rPr>
          <w:rtl w:val="0"/>
        </w:rPr>
      </w:r>
    </w:p>
    <w:sectPr>
      <w:headerReference r:id="rId20" w:type="default"/>
      <w:footerReference r:id="rId21"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jc w:val="center"/>
      <w:rPr/>
    </w:pPr>
    <w:r w:rsidDel="00000000" w:rsidR="00000000" w:rsidRPr="00000000">
      <w:rPr>
        <w:color w:val="666666"/>
        <w:sz w:val="16"/>
        <w:szCs w:val="16"/>
        <w:rtl w:val="0"/>
      </w:rPr>
      <w:t xml:space="preserve">Page </w:t>
    </w:r>
    <w:r w:rsidDel="00000000" w:rsidR="00000000" w:rsidRPr="00000000">
      <w:rPr>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Bdr>
        <w:bottom w:color="999999" w:space="4" w:sz="6" w:val="single"/>
      </w:pBdr>
      <w:tabs>
        <w:tab w:val="right" w:leader="none" w:pos="9026"/>
      </w:tabs>
      <w:jc w:val="right"/>
      <w:rPr/>
    </w:pPr>
    <w:r w:rsidDel="00000000" w:rsidR="00000000" w:rsidRPr="00000000">
      <w:rPr>
        <w:color w:val="666666"/>
        <w:sz w:val="16"/>
        <w:szCs w:val="16"/>
        <w:rtl w:val="0"/>
      </w:rPr>
      <w:t xml:space="preserve">Cotiviti Intern Assessment:  Written Report by Sudip Manchare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1f1f"/>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pPr>
    <w:rPr>
      <w:rFonts w:ascii="Arial" w:cs="Arial" w:eastAsia="Arial" w:hAnsi="Arial"/>
      <w:b w:val="1"/>
      <w:bCs w:val="1"/>
      <w:i w:val="0"/>
      <w:iCs w:val="0"/>
      <w:smallCaps w:val="0"/>
      <w:strike w:val="0"/>
      <w:color w:val="111111"/>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11111"/>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1f1f"/>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resources.cotiviti.com/payment-accuracy-solutions" TargetMode="External"/><Relationship Id="rId10" Type="http://schemas.openxmlformats.org/officeDocument/2006/relationships/hyperlink" Target="https://www.cotiviti.com/solutions/payment-accuracy" TargetMode="External"/><Relationship Id="rId21" Type="http://schemas.openxmlformats.org/officeDocument/2006/relationships/footer" Target="footer1.xml"/><Relationship Id="rId13" Type="http://schemas.openxmlformats.org/officeDocument/2006/relationships/hyperlink" Target="https://www.hklaw.com/en/insights/publications/2026/05/states-continue-efforts-to-regulate-ai-in-healthcare" TargetMode="External"/><Relationship Id="rId12" Type="http://schemas.openxmlformats.org/officeDocument/2006/relationships/hyperlink" Target="https://blog.healthverity.com/ai-trends-shaping-healthcare-in-2026-agentic-physical-sovereign-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herehealth.com/blog/agentic-ai-health-plans-gartner-2026-insights" TargetMode="External"/><Relationship Id="rId15" Type="http://schemas.openxmlformats.org/officeDocument/2006/relationships/hyperlink" Target="https://www.nhcaa.org/tools-insights/about-health-care-fraud/the-challenge-of-health-care-fraud/" TargetMode="External"/><Relationship Id="rId14" Type="http://schemas.openxmlformats.org/officeDocument/2006/relationships/hyperlink" Target="https://www.kff.org/patient-consumer-protections/regulation-of-ai-in-prior-authorization-and-claims-review-a-look-at-federal-and-state-consumer-protections/" TargetMode="External"/><Relationship Id="rId17" Type="http://schemas.openxmlformats.org/officeDocument/2006/relationships/hyperlink" Target="https://www.sheppard.com/insights/blogs/state-legislatures-consider-oversight-of-artificial-intelligence-in-health-insurance-decisions" TargetMode="External"/><Relationship Id="rId16" Type="http://schemas.openxmlformats.org/officeDocument/2006/relationships/hyperlink" Target="https://www.pcmicorp.com/2026/04/the-regulatory-clock-on-ai-claims-is-already-running/" TargetMode="External"/><Relationship Id="rId5" Type="http://schemas.openxmlformats.org/officeDocument/2006/relationships/styles" Target="styles.xml"/><Relationship Id="rId19" Type="http://schemas.openxmlformats.org/officeDocument/2006/relationships/hyperlink" Target="https://www.veehealthtek.com/resources/white-papers/healthcare-white-papers/fraud-waste-and-abuse-prevention-and-protection.htm" TargetMode="External"/><Relationship Id="rId6" Type="http://schemas.openxmlformats.org/officeDocument/2006/relationships/customXml" Target="../customXML/item1.xml"/><Relationship Id="rId18" Type="http://schemas.openxmlformats.org/officeDocument/2006/relationships/hyperlink" Target="https://ir.uipath.com/news/detail/428/uipath-launches-agentic-ai-solutions-to-break-administrative-financial-bottlenecks-for-clinicians-and-healthcare-admins" TargetMode="External"/><Relationship Id="rId7" Type="http://schemas.openxmlformats.org/officeDocument/2006/relationships/hyperlink" Target="https://insuranceblog.accenture.com/agentic-ai-transforming-claims-health-insurance" TargetMode="External"/><Relationship Id="rId8" Type="http://schemas.openxmlformats.org/officeDocument/2006/relationships/hyperlink" Target="https://www.centene.com/why-were-different/healthcare-fraud-waste-abuse-oversigh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imW+bFjTMZfkuAQLWFg7LoD5NQ==">CgMxLjA4AHIhMS1TeUdiMTVYb2UxLTRDSTA2dVh2SFJtTFhRRE1YNlZj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