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 Audit-Oriented SGS Uncertainty Workflow with Diagnostic Separation and Assumption Impact Ranking</w:t>
      </w:r>
    </w:p>
    <w:p>
      <w:r/>
    </w:p>
    <w:p>
      <w:r>
        <w:t>Authors: Sudipta Chanda</w:t>
      </w:r>
    </w:p>
    <w:p>
      <w:r>
        <w:t>Affiliations: Sakariya Mines and Minerals, 1402 Ecostation Business Tower, Newtown, Rajarhat, Kolkata, West Bengal 700160</w:t>
      </w:r>
    </w:p>
    <w:p>
      <w:r>
        <w:t>Corresponding Author: Sudipta Chanda</w:t>
      </w:r>
    </w:p>
    <w:p>
      <w:r>
        <w:t>Corresponding Author email: sudipta.chanda@sakariya.in</w:t>
      </w:r>
    </w:p>
    <w:p>
      <w:r>
        <w:t>Corresponding Author phone: +91 99980 90543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