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ListBullet"/>
      </w:pPr>
      <w:r>
        <w:t>Auditable SGS framework separates predictive and calibration-sensitive checks.</w:t>
      </w:r>
    </w:p>
    <w:p>
      <w:pPr>
        <w:pStyle w:val="ListBullet"/>
      </w:pPr>
      <w:r>
        <w:t>Blocked spatial CV is prioritized over random CV for predictive validity.</w:t>
      </w:r>
    </w:p>
    <w:p>
      <w:pPr>
        <w:pStyle w:val="ListBullet"/>
      </w:pPr>
      <w:r>
        <w:t>Variogram support and realization convergence are reported transparently.</w:t>
      </w:r>
    </w:p>
    <w:p>
      <w:pPr>
        <w:pStyle w:val="ListBullet"/>
      </w:pPr>
      <w:r>
        <w:t>Structured sensitivity audits domaining, search, trend, and scaling choices.</w:t>
      </w:r>
    </w:p>
    <w:p>
      <w:pPr>
        <w:pStyle w:val="ListBullet"/>
      </w:pPr>
      <w:r>
        <w:t>Single-case Tanzania demo; multi-deposit validation remains future work.</w:t>
      </w:r>
    </w:p>
    <w:p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