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t>An Audit-Oriented SGS Uncertainty Workflow with Diagnostic Separation and Assumption Impact Ranking</w:t>
      </w:r>
    </w:p>
    <w:p>
      <w:pPr>
        <w:spacing w:line="480" w:lineRule="auto"/>
      </w:pPr>
      <w:r>
        <w:rPr>
          <w:rFonts w:ascii="Times New Roman" w:hAnsi="Times New Roman"/>
          <w:sz w:val="24"/>
        </w:rPr>
        <w:t>Sudipta Chanda</w:t>
      </w:r>
    </w:p>
    <w:p>
      <w:pPr>
        <w:spacing w:line="480" w:lineRule="auto"/>
      </w:pPr>
      <w:r>
        <w:rPr>
          <w:rFonts w:ascii="Times New Roman" w:hAnsi="Times New Roman"/>
          <w:sz w:val="24"/>
        </w:rPr>
        <w:t>Sakariya Mines and Minerals, 1402 Ecostation Business Tower, Newtown, Rajarhat, Kolkata, West Bengal 700160</w:t>
      </w:r>
    </w:p>
    <w:p>
      <w:pPr>
        <w:spacing w:line="480" w:lineRule="auto"/>
      </w:pPr>
      <w:r>
        <w:rPr>
          <w:rFonts w:ascii="Times New Roman" w:hAnsi="Times New Roman"/>
          <w:sz w:val="24"/>
        </w:rPr>
        <w:t>Corresponding Author: Sudipta Chanda</w:t>
      </w:r>
    </w:p>
    <w:p>
      <w:pPr>
        <w:spacing w:line="480" w:lineRule="auto"/>
      </w:pPr>
      <w:r>
        <w:rPr>
          <w:rFonts w:ascii="Times New Roman" w:hAnsi="Times New Roman"/>
          <w:sz w:val="24"/>
        </w:rPr>
        <w:t>Corresponding Author email: sudipta.chanda@sakariya.in</w:t>
      </w:r>
    </w:p>
    <w:p>
      <w:pPr>
        <w:pStyle w:val="Heading1"/>
        <w:spacing w:line="480" w:lineRule="auto"/>
      </w:pPr>
      <w:r>
        <w:rPr>
          <w:rFonts w:ascii="Times New Roman" w:hAnsi="Times New Roman"/>
          <w:b/>
          <w:sz w:val="28"/>
        </w:rPr>
        <w:t>Abstract</w:t>
      </w:r>
    </w:p>
    <w:p>
      <w:pPr>
        <w:spacing w:line="480" w:lineRule="auto"/>
      </w:pPr>
      <w:r>
        <w:t>Purpose: Present an audit-oriented SGS uncertainty workflow that separates calibration-sensitive checks from predictive diagnostics. Methods: A diagnostic hierarchy, Diagnostic Separation Index (DSI), and Assumption Impact Ranking (AIR) were implemented on an internal stratiform graphite exploration case (100 drillholes; 7 872.27 m assays; 3 506 composites; 400 realizations). Results: Predictive diagnostics show stronger strike and down-dip continuity and weaker normal-direction support; domain and variogram-neighborhood assumptions dominate predictive uncertainty, while scenario scaling is secondary. Conclusions: The workflow is designed for reproducible deployment by retaining diagnostic contracts and replacing geology-specific inputs. This is an industry deployment case under proprietary-data constraints; broader multi-deposit empirical validation remains future work.</w:t>
      </w:r>
    </w:p>
    <w:p>
      <w:pPr>
        <w:spacing w:line="480" w:lineRule="auto"/>
      </w:pPr>
      <w:r>
        <w:rPr>
          <w:rFonts w:ascii="Times New Roman" w:hAnsi="Times New Roman"/>
          <w:sz w:val="24"/>
        </w:rPr>
        <w:t>Keywords: sequential Gaussian simulation; uncertainty quantification; spatial validation; sensitivity analysis; geostatistics; mineral exploration</w:t>
      </w:r>
    </w:p>
    <w:p>
      <w:pPr>
        <w:pStyle w:val="Heading1"/>
        <w:spacing w:line="480" w:lineRule="auto"/>
      </w:pPr>
      <w:r>
        <w:rPr>
          <w:rFonts w:ascii="Times New Roman" w:hAnsi="Times New Roman"/>
          <w:b/>
          <w:sz w:val="28"/>
        </w:rPr>
        <w:t>1. Introduction</w:t>
      </w:r>
    </w:p>
    <w:p>
      <w:pPr>
        <w:spacing w:line="480" w:lineRule="auto"/>
      </w:pPr>
      <w:r>
        <w:t>Sequential Gaussian simulation (SGS) is widely used for uncertainty characterization in mineral and geoscience modeling. A persistent applied problem is conflating calibration-sensitive distribution checks with predictive evidence, which can create circular validation logic. Under shared preprocessing choices, multiple diagnostics may co-improve without independent predictive support (Bai and Tahmasebi, 2022; Wadoux et al., 2021; Hoyer et al., 2024).</w:t>
      </w:r>
    </w:p>
    <w:p>
      <w:pPr>
        <w:spacing w:line="480" w:lineRule="auto"/>
      </w:pPr>
      <w:r>
        <w:t>This manuscript addresses that gap with an audit-oriented uncertainty workflow rather than a new SGS algorithm. The Tanzania dataset is an industry deployment case under proprietary-data constraints; the transferable element is the diagnostic workflow structure, pending wider empirical validation (Yang et al., 2020; Juang et al., 2019; Hoyer et al., 2024).</w:t>
      </w:r>
    </w:p>
    <w:p>
      <w:pPr>
        <w:spacing w:line="480" w:lineRule="auto"/>
      </w:pPr>
      <w:r>
        <w:t>This study contributes three workflow elements: (1) a diagnostic hierarchy separating consistency checks from predictive diagnostics, (2) a DSI coupling indicator across diagnostic classes, and (3) an AIR ranking for predictive assumption prioritization. Together they provide a reproducible uncertainty-audit workflow designed for transferable deployment, with external empirical testing left for future work.</w:t>
      </w:r>
    </w:p>
    <w:p>
      <w:pPr/>
      <w:r>
        <w:t>Methodological claims in this manuscript are anchored to peer-reviewed uncertainty, validation, and sensitivity-analysis literature; proprietary project documents are used only for site-specific data provenance and reporting context.</w:t>
      </w:r>
    </w:p>
    <w:p>
      <w:pPr>
        <w:pStyle w:val="Heading1"/>
        <w:spacing w:line="480" w:lineRule="auto"/>
      </w:pPr>
      <w:r>
        <w:rPr>
          <w:rFonts w:ascii="Times New Roman" w:hAnsi="Times New Roman"/>
          <w:b/>
          <w:sz w:val="28"/>
        </w:rPr>
        <w:t>2. Framework Overview</w:t>
      </w:r>
    </w:p>
    <w:p>
      <w:pPr>
        <w:pStyle w:val="Heading2"/>
        <w:spacing w:line="480" w:lineRule="auto"/>
      </w:pPr>
      <w:r>
        <w:rPr>
          <w:rFonts w:ascii="Times New Roman" w:hAnsi="Times New Roman"/>
          <w:b/>
          <w:sz w:val="24"/>
        </w:rPr>
        <w:t>2.1 Diagnostic hierarchy</w:t>
      </w:r>
    </w:p>
    <w:p>
      <w:pPr>
        <w:spacing w:line="480" w:lineRule="auto"/>
      </w:pPr>
      <w:r>
        <w:rPr>
          <w:rFonts w:ascii="Times New Roman" w:hAnsi="Times New Roman"/>
          <w:sz w:val="24"/>
        </w:rPr>
        <w:t>The framework separates diagnostics into two evidence classes. Primary predictive diagnostics include blocked spatial cross-validation, directional support diagnostics, and structurally informed continuity checks. Secondary consistency diagnostics include histogram and Q-Q reproduction, which are retained as calibration checks but not used as standalone evidence of predictive reliability. This separation follows the principle that model realism at distribution level is necessary but not sufficient for predictive confidence (Wadoux et al., 2021; Hoyer et al., 2024).</w:t>
      </w:r>
    </w:p>
    <w:p>
      <w:pPr>
        <w:pStyle w:val="Heading2"/>
        <w:spacing w:line="480" w:lineRule="auto"/>
      </w:pPr>
      <w:r>
        <w:rPr>
          <w:rFonts w:ascii="Times New Roman" w:hAnsi="Times New Roman"/>
          <w:b/>
          <w:sz w:val="24"/>
        </w:rPr>
        <w:t>2.2 Sensitivity auditing concept</w:t>
      </w:r>
    </w:p>
    <w:p>
      <w:pPr>
        <w:spacing w:line="480" w:lineRule="auto"/>
      </w:pPr>
      <w:r>
        <w:t>Each high-leverage assumption is treated as a testable hypothesis and rerun through predictive diagnostics (domaining, variogram-neighborhood settings, top-cut policy, trend handling, and scenario translation). This is scenario-based sensitivity screening, not full global sensitivity decomposition (Razavi and Gupta, 2016a, 2016b; Shin and Jung, 2022).</w:t>
      </w:r>
    </w:p>
    <w:p>
      <w:pPr>
        <w:spacing w:line="480" w:lineRule="auto"/>
      </w:pPr>
      <w:r>
        <w:t>Conventional SGS studies often report multiple diagnostics without testing whether consistency and predictive evidence respond differently under assumption perturbations. DSI is used here as a coupling-screening indicator between these evidence classes.</w:t>
      </w:r>
    </w:p>
    <w:p>
      <w:pPr>
        <w:spacing w:line="480" w:lineRule="auto"/>
      </w:pPr>
      <w:r>
        <w:t>2.2.1 Construction of diagnostic response vectors for DSI</w:t>
      </w:r>
    </w:p>
    <w:p>
      <w:pPr>
        <w:spacing w:line="480" w:lineRule="auto"/>
      </w:pPr>
      <w:r>
        <w:rPr>
          <w:rFonts w:ascii="Times New Roman" w:hAnsi="Times New Roman"/>
          <w:sz w:val="24"/>
        </w:rPr>
        <w:t>For each sensitivity scenario s, consistency diagnostics C include histogram overlap and Q-Q RMSE (and other calibration-sensitive distribution metrics when available). Predictive diagnostics P include blocked CV ME/MAE/RMSE, directional swath summaries, and variogram-reproduction RMSE.</w:t>
      </w:r>
    </w:p>
    <w:p>
      <w:pPr>
        <w:spacing w:line="480" w:lineRule="auto"/>
      </w:pPr>
      <w:r>
        <w:rPr>
          <w:rFonts w:ascii="Times New Roman" w:hAnsi="Times New Roman"/>
          <w:sz w:val="24"/>
        </w:rPr>
        <w:t>Each metric is oriented so interpretation is consistent (higher means stronger diagnostic response), standardized as z-scores across scenarios, and aggregated with equal weights: C_s = mean(z_consistency,s), P_s = mean(z_predictive,s). Error metrics are sign-reversed before aggregation.</w:t>
      </w:r>
    </w:p>
    <w:p>
      <w:pPr>
        <w:spacing w:line="480" w:lineRule="auto"/>
      </w:pPr>
      <w:r>
        <w:t>2.2.2 DSI definition, limitation, and robustness</w:t>
      </w:r>
    </w:p>
    <w:p>
      <w:pPr>
        <w:spacing w:line="480" w:lineRule="auto"/>
      </w:pPr>
      <w:r>
        <w:rPr>
          <w:rFonts w:ascii="Times New Roman" w:hAnsi="Times New Roman"/>
          <w:sz w:val="24"/>
        </w:rPr>
        <w:t>For N sensitivity scenarios, with scenario-level aggregated responses C_s and P_s, DSI is defined as DSI = 1 - |rho(C,P)|, where rho is Pearson correlation between C and P across scenarios. DSI close to 1 indicates reduced coupling between diagnostic classes; DSI close to 0 indicates stronger coupling and higher risk of circular interpretation.</w:t>
      </w:r>
    </w:p>
    <w:p>
      <w:pPr>
        <w:spacing w:line="480" w:lineRule="auto"/>
      </w:pPr>
      <w:r>
        <w:t>DSI measures separation in scenario-level diagnostic response patterns and is not a formal test of statistical independence.</w:t>
      </w:r>
    </w:p>
    <w:p>
      <w:pPr/>
      <w:r>
        <w:t>DSI is therefore treated as a pragmatic diagnostic-coupling indicator for workflow governance. Its role is to flag whether consistency and predictive evidence move together under scenario perturbations, not to establish statistical independence or causal structure (Hoyer et al., 2024; Ghaffar et al., 2021).</w:t>
      </w:r>
    </w:p>
    <w:p>
      <w:pPr>
        <w:spacing w:line="480" w:lineRule="auto"/>
      </w:pPr>
      <w:r>
        <w:t>DSI robustness is evaluated with a rank-based counterpart, DSI_S = 1 - |rho_S(C,P)|, and bootstrap confidence intervals (B = 1000; fixed random seed) under scenario resampling. Pearson quantifies linear coupling, Spearman quantifies rank-order coupling, and bootstrap intervals quantify sensitivity to scenario resampling. Alternative aggregation/weighting choices are reported in Supplementary Table S11. Because scenario count is limited, DSI is interpreted as a screening indicator rather than a theoretical estimator of independence or causality.</w:t>
      </w:r>
    </w:p>
    <w:p>
      <w:pPr>
        <w:spacing w:line="480" w:lineRule="auto"/>
      </w:pPr>
      <w:r>
        <w:t>A high DSI with similar Pearson- and Spearman-based variants suggests stable diagnostic separation across reruns, while wide bootstrap intervals indicate weak support under limited scenario count. Table 19 reports DSI_P and DSI_S, Supplementary Table S6 provides bootstrap rows, and Supplementary Table S11 reports robustness under alternative weighting, leave-one-metric-out recomputation, and median aggregation.</w:t>
      </w:r>
    </w:p>
    <w:p>
      <w:pPr>
        <w:spacing w:line="480" w:lineRule="auto"/>
      </w:pPr>
      <w:r>
        <w:t>2.2.3 AIR effect-size construction and normalization</w:t>
      </w:r>
    </w:p>
    <w:p>
      <w:pPr>
        <w:spacing w:line="480" w:lineRule="auto"/>
      </w:pPr>
      <w:r>
        <w:rPr>
          <w:rFonts w:ascii="Times New Roman" w:hAnsi="Times New Roman"/>
          <w:sz w:val="24"/>
        </w:rPr>
        <w:t>AIR uses predictive diagnostics only (blocked CV error metrics, directional swath summaries, variogram-reproduction RMSE, and decision-facing risk-width diagnostics). Calibration-only diagnostics (histogram overlap and Q-Q RMSE) are excluded from AIR by design.</w:t>
      </w:r>
    </w:p>
    <w:p>
      <w:pPr>
        <w:spacing w:line="480" w:lineRule="auto"/>
      </w:pPr>
      <w:r>
        <w:rPr>
          <w:rFonts w:ascii="Times New Roman" w:hAnsi="Times New Roman"/>
          <w:sz w:val="24"/>
        </w:rPr>
        <w:t>For each assumption j, a baseline run and altered run are paired. Diagnostic deltas are computed per predictive metric, standardized across assumptions, aggregated to Delta_j using absolute standardized shifts, and normalized as AIR_j = Delta_j / sum_k Delta_k with sum_j AIR_j = 1. Equal weighting is used across included predictive diagnostics unless explicitly stated otherwise.</w:t>
      </w:r>
    </w:p>
    <w:p>
      <w:pPr>
        <w:spacing w:line="480" w:lineRule="auto"/>
      </w:pPr>
      <w:r>
        <w:t>Predictive metric inclusion and exclusion rules are reported in Supplementary Table S13 to keep DSI and AIR construction auditable and non-overlapping by design.</w:t>
      </w:r>
    </w:p>
    <CT_P>w:p</CT_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pStyle w:val="Heading2"/>
        <w:spacing w:line="480" w:lineRule="auto"/>
      </w:pPr>
      <w:r>
        <w:rPr>
          <w:rFonts w:ascii="Times New Roman" w:hAnsi="Times New Roman"/>
          <w:b/>
          <w:sz w:val="24"/>
        </w:rPr>
        <w:t>2.3 Computational workflow</w:t>
      </w:r>
    </w:p>
    <w:p>
      <w:pPr>
        <w:spacing w:line="480" w:lineRule="auto"/>
      </w:pPr>
      <w:r>
        <w:t>The workflow (Figure 11) links input validation, preprocessing, variography, SGS simulation, diagnostic evaluation, sensitivity reruns, and decision-facing outputs. Figure 12 summarizes the assumption-to-diagnostic interpretation chain. A synthetic proof-of-behavior experiment is reported in Supplementary Table S12 to verify expected DSI and AIR response ordering under controlled coupling scenarios.</w:t>
      </w:r>
    </w:p>
    <w:p>
      <w:pPr>
        <w:pStyle w:val="Heading1"/>
        <w:spacing w:line="480" w:lineRule="auto"/>
      </w:pPr>
      <w:r>
        <w:rPr>
          <w:rFonts w:ascii="Times New Roman" w:hAnsi="Times New Roman"/>
          <w:b/>
          <w:sz w:val="28"/>
        </w:rPr>
        <w:t>3. Geological Context and Data Support</w:t>
      </w:r>
    </w:p>
    <w:p>
      <w:pPr>
        <w:spacing w:line="480" w:lineRule="auto"/>
      </w:pPr>
      <w:r>
        <w:t>The deposit is modeled as a stratiform graphitic schist system. Geological information is retained only where it constrains domaining and continuity assumptions. Graphitic lithology supports domain-focused continuity modeling; secondary units explain local heterogeneity (Sommer and Kroner, 2013; Thomas et al., 2014).</w:t>
      </w:r>
    </w:p>
    <w:p>
      <w:pPr>
        <w:spacing w:line="480" w:lineRule="auto"/>
      </w:pPr>
      <w:r>
        <w:rPr>
          <w:rFonts w:ascii="Times New Roman" w:hAnsi="Times New Roman"/>
          <w:sz w:val="24"/>
        </w:rPr>
        <w:t>Lithology distribution from validated drilling shows graphitic units as the principal support for SGS domaining, with subordinate quartzitic and mafic intervals acting as local modifiers rather than primary volumetric controls. Drilling geometry is sufficient for directional interpretation along strike and down-dip but weaker in the normal direction, which is carried forward as the main structural uncertainty axis.</w:t>
      </w:r>
    </w:p>
    <w:p>
      <w:pPr>
        <w:spacing w:line="480" w:lineRule="auto"/>
      </w:pPr>
      <w:r>
        <w:t>Directional anisotropy assumptions are justified by mapped architecture and data support density. This evidence-bounded framing supports variogram orientation, neighborhood design, and sensitivity priorities.</w:t>
      </w:r>
    </w:p>
    <w:p>
      <w:pPr>
        <w:pStyle w:val="Heading1"/>
        <w:spacing w:line="480" w:lineRule="auto"/>
      </w:pPr>
      <w:r>
        <w:rPr>
          <w:rFonts w:ascii="Times New Roman" w:hAnsi="Times New Roman"/>
          <w:b/>
          <w:sz w:val="28"/>
        </w:rPr>
        <w:t>4. Methodology Implementation</w:t>
      </w:r>
    </w:p>
    <w:p>
      <w:pPr>
        <w:pStyle w:val="Heading2"/>
        <w:spacing w:line="480" w:lineRule="auto"/>
      </w:pPr>
      <w:r>
        <w:rPr>
          <w:rFonts w:ascii="Times New Roman" w:hAnsi="Times New Roman"/>
          <w:b/>
          <w:sz w:val="24"/>
        </w:rPr>
        <w:t>4.1 Preprocessing</w:t>
      </w:r>
    </w:p>
    <w:p>
      <w:pPr>
        <w:spacing w:line="480" w:lineRule="auto"/>
      </w:pPr>
      <w:r>
        <w:rPr>
          <w:rFonts w:ascii="Times New Roman" w:hAnsi="Times New Roman"/>
          <w:sz w:val="24"/>
        </w:rPr>
        <w:t>Validated inputs include collars, surveys, assays, and lithology for 100 drillholes. Assays were desurveyed using minimum curvature and composited to 2 m support. Declustering and normal-score transformation were applied using standard SGS practice to reduce sampling bias and stabilize Gaussian-space simulation behavior (Deutsch and Journel, 1998; Goovaerts, 1997).</w:t>
      </w:r>
    </w:p>
    <w:p>
      <w:pPr>
        <w:spacing w:line="480" w:lineRule="auto"/>
      </w:pPr>
      <w:r>
        <w:rPr>
          <w:rFonts w:ascii="Times New Roman" w:hAnsi="Times New Roman"/>
          <w:sz w:val="24"/>
        </w:rPr>
        <w:t>Trend handling was applied as a first-order z-direction detrending screen and evaluated through predictive sensitivity reruns rather than accepted by default. This preserves transparency between preprocessing choices and downstream uncertainty effects.</w:t>
      </w:r>
    </w:p>
    <w:p>
      <w:pPr>
        <w:pStyle w:val="Heading2"/>
        <w:spacing w:line="480" w:lineRule="auto"/>
      </w:pPr>
      <w:r>
        <w:rPr>
          <w:rFonts w:ascii="Times New Roman" w:hAnsi="Times New Roman"/>
          <w:b/>
          <w:sz w:val="24"/>
        </w:rPr>
        <w:t>4.2 Variography</w:t>
      </w:r>
    </w:p>
    <w:p>
      <w:pPr>
        <w:spacing w:line="480" w:lineRule="auto"/>
      </w:pPr>
      <w:r>
        <w:rPr>
          <w:rFonts w:ascii="Times New Roman" w:hAnsi="Times New Roman"/>
          <w:sz w:val="24"/>
        </w:rPr>
        <w:t>Directional variograms were modeled in normal-score space with geological orientation constraints. The selected pilot model is an exponential structure with major range 150 m, nugget 0.246, and structured sill 0.985. Pair-support and occupancy diagnostics are reported in Table 4 and Table 15 to avoid over-interpretation where lag support is weak.</w:t>
      </w:r>
    </w:p>
    <w:p>
      <w:pPr>
        <w:spacing w:line="480" w:lineRule="auto"/>
      </w:pPr>
      <w:r>
        <w:t>Continuity interpretation is strongest along strike and down-dip and least constrained in the normal direction. Parameter sensitivity is reported, but variogram uncertainty also includes model-structure uncertainty (e.g., permissible model-family choice), which is treated as screening-level under current support rather than as uniquely identified geological truth (Delbari et al., 2009; Parysow et al., 2003; Soares et al., 2023).</w:t>
      </w:r>
    </w:p>
    <w:p>
      <w:pPr>
        <w:pStyle w:val="Heading2"/>
        <w:spacing w:line="480" w:lineRule="auto"/>
      </w:pPr>
      <w:r>
        <w:rPr>
          <w:rFonts w:ascii="Times New Roman" w:hAnsi="Times New Roman"/>
          <w:b/>
          <w:sz w:val="24"/>
        </w:rPr>
        <w:t>4.3 SGS configuration</w:t>
      </w:r>
    </w:p>
    <w:p>
      <w:pPr>
        <w:spacing w:line="480" w:lineRule="auto"/>
      </w:pPr>
      <w:r>
        <w:rPr>
          <w:rFonts w:ascii="Times New Roman" w:hAnsi="Times New Roman"/>
          <w:sz w:val="24"/>
        </w:rPr>
        <w:t>A pilot grid of 100 m x 100 m x 10 m was simulated with 400 conditional realizations. Core configuration is summarized in Table 3, while convergence behavior remains documented through retained diagnostics. Outputs are reported primarily as unscaled simulation evidence; scenario translations are explicitly separated from core geostatistical outputs.</w:t>
      </w:r>
    </w:p>
    <w:p>
      <w:pPr>
        <w:pStyle w:val="Heading1"/>
        <w:spacing w:line="480" w:lineRule="auto"/>
      </w:pPr>
      <w:r>
        <w:t>5. Diagnostics and Validation</w:t>
      </w:r>
    </w:p>
    <w:p>
      <w:pPr>
        <w:spacing w:line="480" w:lineRule="auto"/>
      </w:pPr>
      <w:r>
        <w:t>Predictive diagnostics are prioritized over calibration-sensitive checks. Blocked spatial CV is used as the primary predictive proxy under spatial dependence. Structural diagnostics include directional swath behavior and variogram reproduction consistency under modeled anisotropy. Distribution checks (histogram, Q-Q) are retained as secondary consistency tests only.</w:t>
      </w:r>
    </w:p>
    <w:p>
      <w:pPr>
        <w:spacing w:line="480" w:lineRule="auto"/>
      </w:pPr>
      <w:r>
        <w:t>This organization reduces circular interpretation risk: good distributional fit alone cannot substitute for predictive validation. Spatial CV results are interpreted with known caveats from spatial-validation literature and are not treated as full probabilistic calibration evidence (Roberts et al., 2017; Wadoux et al., 2021). Table 5 summarizes diagnostics under this hierarchy.</w:t>
      </w:r>
    </w:p>
    <w:p>
      <w:pPr>
        <w:pStyle w:val="Heading1"/>
        <w:spacing w:line="480" w:lineRule="auto"/>
      </w:pPr>
      <w:r>
        <w:t>6. Scenario-Based Sensitivity Screening</w:t>
      </w:r>
    </w:p>
    <w:p>
      <w:pPr/>
      <w:r>
        <w:t>Sensitivity experiments are run as computational screening reruns rather than full variance-decomposition global sensitivity analysis. This choice reflects operational compute constraints and the applied decision objective: prioritize high-leverage assumptions for reruns under transparent uncertainty governance (Razavi and Gupta, 2016a, 2016b; Yang et al., 2020).</w:t>
      </w:r>
    </w:p>
    <w:p>
      <w:pPr>
        <w:pStyle w:val="Heading2"/>
        <w:spacing w:line="480" w:lineRule="auto"/>
      </w:pPr>
      <w:r>
        <w:rPr>
          <w:rFonts w:ascii="Times New Roman" w:hAnsi="Times New Roman"/>
          <w:b/>
          <w:sz w:val="24"/>
        </w:rPr>
        <w:t>6.1 Domain sensitivity</w:t>
      </w:r>
    </w:p>
    <w:p>
      <w:pPr>
        <w:spacing w:line="480" w:lineRule="auto"/>
      </w:pPr>
      <w:r>
        <w:rPr>
          <w:rFonts w:ascii="Times New Roman" w:hAnsi="Times New Roman"/>
          <w:sz w:val="24"/>
        </w:rPr>
        <w:t>Combined-domain and split-domain reruns show meaningful predictive differences, confirming that domain definition is a high-impact assumption. Under current support, combined-domain execution is retained as a pilot baseline, while split-domain behavior is treated as evidence that denser data may justify mandatory domain separation in future updates. Domain sensitivity outcomes are retained in Table 10 and are central to AIR ranking.</w:t>
      </w:r>
    </w:p>
    <w:p>
      <w:pPr>
        <w:pStyle w:val="Heading2"/>
        <w:spacing w:line="480" w:lineRule="auto"/>
      </w:pPr>
      <w:r>
        <w:rPr>
          <w:rFonts w:ascii="Times New Roman" w:hAnsi="Times New Roman"/>
          <w:b/>
          <w:sz w:val="24"/>
        </w:rPr>
        <w:t>6.2 Top-cut sensitivity</w:t>
      </w:r>
    </w:p>
    <w:p>
      <w:pPr>
        <w:spacing w:line="480" w:lineRule="auto"/>
      </w:pPr>
      <w:r>
        <w:rPr>
          <w:rFonts w:ascii="Times New Roman" w:hAnsi="Times New Roman"/>
          <w:sz w:val="24"/>
        </w:rPr>
        <w:t>Top-cut reruns were executed for predictive impact assessment. Detailed raw sensitivity rows are moved to Supplementary Table S3 (former Table 13). Main-text interpretation is limited to decision-relevant impact: under tested cutoffs, top-cut changes were minor relative to domain and variogram-neighborhood assumptions.</w:t>
      </w:r>
    </w:p>
    <w:p>
      <w:pPr>
        <w:pStyle w:val="Heading2"/>
        <w:spacing w:line="480" w:lineRule="auto"/>
      </w:pPr>
      <w:r>
        <w:rPr>
          <w:rFonts w:ascii="Times New Roman" w:hAnsi="Times New Roman"/>
          <w:b/>
          <w:sz w:val="24"/>
        </w:rPr>
        <w:t>6.3 Scenario scaling</w:t>
      </w:r>
    </w:p>
    <w:p>
      <w:pPr>
        <w:spacing w:line="480" w:lineRule="auto"/>
      </w:pPr>
      <w:r>
        <w:rPr>
          <w:rFonts w:ascii="Times New Roman" w:hAnsi="Times New Roman"/>
          <w:sz w:val="24"/>
        </w:rPr>
        <w:t>For each cutoff, gross mass is derived from unscaled simulation exceedance volumes and density. A scenario-scaled mass is then computed using a screening coefficient f_v = 0.055. The coefficient represents the approximate proportion of modeled stratigraphic thickness occupied by graphite-bearing horizons and is derived from exploration-stage geological observations, not inferred from geostatistical outputs.</w:t>
      </w:r>
    </w:p>
    <w:p>
      <w:pPr>
        <w:spacing w:line="480" w:lineRule="auto"/>
      </w:pPr>
      <w:r>
        <w:t>Accordingly, f_v is treated strictly as a scenario translation factor rather than a geological parameter. A plus/minus 20% sensitivity window is reported to bound planning dependence on this coefficient while preserving unchanged unscaled simulation evidence. Boxed statement for interpretation control: Unscaled simulation outputs are evidentiary; scenario scaling is decision translation. Scaling does not validate the SGS model, does not alter predictive diagnostics, and affects planning interpretation only (Zell et al., 2018; Yang et al., 2020).</w:t>
      </w:r>
    </w:p>
    <w:p>
      <w:pPr>
        <w:pStyle w:val="Heading2"/>
        <w:spacing w:line="480" w:lineRule="auto"/>
      </w:pPr>
      <w:r>
        <w:rPr>
          <w:rFonts w:ascii="Times New Roman" w:hAnsi="Times New Roman"/>
          <w:b/>
          <w:sz w:val="24"/>
        </w:rPr>
        <w:t>6.4 Pairwise interaction screening (exploratory second-order coupling)</w:t>
      </w:r>
    </w:p>
    <w:p>
      <w:pPr>
        <w:spacing w:line="480" w:lineRule="auto"/>
      </w:pPr>
      <w:r>
        <w:t>Pairwise factorial interaction reruns were completed for domain x variogram, domain x neighborhood, and trend x domain under fixed screening settings (n_real=50, n_jobs=1, internal validation disabled). For scenario s, a standardized predictive score P_s was computed as the mean z-score across selected predictive diagnostics; interaction effects were estimated as delta-of-deltas on P_s relative to paired main-effect baselines. These reruns are exploratory screening-scale second-order coupling evidence at n_real=50 and are not production-scale interaction effect estimation. Main-effect AIR ranking is reported in Table 18, while pairwise interaction screening is reported separately in Supplementary Table S7.</w:t>
      </w:r>
    </w:p>
    <w:p>
      <w:pPr>
        <w:pStyle w:val="Heading2"/>
        <w:spacing w:line="480" w:lineRule="auto"/>
      </w:pPr>
      <w:r>
        <w:rPr>
          <w:rFonts w:ascii="Times New Roman" w:hAnsi="Times New Roman"/>
          <w:b/>
          <w:sz w:val="24"/>
        </w:rPr>
        <w:t>6.5 AIR rank stability testing</w:t>
      </w:r>
    </w:p>
    <w:p>
      <w:pPr>
        <w:spacing w:line="480" w:lineRule="auto"/>
      </w:pPr>
      <w:r>
        <w:t>A leave-one-metric-out stress test was applied to AIR main effects by recomputing rankings after removing each predictive metric in turn (Swath X, Swath Y, Swath Z, and risk width at 3% cutoff). Domain and variogram-related drivers remained in the upper rank band while neighborhood and top-cut remained lower-ranked across removals, indicating moderate rank stability for top-priority assumptions. Detailed ranks are reported in Supplementary Table S10 with compact rank-span summary in Supplementary Table S10 summary.</w:t>
      </w:r>
    </w:p>
    <w:p>
      <w:pPr>
        <w:pStyle w:val="Heading1"/>
        <w:spacing w:line="480" w:lineRule="auto"/>
      </w:pPr>
      <w:r>
        <w:rPr>
          <w:rFonts w:ascii="Times New Roman" w:hAnsi="Times New Roman"/>
          <w:b/>
          <w:sz w:val="28"/>
        </w:rPr>
        <w:t>7. Results and Interpretation</w:t>
      </w:r>
    </w:p>
    <w:p>
      <w:pPr>
        <w:spacing w:line="480" w:lineRule="auto"/>
      </w:pPr>
      <w:r/>
    </w:p>
    <w:p>
      <w:pPr>
        <w:spacing w:line="480" w:lineRule="auto"/>
      </w:pPr>
      <w:r>
        <w:t>Key outcomes are summarized in Table 2, with risk translation in Table 11 and main-effect AIR ranking in Table 18. Table 19 reports DSI robustness (Pearson and Spearman variants with bootstrap confidence intervals), and Table 20 reports the uncertainty-propagation matrix linking assumptions to diagnostics and decision metrics. Pairwise interaction outputs in Supplementary Table S7 are interpreted as exploratory screening-scale second-order coupling evidence at n_real=50, not production-scale interaction effect estimation. Detailed matrix cells are reported in Supplementary Table S8, deterministic synthetic-benchmark expected outputs with SHA256 checksums in Supplementary Table S9, AIR rank-stability rows in Supplementary Table S10, DSI alternative-aggregation robustness in Supplementary Table S11, synthetic DSI/AIR proof-of-behavior scenarios in Supplementary Table S12, and diagnostic inclusion mapping in Supplementary Table S13. At 3% cutoff, unscaled gross P50 mass remains the primary uncertainty output. Directional evidence confirms stronger strike and down-dip continuity relative to normal-direction support, consistent with geology and drilling geometry.</w:t>
      </w:r>
    </w:p>
    <w:p>
      <w:pPr>
        <w:spacing w:line="480" w:lineRule="auto"/>
      </w:pPr>
      <w:r>
        <w:rPr>
          <w:rFonts w:ascii="Times New Roman" w:hAnsi="Times New Roman"/>
          <w:sz w:val="24"/>
        </w:rPr>
        <w:t>Detailed lithology statistics and convergence raw tables are moved to Supplementary Table S4 (former Table 14) and Supplementary Table S5 (former Table 16) to preserve transparency without diluting the main interpretation flow.</w:t>
      </w:r>
    </w:p>
    <w:p>
      <w:pPr>
        <w:pStyle w:val="Heading1"/>
        <w:spacing w:line="480" w:lineRule="auto"/>
      </w:pPr>
      <w:r>
        <w:rPr>
          <w:rFonts w:ascii="Times New Roman" w:hAnsi="Times New Roman"/>
          <w:b/>
          <w:sz w:val="28"/>
        </w:rPr>
        <w:t>8. Discussion</w:t>
      </w:r>
    </w:p>
    <w:p>
      <w:pPr>
        <w:pStyle w:val="Heading2"/>
        <w:spacing w:line="480" w:lineRule="auto"/>
      </w:pPr>
      <w:r>
        <w:rPr>
          <w:rFonts w:ascii="Times New Roman" w:hAnsi="Times New Roman"/>
          <w:b/>
          <w:sz w:val="24"/>
        </w:rPr>
        <w:t>8.1 What is new</w:t>
      </w:r>
    </w:p>
    <w:p>
      <w:pPr>
        <w:spacing w:line="480" w:lineRule="auto"/>
      </w:pPr>
      <w:r>
        <w:t>Compared with routine SGS case studies, this workflow separates consistency and predictive evidence and adds DSI/AIR as screening metrics for coupling and assumption prioritization. The contribution is practical auditability with explicit claim boundaries, not a new statistical theory.</w:t>
      </w:r>
    </w:p>
    <w:p>
      <w:pPr>
        <w:pStyle w:val="Heading2"/>
        <w:spacing w:line="480" w:lineRule="auto"/>
      </w:pPr>
      <w:r>
        <w:rPr>
          <w:rFonts w:ascii="Times New Roman" w:hAnsi="Times New Roman"/>
          <w:b/>
          <w:sz w:val="24"/>
        </w:rPr>
        <w:t>8.2 What the case study shows</w:t>
      </w:r>
    </w:p>
    <w:p>
      <w:pPr>
        <w:spacing w:line="480" w:lineRule="auto"/>
      </w:pPr>
      <w:r>
        <w:rPr>
          <w:rFonts w:ascii="Times New Roman" w:hAnsi="Times New Roman"/>
          <w:sz w:val="24"/>
        </w:rPr>
        <w:t>The Tanzania implementation shows anisotropic continuity with weakest support in the normal direction and identifies domain plus variogram-neighborhood assumptions as dominant predictive-uncertainty drivers. Scenario scaling affects planning translation and is separated from core geostatistical evidence.</w:t>
      </w:r>
    </w:p>
    <w:p>
      <w:pPr>
        <w:pStyle w:val="Heading2"/>
        <w:spacing w:line="480" w:lineRule="auto"/>
      </w:pPr>
      <w:r>
        <w:rPr>
          <w:rFonts w:ascii="Times New Roman" w:hAnsi="Times New Roman"/>
          <w:b/>
          <w:sz w:val="24"/>
        </w:rPr>
        <w:t>8.3 What remains unproven (Scope of validation)</w:t>
      </w:r>
    </w:p>
    <w:p>
      <w:pPr>
        <w:spacing w:line="480" w:lineRule="auto"/>
      </w:pPr>
      <w:r>
        <w:t>The workflow is demonstrated on one proprietary project. Raw-data confidentiality limits full geological reproduction of the original case, but synthetic artifacts support computational replay. Portability is therefore proposed at workflow-architecture level and remains to be tested empirically across multiple deposits. Interaction screening at n_real=50 is exploratory and not production-scale interaction effect estimation. Probabilistic uncertainty calibration was not directly evaluated and remains a next-step extension.</w:t>
      </w:r>
    </w:p>
    <w:p>
      <w:pPr>
        <w:pStyle w:val="Heading2"/>
        <w:spacing w:line="480" w:lineRule="auto"/>
      </w:pPr>
      <w:r>
        <w:t>8.4 Practical implication</w:t>
      </w:r>
    </w:p>
    <w:p>
      <w:pPr>
        <w:spacing w:line="480" w:lineRule="auto"/>
      </w:pPr>
      <w:r>
        <w:t>The dominant predictive uncertainty drivers indicate that follow-up drilling should prioritize normal-direction continuity constraints and domain-boundary control. Screening resources are better allocated to domain and variogram-neighborhood reruns than to low-impact top-cut perturbations under current data support.</w:t>
      </w:r>
    </w:p>
    <w:p>
      <w:pPr>
        <w:pStyle w:val="Heading2"/>
        <w:spacing w:line="480" w:lineRule="auto"/>
      </w:pPr>
      <w:r>
        <w:t>8.5 What would falsify or weaken this framework</w:t>
      </w:r>
    </w:p>
    <w:p>
      <w:pPr>
        <w:spacing w:line="480" w:lineRule="auto"/>
      </w:pPr>
      <w:r>
        <w:t>Framework credibility would be weakened if DSI became unstable under minor metric-orientation or aggregation changes, if AIR rank ordering collapsed under small perturbations, if predictive and consistency classes could not be practically separated across reruns, or if top-ranked assumptions changed arbitrarily under modest design choices.</w:t>
      </w:r>
    </w:p>
    <w:p>
      <w:pPr>
        <w:pStyle w:val="Heading2"/>
        <w:spacing w:line="480" w:lineRule="auto"/>
      </w:pPr>
      <w:r>
        <w:t>8.6 Why the framework remains useful despite those limits</w:t>
      </w:r>
    </w:p>
    <w:p>
      <w:pPr>
        <w:spacing w:line="480" w:lineRule="auto"/>
      </w:pPr>
      <w:r>
        <w:t>Even under these limits, the framework is operationally useful because it prevents overclaiming from histogram and Q-Q agreement alone, prioritizes reruns by predictive leverage, and keeps planning translation parameters separate from core evidentiary simulation outputs.</w:t>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spacing w:line="480" w:lineRule="auto"/>
      </w:pPr>
      <w:r/>
    </w:p>
    <w:p>
      <w:pPr>
        <w:pStyle w:val="Heading1"/>
        <w:spacing w:line="480" w:lineRule="auto"/>
      </w:pPr>
      <w:r>
        <w:rPr>
          <w:rFonts w:ascii="Times New Roman" w:hAnsi="Times New Roman"/>
          <w:b/>
          <w:sz w:val="28"/>
        </w:rPr>
        <w:t>9. Conclusions</w:t>
      </w:r>
    </w:p>
    <w:p>
      <w:pPr>
        <w:spacing w:line="480" w:lineRule="auto"/>
      </w:pPr>
      <w:r>
        <w:t>This work presents an audit-oriented SGS uncertainty workflow that combines a diagnostic hierarchy, a Diagnostic Separation Index (DSI), and an Assumption Impact Ranking (AIR).</w:t>
      </w:r>
    </w:p>
    <w:p>
      <w:pPr>
        <w:spacing w:line="480" w:lineRule="auto"/>
      </w:pPr>
      <w:r>
        <w:rPr>
          <w:rFonts w:ascii="Times New Roman" w:hAnsi="Times New Roman"/>
          <w:sz w:val="24"/>
        </w:rPr>
        <w:t>In the Tanzania case study, predictive evidence indicates anisotropic continuity with weaker normal-direction support, and main-effect AIR identifies domain and variogram-neighborhood choices as the dominant uncertainty drivers. Unscaled simulation outputs remain the primary evidentiary layer, while scenario scaling is treated as planning translation.</w:t>
      </w:r>
    </w:p>
    <w:p>
      <w:pPr>
        <w:spacing w:line="480" w:lineRule="auto"/>
      </w:pPr>
      <w:r>
        <w:t>The workflow is designed for structurally transferable deployment across deposits, but portability remains to be validated empirically across multiple independent projects with stronger orthogonal support and explicit probabilistic uncertainty-calibration tests. The present evidence is an industry deployment case under proprietary-data constraints. DSI and AIR are screening-level audit tools for prioritization, not substitutes for full probabilistic validation or full global sensitivity decomposition.</w:t>
      </w:r>
    </w:p>
    <w:p>
      <w:pPr>
        <w:pStyle w:val="Heading1"/>
        <w:spacing w:line="480" w:lineRule="auto"/>
      </w:pPr>
      <w:r>
        <w:rPr>
          <w:rFonts w:ascii="Times New Roman" w:hAnsi="Times New Roman"/>
          <w:b/>
          <w:sz w:val="28"/>
        </w:rPr>
        <w:t>Data Availability</w:t>
      </w:r>
    </w:p>
    <w:p>
      <w:pPr>
        <w:spacing w:line="480" w:lineRule="auto"/>
      </w:pPr>
      <w:r>
        <w:rPr>
          <w:rFonts w:ascii="Times New Roman" w:hAnsi="Times New Roman"/>
          <w:sz w:val="24"/>
        </w:rPr>
        <w:t>The author is employed by Sakariya Mines and Minerals. The underlying exploration database is proprietary and subject to confidentiality obligations; therefore, raw project data cannot be publicly released at this stage. To support reproducibility, open code, configuration files, sensitivity outputs, and synthetic benchmark artifacts are provided.</w:t>
      </w:r>
    </w:p>
    <w:p>
      <w:pPr>
        <w:spacing w:line="480" w:lineRule="auto"/>
      </w:pPr>
      <w:r>
        <w:rPr>
          <w:rFonts w:ascii="Times New Roman" w:hAnsi="Times New Roman"/>
          <w:sz w:val="24"/>
        </w:rPr>
        <w:t>Public reproducibility resources are available at https://github.com/sudip686/geostats-risk-pipeline/releases/tag/paper-v1.0.0 and in the submission synthetic benchmark package (synthetic_validation_reference.csv, synthetic_benchmark_config.json, expected_outputs.csv, checksums_sha256.csv). Supplementary Table S9 lists expected outputs and checksums for replay verification without proprietary raw data.</w:t>
      </w:r>
    </w:p>
    <w:p>
      <w:pPr>
        <w:pStyle w:val="Heading1"/>
        <w:spacing w:line="480" w:lineRule="auto"/>
      </w:pPr>
      <w:r>
        <w:rPr>
          <w:rFonts w:ascii="Times New Roman" w:hAnsi="Times New Roman"/>
          <w:b/>
          <w:sz w:val="28"/>
        </w:rPr>
        <w:t>Acknowledgements</w:t>
      </w:r>
    </w:p>
    <w:p>
      <w:pPr>
        <w:spacing w:line="480" w:lineRule="auto"/>
      </w:pPr>
      <w:r>
        <w:rPr>
          <w:rFonts w:ascii="Times New Roman" w:hAnsi="Times New Roman"/>
          <w:sz w:val="24"/>
        </w:rPr>
        <w:t>The author thanks the project geology and data management team for technical support during data preparation, validation, and workflow quality checks.</w:t>
      </w:r>
    </w:p>
    <w:p>
      <w:pPr>
        <w:pStyle w:val="Heading1"/>
        <w:spacing w:line="480" w:lineRule="auto"/>
      </w:pPr>
      <w:r>
        <w:rPr>
          <w:rFonts w:ascii="Times New Roman" w:hAnsi="Times New Roman"/>
          <w:b/>
          <w:sz w:val="28"/>
        </w:rPr>
        <w:t>Computer Code Availability</w:t>
      </w:r>
    </w:p>
    <w:p>
      <w:pPr>
        <w:spacing w:line="480" w:lineRule="auto"/>
      </w:pPr>
      <w:r>
        <w:rPr>
          <w:rFonts w:ascii="Times New Roman" w:hAnsi="Times New Roman"/>
          <w:sz w:val="24"/>
        </w:rPr>
        <w:t>Code name: geostats-risk-pipeline. Developer: Sudipta Chanda; contact address: Sakariya Mines and Minerals, 1402 Ecostation Business Tower, Newtown, Rajarhat, Kolkata, West Bengal 700160, India; telephone: +91 99980 90543; e-mail: sudipta.chanda@sakariya.in. Year first available: 2026. Hardware required: standard x86-64 workstation or laptop. Software required: Python 3.10+ and standard open-source scientific Python stack. Program language: Python. Program size: repository source and release artifacts are available in the public release bundle. Source code access: https://github.com/sudip686/geostats-risk-pipeline/releases/tag/paper-v1.0.0 (open-source, anonymous download, stable public repository). Synthetic benchmark artifacts include fixed-seed expected outputs and SHA256 checksum verification for independent replay without proprietary raw data.</w:t>
      </w:r>
    </w:p>
    <w:p>
      <w:pPr>
        <w:pStyle w:val="Heading1"/>
        <w:spacing w:line="480" w:lineRule="auto"/>
      </w:pPr>
      <w:r>
        <w:rPr>
          <w:rFonts w:ascii="Times New Roman" w:hAnsi="Times New Roman"/>
          <w:b/>
          <w:sz w:val="28"/>
        </w:rPr>
        <w:t>Author Contributions (CRediT)</w:t>
      </w:r>
    </w:p>
    <w:p>
      <w:pPr>
        <w:spacing w:line="480" w:lineRule="auto"/>
      </w:pPr>
      <w:r>
        <w:rPr>
          <w:rFonts w:ascii="Times New Roman" w:hAnsi="Times New Roman"/>
          <w:sz w:val="24"/>
        </w:rPr>
        <w:t>Sudipta Chanda: Conceptualization; Data curation; Formal analysis; Investigation; Methodology; Software; Validation; Visualization; Writing - original draft; Writing - review and editing.</w:t>
      </w:r>
    </w:p>
    <w:p>
      <w:pPr>
        <w:pStyle w:val="Heading1"/>
        <w:spacing w:line="480" w:lineRule="auto"/>
      </w:pPr>
      <w:r>
        <w:rPr>
          <w:rFonts w:ascii="Times New Roman" w:hAnsi="Times New Roman"/>
          <w:b/>
          <w:sz w:val="28"/>
        </w:rPr>
        <w:t>Funding</w:t>
      </w:r>
    </w:p>
    <w:p>
      <w:pPr>
        <w:spacing w:line="480" w:lineRule="auto"/>
      </w:pPr>
      <w:r>
        <w:rPr>
          <w:rFonts w:ascii="Times New Roman" w:hAnsi="Times New Roman"/>
          <w:sz w:val="24"/>
        </w:rPr>
        <w:t>This research received no specific grant from funding agencies in the public, commercial, or not-for-profit sectors.</w:t>
      </w:r>
    </w:p>
    <w:p>
      <w:pPr>
        <w:pStyle w:val="Heading1"/>
        <w:spacing w:line="480" w:lineRule="auto"/>
      </w:pPr>
      <w:r>
        <w:rPr>
          <w:rFonts w:ascii="Times New Roman" w:hAnsi="Times New Roman"/>
          <w:b/>
          <w:sz w:val="28"/>
        </w:rPr>
        <w:t>Declarations / Conflict of Interest</w:t>
      </w:r>
    </w:p>
    <w:p>
      <w:pPr>
        <w:spacing w:line="480" w:lineRule="auto"/>
      </w:pPr>
      <w:r>
        <w:rPr>
          <w:rFonts w:ascii="Times New Roman" w:hAnsi="Times New Roman"/>
          <w:sz w:val="24"/>
        </w:rPr>
        <w:t>The author declares no known competing financial or non-financial interests that could have influenced the work presented in this manuscript.</w:t>
      </w:r>
    </w:p>
    <w:p>
      <w:pPr>
        <w:pStyle w:val="Heading1"/>
        <w:spacing w:line="480" w:lineRule="auto"/>
      </w:pPr>
      <w:r>
        <w:rPr>
          <w:rFonts w:ascii="Times New Roman" w:hAnsi="Times New Roman"/>
          <w:b/>
          <w:sz w:val="28"/>
        </w:rPr>
        <w:t>Declaration of Generative AI Use</w:t>
      </w:r>
    </w:p>
    <w:p>
      <w:pPr>
        <w:spacing w:line="480" w:lineRule="auto"/>
      </w:pPr>
      <w:r>
        <w:rPr>
          <w:rFonts w:ascii="Times New Roman" w:hAnsi="Times New Roman"/>
          <w:sz w:val="24"/>
        </w:rPr>
        <w:t>During preparation of this work, generative AI tools were used only for language-editing and document-formatting assistance. All scientific interpretation, methods, results, and conclusions were reviewed and validated by the author, who takes full responsibility for the content.</w:t>
      </w:r>
    </w:p>
    <w:p>
      <w:pPr>
        <w:pStyle w:val="Heading1"/>
        <w:spacing w:line="480" w:lineRule="auto"/>
      </w:pPr>
      <w:r>
        <w:rPr>
          <w:rFonts w:ascii="Times New Roman" w:hAnsi="Times New Roman"/>
          <w:b/>
          <w:sz w:val="28"/>
        </w:rPr>
        <w:t>References</w:t>
      </w:r>
    </w:p>
    <w:p>
      <w:pPr>
        <w:spacing w:line="480" w:lineRule="auto"/>
      </w:pPr>
      <w:r>
        <w:t>Bai, Tao, Tahmasebi, Pejman, 2022. Sequential Gaussian simulation for geosystems modeling: A machine learning approach. Geoscience Frontiers 13(1), 101258. https://doi.org/10.1016/j.gsf.2021.101258.</w:t>
      </w:r>
    </w:p>
    <w:p>
      <w:pPr>
        <w:spacing w:line="480" w:lineRule="auto"/>
      </w:pPr>
      <w:r>
        <w:t>Barnett, Ryan M., Horan, Sean, Wilson, Brandon, Deutsch, Jared L., Deutsch, Clayton V., 2026. Mineral Resource Disclosure with Probabilistic Models. Mathematical Geosciences. https://doi.org/10.1007/s11004-025-10244-y.</w:t>
      </w:r>
    </w:p>
    <w:p>
      <w:pPr>
        <w:spacing w:line="480" w:lineRule="auto"/>
      </w:pPr>
      <w:r>
        <w:t>Wilmeth, D.T., Corsetti, F.A., Beukes, N.J., Awramik, S.M., Petryshyn, V., Spear, J.R., Celestian, A.J., 2019. Neoarchean (2.7 Ga) lacustrine stromatolite deposits in the Hartbeesfontein Basin, Ventersdorp Supergroup, South Africa: Implications for oxygen oases. Precambrian Research 320, 291-302. https://doi.org/10.1016/j.precamres.2018.11.009.</w:t>
      </w:r>
    </w:p>
    <w:p>
      <w:pPr>
        <w:spacing w:line="480" w:lineRule="auto"/>
      </w:pPr>
      <w:r>
        <w:t>Boniface, N., Tsujimori, T., 2021. Paleoproterozoic high-pressure mafic granulites and retrograde eclogites in the Usagaran Belt, Tanzania. Geological Society, London, Special Publications 552, 161-177. https://doi.org/10.1144/SP552-2021-107.</w:t>
      </w:r>
    </w:p>
    <w:p>
      <w:pPr>
        <w:spacing w:line="480" w:lineRule="auto"/>
      </w:pPr>
      <w:r>
        <w:t>Case, M., 2025. A time-space model of graphite mineral systems from deposition to concentration and preservation. Mineralium Deposita. https://doi.org/10.1007/s00126-025-01368-x.</w:t>
      </w:r>
    </w:p>
    <w:p>
      <w:pPr>
        <w:spacing w:line="480" w:lineRule="auto"/>
      </w:pPr>
      <w:r>
        <w:rPr>
          <w:rFonts w:ascii="Times New Roman" w:hAnsi="Times New Roman"/>
          <w:sz w:val="24"/>
        </w:rPr>
        <w:t>Chiles, J.-P., Delfiner, P., 2012. Geostatistics: Modeling Spatial Uncertainty, 2nd ed. Wiley, Hoboken, NJ.</w:t>
      </w:r>
    </w:p>
    <w:p>
      <w:pPr>
        <w:spacing w:line="480" w:lineRule="auto"/>
      </w:pPr>
      <w:r>
        <w:rPr>
          <w:rFonts w:ascii="Times New Roman" w:hAnsi="Times New Roman"/>
          <w:sz w:val="24"/>
        </w:rPr>
        <w:t>CIM MRMR Committee, 2019. Estimation of Mineral Resources and Mineral Reserves Best Practice Guidelines (adopted 2019, updated May 2022). Canadian Institute of Mining, Metallurgy and Petroleum.</w:t>
      </w:r>
    </w:p>
    <w:p>
      <w:pPr>
        <w:spacing w:line="480" w:lineRule="auto"/>
      </w:pPr>
      <w:r>
        <w:t>Collins, A.S., Kroener, A., Fitzsimons, I.C.W., Razakamanana, T., 2004. Detrital footprint of the Mozambique Ocean: U-Pb SHRIMP and Pb evaporation zircon geochronology of metasedimentary gneisses in eastern Madagascar. Earth Planet. Sci. Lett. 221, 57-67. https://doi.org/10.1016/S0012-821X(04)00144-9.</w:t>
      </w:r>
    </w:p>
    <w:p>
      <w:pPr>
        <w:spacing w:line="480" w:lineRule="auto"/>
      </w:pPr>
      <w:r>
        <w:rPr>
          <w:rFonts w:ascii="Times New Roman" w:hAnsi="Times New Roman"/>
          <w:sz w:val="24"/>
        </w:rPr>
        <w:t>CRIRSCO, 2019. International Reporting Template, November 2019. Committee for Mineral Reserves International Reporting Standards.</w:t>
      </w:r>
    </w:p>
    <w:p>
      <w:pPr>
        <w:spacing w:line="480" w:lineRule="auto"/>
      </w:pPr>
      <w:r>
        <w:rPr>
          <w:rFonts w:ascii="Times New Roman" w:hAnsi="Times New Roman"/>
          <w:sz w:val="24"/>
        </w:rPr>
        <w:t>CSA, 2011. National Instrument 43-101: Standards of Disclosure for Mineral Projects. Canadian Securities Administrators.</w:t>
      </w:r>
    </w:p>
    <w:p>
      <w:pPr>
        <w:spacing w:line="480" w:lineRule="auto"/>
      </w:pPr>
      <w:r>
        <w:rPr>
          <w:rFonts w:ascii="Times New Roman" w:hAnsi="Times New Roman"/>
          <w:sz w:val="24"/>
        </w:rPr>
        <w:t>Deutsch, C.V., Journel, A.G., 1998. GSLIB: Geostatistical Software Library and User's Guide, 2nd ed. Oxford University Press, New York.</w:t>
      </w:r>
    </w:p>
    <w:p>
      <w:pPr>
        <w:spacing w:line="480" w:lineRule="auto"/>
      </w:pPr>
      <w:r>
        <w:rPr>
          <w:rFonts w:ascii="Times New Roman" w:hAnsi="Times New Roman"/>
          <w:sz w:val="24"/>
        </w:rPr>
        <w:t>Deutsch, C.V., 2002. Geostatistical Reservoir Modeling. Oxford University Press, New York.</w:t>
      </w:r>
    </w:p>
    <w:p>
      <w:pPr>
        <w:spacing w:line="480" w:lineRule="auto"/>
      </w:pPr>
      <w:r>
        <w:t>Deutsch, Clayton V., 2023. The Place of Geostatistical Simulation through the Life Cycle of a Mineral Deposit. Minerals 13(11), 1400. https://doi.org/10.3390/min13111400.</w:t>
      </w:r>
    </w:p>
    <w:p>
      <w:pPr>
        <w:spacing w:line="480" w:lineRule="auto"/>
      </w:pPr>
      <w:r>
        <w:t>Fritz, H., Abdelsalam, M., Ali, K.A., Bingen, B., Collins, A.S., Fowler, A.R., Ghebreab, W., Hauzenberger, C.A., Johnson, P.R., Kusky, T.M., Macey, P., Muhongo, S., Stern, R.J., Viola, G., 2013. Orogen styles in the East African Orogen: A review of the Neoproterozoic to Cambrian tectonic evolution. Journal of African Earth Sciences 86, 65-106. https://doi.org/10.1016/j.jafrearsci.2013.06.004.</w:t>
      </w:r>
    </w:p>
    <w:p>
      <w:pPr>
        <w:spacing w:line="480" w:lineRule="auto"/>
      </w:pPr>
      <w:r>
        <w:t>Saleh, Gehad M., Kamar, Mohamed S., Mohamed, Gehan A., El Tohamy, Amira M., 2023. Petrochemistry, rare metals-bearing minerals and spectrometric exploration in Khour Abalea, Abu Rusheid area, Eastern Desert, Egypt. Journal of African Earth Sciences 205, 105005. https://doi.org/10.1016/j.jafrearsci.2023.105005.</w:t>
      </w:r>
    </w:p>
    <w:p>
      <w:pPr>
        <w:spacing w:line="480" w:lineRule="auto"/>
      </w:pPr>
      <w:r>
        <w:rPr>
          <w:rFonts w:ascii="Times New Roman" w:hAnsi="Times New Roman"/>
          <w:sz w:val="24"/>
        </w:rPr>
        <w:t>Goovaerts, P., 1997. Geostatistics for Natural Resources Evaluation. Oxford University Press, New York.</w:t>
      </w:r>
    </w:p>
    <w:p>
      <w:pPr>
        <w:spacing w:line="480" w:lineRule="auto"/>
      </w:pPr>
      <w:r>
        <w:rPr>
          <w:rFonts w:ascii="Times New Roman" w:hAnsi="Times New Roman"/>
          <w:sz w:val="24"/>
        </w:rPr>
        <w:t>Isaaks, E.H., Srivastava, R.M., 1989. An Introduction to Applied Geostatistics. Oxford University Press, New York.</w:t>
      </w:r>
    </w:p>
    <w:p>
      <w:pPr>
        <w:spacing w:line="480" w:lineRule="auto"/>
      </w:pPr>
      <w:r>
        <w:rPr>
          <w:rFonts w:ascii="Times New Roman" w:hAnsi="Times New Roman"/>
          <w:sz w:val="24"/>
        </w:rPr>
        <w:t>JORC, 2012. Australasian Code for Reporting of Exploration Results, Mineral Resources and Ore Reserves (JORC Code, 2012 Edition). Joint Ore Reserves Committee.</w:t>
      </w:r>
    </w:p>
    <w:p>
      <w:pPr>
        <w:spacing w:line="480" w:lineRule="auto"/>
      </w:pPr>
      <w:r>
        <w:rPr>
          <w:rFonts w:ascii="Times New Roman" w:hAnsi="Times New Roman"/>
          <w:sz w:val="24"/>
        </w:rPr>
        <w:t>Journel, A.G., Huijbregts, C.J., 1978. Mining Geostatistics. Academic Press, London.</w:t>
      </w:r>
    </w:p>
    <w:p>
      <w:pPr>
        <w:spacing w:line="480" w:lineRule="auto"/>
      </w:pPr>
      <w:r>
        <w:t>Lindi, Oltingey Tuya, Aladejare, Adeyemi Emman, Ozoji, Toochukwu Malachi, Ranta, Jukka-Pekka, 2024. Uncertainty Quantification in Mineral Resource Estimation. Natural Resources Research 33(6), 2503-2526. https://doi.org/10.1007/s11053-024-10394-6.</w:t>
      </w:r>
    </w:p>
    <w:p>
      <w:pPr>
        <w:spacing w:line="480" w:lineRule="auto"/>
      </w:pPr>
      <w:r>
        <w:t>Matheron, G., 1973. The intrinsic random functions and their applications. Advances in Applied Probability 5(3), 439-468. https://doi.org/10.2307/1425829.</w:t>
      </w:r>
    </w:p>
    <w:p>
      <w:pPr>
        <w:spacing w:line="480" w:lineRule="auto"/>
      </w:pPr>
      <w:r>
        <w:t>Moller, A., Mezger, K., Schenk, V., 1998. Crustal age domains and the evolution of the continental crust in the MMB of Tanzania: combined Sm-Nd, Rb-Sr, and Pb-Pb isotopic evidence. Journal of Petrology 39(4), 749-783.</w:t>
      </w:r>
    </w:p>
    <w:p>
      <w:pPr>
        <w:spacing w:line="480" w:lineRule="auto"/>
      </w:pPr>
      <w:r>
        <w:t>Nowak, M., Verly, G., 2005. The Practice of SGS. In: Leuangthong, O., Deutsch, C.V. (Eds.), Geostatistics Banff 2004. Springer, Dordrecht, pp. 185-194. https://doi.org/10.1007/1-4020-3610-3_16.</w:t>
      </w:r>
    </w:p>
    <w:p>
      <w:pPr>
        <w:spacing w:line="480" w:lineRule="auto"/>
      </w:pPr>
      <w:r>
        <w:t>Paithankar, A., Chatterjee, S., 2018. Grade and tonnage uncertainty analysis of an African copper deposit using multiple-point geostatistics and SGS. Natural Resources Research 27(4), 419-436. https://doi.org/10.1007/s11053-017-9358-x.</w:t>
      </w:r>
    </w:p>
    <w:p>
      <w:pPr>
        <w:spacing w:line="480" w:lineRule="auto"/>
      </w:pPr>
      <w:r>
        <w:t>Geological Survey of Tanzania, Bureau de Recherches Geologiques et Minieres, University of Dar es Salaam, 2008. Geology and Mineral Map of Tanzania (scale 1: 2,000,000). Geological Survey of Tanzania, Dodoma, Tanzania.</w:t>
      </w:r>
    </w:p>
    <w:p>
      <w:pPr>
        <w:spacing w:line="480" w:lineRule="auto"/>
      </w:pPr>
      <w:r>
        <w:rPr>
          <w:rFonts w:ascii="Times New Roman" w:hAnsi="Times New Roman"/>
          <w:sz w:val="24"/>
        </w:rPr>
        <w:t>Remy, N., Boucher, A., Wu, J., 2009. Applied Geostatistics with SGeMS: A User's Guide. Cambridge University Press, Cambridge.</w:t>
      </w:r>
    </w:p>
    <w:p>
      <w:pPr>
        <w:spacing w:line="480" w:lineRule="auto"/>
      </w:pPr>
      <w:r>
        <w:t>Roberts, David R., Bahn, Volker, Ciuti, Simone, Boyce, Mark S., Elith, Jane, Guillera‐Arroita, Gurutzeta, Hauenstein, Severin, Lahoz‐Monfort, José J., Schröder, Boris, Thuiller, Wilfried, Warton, David I., Wintle, Brendan A., Hartig, Florian, Dormann, Carsten F., 2017. Cross‐validation strategies for data with temporal, spatial, hierarchical, or phylogenetic structure. Ecography 40(8), 913-929. https://doi.org/10.1111/ecog.02881.</w:t>
      </w:r>
    </w:p>
    <w:p>
      <w:pPr>
        <w:spacing w:line="480" w:lineRule="auto"/>
      </w:pPr>
      <w:r/>
    </w:p>
    <w:p>
      <w:pPr>
        <w:spacing w:line="480" w:lineRule="auto"/>
      </w:pPr>
      <w:r>
        <w:t>Sommer, H., Kröner, A., 2013. Ultra-high temperature granulite-facies metamorphic rocks from the Mozambique belt of SW Tanzania. Lithos 170-171, 117-143. https://doi.org/10.1016/j.lithos.2013.02.014.</w:t>
      </w:r>
    </w:p>
    <w:p>
      <w:pPr>
        <w:spacing w:line="480" w:lineRule="auto"/>
      </w:pPr>
      <w:r>
        <w:t>Thomas, Robert J., Bushi, Alphonce M., Roberts, Nick M.W., Jacobs, Joachim, 2014. Geochronology of granitic rocks from the Ruangwa region, southern Tanzania – Links with NE Mozambique and beyond. Journal of African Earth Sciences 100, 70-80. https://doi.org/10.1016/j.jafrearsci.2014.06.012.</w:t>
      </w:r>
    </w:p>
    <w:p>
      <w:pPr>
        <w:spacing w:line="480" w:lineRule="auto"/>
      </w:pPr>
      <w:r>
        <w:t>Sudipta Chanda, 2026. geostats-risk-pipeline (Version paper-v1.0.0) [Source code and release artifacts]. GitHub. https://github.com/sudip686/geostats-risk-pipeline/releases/tag/paper-v1.0.0.</w:t>
      </w:r>
    </w:p>
    <w:p>
      <w:pPr>
        <w:spacing w:line="480" w:lineRule="auto"/>
      </w:pPr>
      <w:r>
        <w:rPr>
          <w:rFonts w:ascii="Times New Roman" w:hAnsi="Times New Roman"/>
          <w:sz w:val="24"/>
        </w:rPr>
        <w:t>van der Grijp, Y., Minnitt, R.C.A., 2015. Application of direct sampling multi-point statistics and SGS algorithms for modelling uncertainty in gold deposits. Journal of the Southern African Institute of Mining and Metallurgy 115(1), 73-82.</w:t>
      </w:r>
    </w:p>
    <w:p>
      <w:pPr>
        <w:spacing w:line="480" w:lineRule="auto"/>
      </w:pPr>
      <w:r>
        <w:t>Wadoux, Alexandre M.J.-C., Heuvelink, Gerard B.M., de Bruin, Sytze, Brus, Dick J., 2021. Spatial cross-validation is not the right way to evaluate map accuracy. Ecological Modelling 457, 109692. https://doi.org/10.1016/j.ecolmodel.2021.109692.</w:t>
      </w:r>
    </w:p>
    <w:p>
      <w:pPr>
        <w:spacing w:line="480" w:lineRule="auto"/>
      </w:pPr>
      <w:r>
        <w:t>Hasan, Muhammad, Shang, Yanjun, 2022. Geophysical evaluation of geological model uncertainty for infrastructure design and groundwater assessments. Engineering Geology 299, 106560. https://doi.org/10.1016/j.enggeo.2022.106560.</w:t>
      </w:r>
    </w:p>
    <w:p>
      <w:pPr>
        <w:spacing w:line="480" w:lineRule="auto"/>
      </w:pPr>
      <w:r>
        <w:t>Koldasbayeva, Diana, Tregubova, Polina, Gasanov, Mikhail, Zaytsev, Alexey, Petrovskaia, Anna, Burnaev, Evgeny, 2024. Challenges in data-driven geospatial modeling for environmental research and practice. Nature Communications 15(1), 10700. https://doi.org/10.1038/s41467-024-55240-8.</w:t>
      </w:r>
    </w:p>
    <w:p>
      <w:pPr>
        <w:spacing w:line="480" w:lineRule="auto"/>
      </w:pPr>
      <w:r>
        <w:t>Delbari, Masoomeh, Afrasiab, Peyman, Loiskandl, Willibald, 2009. Using sequential Gaussian simulation to assess the field-scale spatial uncertainty of soil water content. CATENA 79(2), 163-169. https://doi.org/10.1016/j.catena.2009.08.001.</w:t>
      </w:r>
    </w:p>
    <w:p>
      <w:pPr>
        <w:spacing w:line="480" w:lineRule="auto"/>
      </w:pPr>
      <w:r>
        <w:t>Soares, Mauricio Fornalski, Timm, Luís Carlos, Siqueira, Tirzah Moreira, dos Santos, Rodrigo César Vasconcelos, Reichardt, Klaus, 2023. Assessing the spatial variability of saturated soil hydraulic conductivity at the watershed scale using the sequential Gaussian co-simulation method. CATENA 221, 106756. https://doi.org/10.1016/j.catena.2022.106756.</w:t>
      </w:r>
    </w:p>
    <w:p>
      <w:pPr>
        <w:spacing w:line="480" w:lineRule="auto"/>
      </w:pPr>
      <w:r>
        <w:t>Juang, C. Hsein, Zhang, Jie, Shen, Mengfen, Hu, Jinzheng, 2019. Probabilistic methods for unified treatment of geotechnical and geological uncertainties in a geotechnical analysis. Engineering Geology 249, 148-161. https://doi.org/10.1016/j.enggeo.2018.12.010.</w:t>
      </w:r>
    </w:p>
    <w:p>
      <w:pPr>
        <w:spacing w:line="480" w:lineRule="auto"/>
      </w:pPr>
      <w:r>
        <w:t>Ghaffar, Salman, Jomaa, Seifeddine, Meon, Günter, Rode, Michael, 2021. Spatial validation of a semi-distributed hydrological nutrient transport model. Journal of Hydrology 593, 125818. https://doi.org/10.1016/j.jhydrol.2020.125818.</w:t>
      </w:r>
    </w:p>
    <w:p>
      <w:pPr>
        <w:spacing w:line="480" w:lineRule="auto"/>
      </w:pPr>
      <w:r>
        <w:t>Yang, Wushuang, Chen, Hua, Xu, Chong-Yu, Huo, Ran, Chen, Jie, Guo, Shenglian, 2020. Temporal and spatial transferabilities of hydrological models under different climates and underlying surface conditions. Journal of Hydrology 591, 125276. https://doi.org/10.1016/j.jhydrol.2020.125276.</w:t>
      </w:r>
    </w:p>
    <w:p>
      <w:pPr>
        <w:spacing w:line="480" w:lineRule="auto"/>
      </w:pPr>
      <w:r>
        <w:t>Razavi, Saman, Gupta, Hoshin V., 2016. A new framework for comprehensive, robust, and efficient global sensitivity analysis: 1. Theory. Water Resources Research 52(1), 423-439. https://doi.org/10.1002/2015wr017558.</w:t>
      </w:r>
    </w:p>
    <w:p>
      <w:pPr>
        <w:spacing w:line="480" w:lineRule="auto"/>
      </w:pPr>
      <w:r>
        <w:t>Razavi, Saman, Gupta, Hoshin V., 2016. A new framework for comprehensive, robust, and efficient global sensitivity analysis: 2. Application. Water Resources Research 52(1), 440-455. https://doi.org/10.1002/2015wr017559.</w:t>
      </w:r>
    </w:p>
    <w:p>
      <w:pPr>
        <w:spacing w:line="480" w:lineRule="auto"/>
      </w:pPr>
      <w:r>
        <w:t>Juang, C. Hsein, Gong, Wenping, Martin, James R., Chen, Qiushi, 2018. Model selection in geological and geotechnical engineering in the face of uncertainty - Does a complex model always outperform a simple model? Engineering Geology 242, 184-196. https://doi.org/10.1016/j.enggeo.2018.05.022.</w:t>
      </w:r>
    </w:p>
    <w:p>
      <w:pPr>
        <w:spacing w:line="480" w:lineRule="auto"/>
      </w:pPr>
      <w:r>
        <w:t>Shi, Chao, Wang, Yu, 2021. Non-parametric machine learning methods for interpolation of spatially varying non-stationary and non-Gaussian geotechnical properties. Geoscience Frontiers 12(1), 339-350. https://doi.org/10.1016/j.gsf.2020.01.011.</w:t>
      </w:r>
    </w:p>
    <w:p>
      <w:pPr>
        <w:spacing w:line="480" w:lineRule="auto"/>
      </w:pPr>
      <w:r>
        <w:t>Parysow, Pablo, Wang, Guangxing, Gertner, George, Anderson, Alan B., 2003. Spatial uncertainty analysis for mapping soil erodibility based on joint sequential simulation. CATENA 53(1), 65-78. https://doi.org/10.1016/S0341-8162(02)00198-4.</w:t>
      </w:r>
    </w:p>
    <w:p>
      <w:pPr>
        <w:spacing w:line="480" w:lineRule="auto"/>
      </w:pPr>
      <w:r>
        <w:t>Zell, Wesley O., Culver, Teresa B., Sanford, Ward E., 2018. Prediction uncertainty and data worth assessment for groundwater transport times in an agricultural catchment. Journal of Hydrology 561, 1019-1036. https://doi.org/10.1016/j.jhydrol.2018.02.006.</w:t>
      </w:r>
    </w:p>
    <w:p>
      <w:pPr>
        <w:spacing w:line="480" w:lineRule="auto"/>
      </w:pPr>
      <w:r>
        <w:t>Høyer, A.S., Sandersen, P.B.E., Andersen, L.T., Madsen, R.B., Mortensen, M.H., Møller, I., 2024. Evaluating the chain of uncertainties in the 3D geological modelling workflow. Engineering Geology 343, 107792. https://doi.org/10.1016/j.enggeo.2024.107792.</w:t>
      </w:r>
    </w:p>
    <w:p>
      <w:pPr>
        <w:spacing w:line="480" w:lineRule="auto"/>
      </w:pPr>
      <w:r>
        <w:t>Shin, Mun-Ju, Jung, Yong, 2022. Using a global sensitivity analysis to estimate the appropriate length of calibration period in the presence of high hydrological model uncertainty. Journal of Hydrology 607, 127546. https://doi.org/10.1016/j.jhydrol.2022.127546.</w:t>
      </w:r>
    </w:p>
    <w:sectPr w:rsidR="00FC693F" w:rsidRPr="0006063C" w:rsidSect="00034616">
      <w:pgSz w:w="12240" w:h="15840"/>
      <w:pgMar w:top="1440" w:right="1800" w:bottom="1440" w:left="180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