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</w:pPr>
      <w:r>
        <w:rPr>
          <w:rFonts w:ascii="Times New Roman" w:hAnsi="Times New Roman"/>
          <w:sz w:val="24"/>
        </w:rPr>
        <w:t>Dear Editor,</w:t>
      </w:r>
    </w:p>
    <w:p>
      <w:pPr>
        <w:spacing w:line="480" w:lineRule="auto"/>
      </w:pPr>
      <w:r/>
    </w:p>
    <w:p>
      <w:pPr>
        <w:spacing w:line="480" w:lineRule="auto"/>
      </w:pPr>
      <w:r>
        <w:t>I am pleased to submit the manuscript entitled "An Audit-Oriented SGS Uncertainty Workflow with Diagnostic Separation and Assumption Impact Ranking" for consideration in Computers &amp; Geosciences.</w:t>
      </w:r>
    </w:p>
    <w:p>
      <w:pPr>
        <w:spacing w:line="480" w:lineRule="auto"/>
      </w:pPr>
      <w:r>
        <w:t>This is an applied methodological workflow paper, not a new SGS algorithm. The central contribution is an audit-oriented diagnostic workflow consisting of a diagnostic hierarchy, a Diagnostic Separation Index (DSI), and an Assumption Impact Ranking (AIR). The workflow separates calibration-sensitive consistency checks from predictive diagnostics to reduce circular interpretation risk.</w:t>
      </w:r>
    </w:p>
    <w:p>
      <w:pPr>
        <w:spacing w:line="480" w:lineRule="auto"/>
      </w:pPr>
      <w:r>
        <w:t>The Tanzania graphite dataset is used as an industry deployment case under proprietary-data constraints rather than as a universal proof case. Pairwise interaction results are reported as exploratory screening-scale evidence from n_real=50 reruns, not production-scale interaction effect estimation. Reproducibility is supported through open code, documented configurations, sensitivity outputs, and synthetic benchmark artifacts (https://github.com/sudip686/geostats-risk-pipeline/releases/tag/paper-v1.0.0).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The manuscript is original, is not under consideration elsewhere, and has been approved by the author.</w:t>
      </w:r>
    </w:p>
    <w:p>
      <w:pPr>
        <w:spacing w:line="480" w:lineRule="auto"/>
      </w:pPr>
      <w:r/>
    </w:p>
    <w:p>
      <w:pPr>
        <w:spacing w:line="480" w:lineRule="auto"/>
      </w:pPr>
      <w:r>
        <w:rPr>
          <w:rFonts w:ascii="Times New Roman" w:hAnsi="Times New Roman"/>
          <w:sz w:val="24"/>
        </w:rPr>
        <w:t>Affiliation: Sakariya Mines and Minerals, 1402 Ecostation Business Tower, Newtown, Rajarhat, Kolkata, West Bengal 700160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Corresponding Author: Sudipta Chanda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Corresponding Author email: sudipta.chanda@sakariya.in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Corresponding Author phone: +91 99980 90543</w:t>
      </w:r>
    </w:p>
    <w:p>
      <w:pPr>
        <w:spacing w:line="480" w:lineRule="auto"/>
      </w:pPr>
      <w:r/>
    </w:p>
    <w:p>
      <w:pPr>
        <w:spacing w:line="480" w:lineRule="auto"/>
      </w:pPr>
      <w:r>
        <w:rPr>
          <w:rFonts w:ascii="Times New Roman" w:hAnsi="Times New Roman"/>
          <w:sz w:val="24"/>
        </w:rPr>
        <w:t>Thank you for your consideration.</w:t>
      </w:r>
    </w:p>
    <w:p>
      <w:pPr>
        <w:spacing w:line="480" w:lineRule="auto"/>
      </w:pPr>
      <w:r/>
    </w:p>
    <w:p>
      <w:pPr>
        <w:spacing w:line="480" w:lineRule="auto"/>
      </w:pPr>
      <w:r>
        <w:rPr>
          <w:rFonts w:ascii="Times New Roman" w:hAnsi="Times New Roman"/>
          <w:sz w:val="24"/>
        </w:rPr>
        <w:t>Sincerely,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Sudipta Chanda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Email: sudipta.chanda@sakariya.in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