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  <w:b/>
          <w:sz w:val="28"/>
        </w:rPr>
        <w:t>Figure Captions</w:t>
      </w:r>
    </w:p>
    <CT_P>w:p</CT_P>
    <w:p>
      <w:r>
        <w:rPr>
          <w:rFonts w:ascii="Times New Roman" w:hAnsi="Times New Roman"/>
          <w:sz w:val="24"/>
        </w:rPr>
        <w:t>Figure 1. Multi-scale geological context of the Tanga graphite project, Tanzania (national, regional, and local scales). Base regional context after published Tanzania geology compilations; project-scale layers are author compilations from project exploration datasets. Image source file: Figure_1.tif.</w:t>
      </w:r>
    </w:p>
    <w:p>
      <w:r>
        <w:rPr>
          <w:rFonts w:ascii="Times New Roman" w:hAnsi="Times New Roman"/>
          <w:sz w:val="24"/>
        </w:rPr>
        <w:t>Figure 2. Directional experimental variograms and fitted anisotropic model used for SGS (major range 150 m; nugget 0.246; structured sill 0.985). Image source file: Figure_2.tif.</w:t>
      </w:r>
    </w:p>
    <w:p>
      <w:r>
        <w:t>Figure 3. Consistency diagnostic (not standalone predictive validation): histogram agreement between operational reference distribution and SGS outputs for TGC. Image source file: Figure_3.tif.</w:t>
      </w:r>
    </w:p>
    <w:p>
      <w:r>
        <w:t>Figure 4. Consistency diagnostic (not standalone predictive validation): Q-Q agreement between operational reference distribution and SGS outputs for TGC. Image source file: Figure_4.tif.</w:t>
      </w:r>
    </w:p>
    <w:p>
      <w:r>
        <w:t>Figure 5. Predictive/structural diagnostic panels: swath validation in (A) X, (B) Y, and (C) Z directions with SGS P50 and P10-P90 envelopes. Image source file: Figure_5.tif.</w:t>
      </w:r>
    </w:p>
    <w:p>
      <w:r>
        <w:t>Figure 6. Predictive/structural diagnostic: variogram reproduction in matched normal-score space with grade-space view for qualitative context. Image source file: Figure_6.tif.</w:t>
      </w:r>
    </w:p>
    <w:p>
      <w:r>
        <w:rPr>
          <w:rFonts w:ascii="Times New Roman" w:hAnsi="Times New Roman"/>
          <w:sz w:val="24"/>
        </w:rPr>
        <w:t>Figure 7. Cutoff-wise tonnage-risk curve showing P10/P50/P90 envelopes. Image source file: Figure_7.tif.</w:t>
      </w:r>
    </w:p>
    <w:p>
      <w:r>
        <w:rPr>
          <w:rFonts w:ascii="Times New Roman" w:hAnsi="Times New Roman"/>
          <w:sz w:val="24"/>
        </w:rPr>
        <w:t>Figure 8. Domain map with lithology classes and strike-normal section locations (S1-S3). Image source file: Figure_8.tif.</w:t>
      </w:r>
    </w:p>
    <w:p>
      <w:r>
        <w:rPr>
          <w:rFonts w:ascii="Times New Roman" w:hAnsi="Times New Roman"/>
          <w:sz w:val="24"/>
        </w:rPr>
        <w:t>Figure 9. Strike-normal drillhole cross-sections (S1-S3) showing lithology architecture and grade distribution with elevation. Image source file: Figure_9.tif.</w:t>
      </w:r>
    </w:p>
    <w:p>
      <w:r>
        <w:rPr>
          <w:rFonts w:ascii="Times New Roman" w:hAnsi="Times New Roman"/>
          <w:sz w:val="24"/>
        </w:rPr>
        <w:t>Figure 10. Realization convergence at 3% TGC cutoff showing stabilization of P10/P50/P90 from 50 to 400 realizations. Image source file: Figure_10.tif.</w:t>
      </w:r>
    </w:p>
    <w:p>
      <w:r>
        <w:t>Figure 11. Framework contribution figure: audit-oriented SGS workflow architecture from data input and preprocessing to simulation, diagnostics, sensitivity audit, and uncertainty outputs. Image source file: Figure_11.tif.</w:t>
      </w:r>
    </w:p>
    <w:p>
      <w:r>
        <w:t>Figure 12. Framework contribution figure: integrated interpretation and governance chain linking assumptions, diagnostics, DSI/AIR computation, and decision-facing reporting. Image source file: Figure_12.tif.</w:t>
      </w:r>
    </w:p>
    <w:p>
      <w:r>
        <w:t>Figure preparation note: all panels were exported at journal-submission resolution with label sizes chosen for readability at standard single-column rendering.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