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Tables and Table Captions</w:t>
      </w:r>
    </w:p>
    <w:p>
      <w:r>
        <w:rPr>
          <w:rFonts w:ascii="Times New Roman" w:hAnsi="Times New Roman"/>
          <w:sz w:val="24"/>
        </w:rPr>
        <w:t>Table 1. Regional lithological units of the Tanga area within the Mozambique Belt context.</w:t>
      </w:r>
    </w:p>
    <w:p>
      <w:r>
        <w:rPr>
          <w:rFonts w:ascii="Times New Roman" w:hAnsi="Times New Roman"/>
          <w:sz w:val="24"/>
        </w:rPr>
        <w:t>Table 2. Key outcomes snapshot before detailed diagnostics.</w:t>
      </w:r>
    </w:p>
    <w:p>
      <w:r>
        <w:rPr>
          <w:rFonts w:ascii="Times New Roman" w:hAnsi="Times New Roman"/>
          <w:sz w:val="24"/>
        </w:rPr>
        <w:t>Table 3. Simulation configuration.</w:t>
      </w:r>
    </w:p>
    <w:p>
      <w:r>
        <w:rPr>
          <w:rFonts w:ascii="Times New Roman" w:hAnsi="Times New Roman"/>
          <w:sz w:val="24"/>
        </w:rPr>
        <w:t>Table 4. Variogram summary and directional support diagnostics.</w:t>
      </w:r>
    </w:p>
    <w:p>
      <w:r>
        <w:rPr>
          <w:rFonts w:ascii="Times New Roman" w:hAnsi="Times New Roman"/>
          <w:sz w:val="24"/>
        </w:rPr>
        <w:t>Table 5. Validation metrics under diagnostic hierarchy.</w:t>
      </w:r>
    </w:p>
    <w:p>
      <w:r>
        <w:rPr>
          <w:rFonts w:ascii="Times New Roman" w:hAnsi="Times New Roman"/>
          <w:sz w:val="24"/>
        </w:rPr>
        <w:t>Table 6. 3% cutoff risk summary.</w:t>
      </w:r>
    </w:p>
    <w:p>
      <w:r>
        <w:rPr>
          <w:rFonts w:ascii="Times New Roman" w:hAnsi="Times New Roman"/>
          <w:sz w:val="24"/>
        </w:rPr>
        <w:t>Table 7. Core equations and variable definitions.</w:t>
      </w:r>
    </w:p>
    <w:p>
      <w:r>
        <w:rPr>
          <w:rFonts w:ascii="Times New Roman" w:hAnsi="Times New Roman"/>
          <w:sz w:val="24"/>
        </w:rPr>
        <w:t>Table 8. Project QA/QC summary (Tanga drilling program).</w:t>
      </w:r>
    </w:p>
    <w:p>
      <w:r>
        <w:rPr>
          <w:rFonts w:ascii="Times New Roman" w:hAnsi="Times New Roman"/>
          <w:sz w:val="24"/>
        </w:rPr>
        <w:t>Table 9. Benchmark context versus recent studies.</w:t>
      </w:r>
    </w:p>
    <w:p>
      <w:r>
        <w:rPr>
          <w:rFonts w:ascii="Times New Roman" w:hAnsi="Times New Roman"/>
          <w:sz w:val="24"/>
        </w:rPr>
        <w:t>Table 10. Domain sensitivity summary (full-rerun evidence).</w:t>
      </w:r>
    </w:p>
    <w:p>
      <w:r>
        <w:rPr>
          <w:rFonts w:ascii="Times New Roman" w:hAnsi="Times New Roman"/>
          <w:sz w:val="24"/>
        </w:rPr>
        <w:t>Table 11. Cutoff-wise tonnage risk translation.</w:t>
      </w:r>
    </w:p>
    <w:p>
      <w:r>
        <w:rPr>
          <w:rFonts w:ascii="Times New Roman" w:hAnsi="Times New Roman"/>
          <w:sz w:val="24"/>
        </w:rPr>
        <w:t>Table 12. Distribution-calibration sensitivity (consistency diagnostics).</w:t>
      </w:r>
    </w:p>
    <w:p>
      <w:r>
        <w:rPr>
          <w:rFonts w:ascii="Times New Roman" w:hAnsi="Times New Roman"/>
          <w:sz w:val="24"/>
        </w:rPr>
        <w:t>Supplementary Table S3 (moved from former Table 13). Top-cut sensitivity (downstream-risk impact) with full raw scenario rows.</w:t>
      </w:r>
    </w:p>
    <w:p>
      <w:r>
        <w:rPr>
          <w:rFonts w:ascii="Times New Roman" w:hAnsi="Times New Roman"/>
          <w:sz w:val="24"/>
        </w:rPr>
        <w:t>Supplementary Table S4 (moved from former Table 14). Lithology-wise grade distribution statistics for modeled graphitic domains.</w:t>
      </w:r>
    </w:p>
    <w:p>
      <w:r>
        <w:rPr>
          <w:rFonts w:ascii="Times New Roman" w:hAnsi="Times New Roman"/>
          <w:sz w:val="24"/>
        </w:rPr>
        <w:t>Table 15. Variogram transparency summary with directional settings, pair counts, occupancy, and support diagnostics.</w:t>
      </w:r>
    </w:p>
    <w:p>
      <w:r>
        <w:rPr>
          <w:rFonts w:ascii="Times New Roman" w:hAnsi="Times New Roman"/>
          <w:sz w:val="24"/>
        </w:rPr>
        <w:t>Supplementary Table S5 (moved from former Table 16). Realization-convergence raw table at 3% TGC cutoff (50-400 realizations).</w:t>
      </w:r>
    </w:p>
    <w:p>
      <w:r>
        <w:rPr>
          <w:rFonts w:ascii="Times New Roman" w:hAnsi="Times New Roman"/>
          <w:sz w:val="24"/>
        </w:rPr>
        <w:t>Table 17. Methodological novelty matrix relative to routine SGS studies.</w:t>
      </w:r>
    </w:p>
    <w:p>
      <w:r>
        <w:t>Table 18. Assumption Impact Ranking (AIR) main-effect ranking based on predictive diagnostics only; pairwise interactions are reported separately in Supplementary Table S7.</w:t>
      </w:r>
    </w:p>
    <w:p>
      <w:r>
        <w:rPr>
          <w:rFonts w:ascii="Times New Roman" w:hAnsi="Times New Roman"/>
          <w:sz w:val="24"/>
        </w:rPr>
        <w:t>Table 19. Diagnostic Separation Index (DSI) robustness summary: Pearson and Spearman variants with bootstrap confidence intervals.</w:t>
      </w:r>
    </w:p>
    <w:p>
      <w:r>
        <w:rPr>
          <w:rFonts w:ascii="Times New Roman" w:hAnsi="Times New Roman"/>
          <w:sz w:val="24"/>
        </w:rPr>
        <w:t>Table 20. Uncertainty-propagation matrix linking assumptions, diagnostics, and decision metrics with normalized contribution paths.</w:t>
      </w:r>
    </w:p>
    <w:p>
      <w:r>
        <w:rPr>
          <w:rFonts w:ascii="Times New Roman" w:hAnsi="Times New Roman"/>
          <w:sz w:val="24"/>
        </w:rPr>
        <w:t>Supplementary Table S6. DSI bootstrap rows (B = 1000) for Pearson and Spearman variants.</w:t>
      </w:r>
    </w:p>
    <w:p>
      <w:r>
        <w:t>Supplementary Table S7. Pairwise interaction screening effect sizes for domain x variogram, domain x neighborhood, and trend x domain based on n_real=50 reruns.</w:t>
      </w:r>
    </w:p>
    <w:p>
      <w:r>
        <w:rPr>
          <w:rFonts w:ascii="Times New Roman" w:hAnsi="Times New Roman"/>
          <w:sz w:val="24"/>
        </w:rPr>
        <w:t>Supplementary Table S8. Detailed uncertainty-propagation matrix values by assumption and metric.</w:t>
      </w:r>
    </w:p>
    <w:p>
      <w:r>
        <w:rPr>
          <w:rFonts w:ascii="Times New Roman" w:hAnsi="Times New Roman"/>
          <w:sz w:val="24"/>
        </w:rPr>
        <w:t>Supplementary Table S9. Synthetic benchmark expected outputs and SHA256 checksum verification table.</w:t>
      </w:r>
    </w:p>
    <w:p>
      <w:r>
        <w:rPr>
          <w:rFonts w:ascii="Times New Roman" w:hAnsi="Times New Roman"/>
          <w:sz w:val="24"/>
        </w:rPr>
        <w:t>Supplementary Table S10. AIR leave-one-metric-out rank-stability results for predictive metrics (Swath X, Swath Y, Swath Z, and risk width at 3% cutoff).</w:t>
      </w:r>
    </w:p>
    <w:p>
      <w:r>
        <w:t>Supplementary Table S10 summary. Rank-span summary for AIR main-effect assumptions across leave-one-metric-out reruns, highlighting robust top-rank assumptions.</w:t>
      </w:r>
    </w:p>
    <w:p>
      <w:r>
        <w:t>Supplementary Table S11. DSI robustness under alternative aggregation and weighting choices, including median aggregation and leave-one-metric-out recomputation.</w:t>
      </w:r>
    </w:p>
    <w:p>
      <w:r>
        <w:t>Supplementary Table S12. Synthetic proof-of-behavior scenarios for DSI and AIR with expected ordering under high, partial, and reduced coupling designs.</w:t>
      </w:r>
    </w:p>
    <w:p>
      <w:r>
        <w:t>Supplementary Table S13. Predictive and consistency metric inclusion map (orientation, transformation, and DSI/AIR inclusion rationale).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