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r>
        <w:rPr>
          <w:rFonts w:ascii="Times New Roman" w:hAnsi="Times New Roman"/>
          <w:sz w:val="24"/>
        </w:rPr>
        <w:t>An Auditable SGS Uncertainty Framework with Diagnostic Separation and Assumption Impact Ranking</w:t>
      </w:r>
    </w:p>
    <w:p>
      <w:pPr>
        <w:spacing w:line="480" w:lineRule="auto"/>
      </w:pPr>
      <w:r>
        <w:rPr>
          <w:rFonts w:ascii="Times New Roman" w:hAnsi="Times New Roman"/>
          <w:sz w:val="24"/>
        </w:rPr>
        <w:t>Sudipta Chanda</w:t>
      </w:r>
    </w:p>
    <w:p>
      <w:pPr>
        <w:spacing w:line="480" w:lineRule="auto"/>
      </w:pPr>
      <w:r>
        <w:rPr>
          <w:rFonts w:ascii="Times New Roman" w:hAnsi="Times New Roman"/>
          <w:sz w:val="24"/>
        </w:rPr>
        <w:t>Sakariya Mines and Minerals, 1402 Ecostation Business Tower, Newtown, Rajarhat, Kolkata, West Bengal 700160</w:t>
      </w:r>
    </w:p>
    <w:p>
      <w:pPr>
        <w:spacing w:line="480" w:lineRule="auto"/>
      </w:pPr>
      <w:r>
        <w:rPr>
          <w:rFonts w:ascii="Times New Roman" w:hAnsi="Times New Roman"/>
          <w:sz w:val="24"/>
        </w:rPr>
        <w:t>Corresponding Author: Sudipta Chanda</w:t>
      </w:r>
    </w:p>
    <w:p>
      <w:pPr>
        <w:spacing w:line="480" w:lineRule="auto"/>
      </w:pPr>
      <w:r>
        <w:rPr>
          <w:rFonts w:ascii="Times New Roman" w:hAnsi="Times New Roman"/>
          <w:sz w:val="24"/>
        </w:rPr>
        <w:t>Corresponding Author email: sudipta.chanda@sakariya.in</w:t>
      </w:r>
    </w:p>
    <w:p>
      <w:pPr>
        <w:pStyle w:val="Heading1"/>
        <w:spacing w:line="480" w:lineRule="auto"/>
      </w:pPr>
      <w:r>
        <w:rPr>
          <w:rFonts w:ascii="Times New Roman" w:hAnsi="Times New Roman"/>
          <w:b/>
          <w:sz w:val="28"/>
        </w:rPr>
        <w:t>Abstract</w:t>
      </w:r>
    </w:p>
    <w:p>
      <w:pPr>
        <w:spacing w:line="480" w:lineRule="auto"/>
      </w:pPr>
      <w:r>
        <w:rPr>
          <w:rFonts w:ascii="Times New Roman" w:hAnsi="Times New Roman"/>
          <w:sz w:val="24"/>
        </w:rPr>
        <w:t>Purpose: Develop an auditable uncertainty-governance framework for Sequential Gaussian Simulation (SGS) that separates predictive evidence from calibration-sensitive diagnostics. Methods: Implement a diagnostic hierarchy, a Diagnostic Separation Index (DSI), and an Assumption Impact Ranking (AIR) on a stratiform graphite exploration dataset from northeastern Tanzania (100 drillholes, 7 872.27 m assays, 3 506 composites, 400 realizations). Results: Predictive diagnostics indicate stronger strike and down-dip continuity and weaker normal-direction support; domain and variogram-neighborhood assumptions dominate predictive uncertainty; scenario scaling is secondary. Conclusions: The framework is designed for reproducible deployment across deposits by replacing geology-specific inputs while retaining the same diagnostic-governance structure. The framework is implemented with open code and explicit reporting templates.</w:t>
      </w:r>
    </w:p>
    <w:p>
      <w:pPr>
        <w:spacing w:line="480" w:lineRule="auto"/>
      </w:pPr>
      <w:r>
        <w:rPr>
          <w:rFonts w:ascii="Times New Roman" w:hAnsi="Times New Roman"/>
          <w:sz w:val="24"/>
        </w:rPr>
        <w:t>Keywords: sequential Gaussian simulation; uncertainty quantification; spatial validation; sensitivity analysis; geostatistics; mineral exploration</w:t>
      </w:r>
    </w:p>
    <w:p>
      <w:pPr>
        <w:pStyle w:val="Heading1"/>
        <w:spacing w:line="480" w:lineRule="auto"/>
      </w:pPr>
      <w:r>
        <w:rPr>
          <w:rFonts w:ascii="Times New Roman" w:hAnsi="Times New Roman"/>
          <w:b/>
          <w:sz w:val="28"/>
        </w:rPr>
        <w:t>1. Introduction</w:t>
      </w:r>
    </w:p>
    <w:p>
      <w:pPr>
        <w:spacing w:line="480" w:lineRule="auto"/>
      </w:pPr>
      <w:r>
        <w:rPr>
          <w:rFonts w:ascii="Times New Roman" w:hAnsi="Times New Roman"/>
          <w:sz w:val="24"/>
        </w:rPr>
        <w:t>Sequential Gaussian simulation (SGS) is widely used for uncertainty characterization in mineral and geoscience modeling. However, many applied studies still conflate calibration-sensitive distribution checks with predictive performance evidence, making uncertainty interpretation vulnerable to circular validation logic. In operational settings, this limitation propagates into screening decisions because multiple diagnostics may improve simultaneously due to common preprocessing choices rather than truly predictive evidence with reduced coupling (Bai and Tahmasebi, 2022; Wadoux et al., 2021; Hoyer et al., 2024).</w:t>
      </w:r>
    </w:p>
    <w:p>
      <w:pPr>
        <w:spacing w:line="480" w:lineRule="auto"/>
      </w:pPr>
      <w:r>
        <w:rPr>
          <w:rFonts w:ascii="Times New Roman" w:hAnsi="Times New Roman"/>
          <w:sz w:val="24"/>
        </w:rPr>
        <w:t>This manuscript addresses that gap by treating uncertainty reporting as an auditable governance problem rather than only a simulation execution problem. The Tanzania graphite dataset is used as a geological testbed for framework implementation, while the primary contribution is a computational structure designed for transferability across deposits with different geology-specific parameter values (Razavi and Gupta, 2016a, 2016b; Yang et al., 2020; Juang et al., 2019).</w:t>
      </w:r>
    </w:p>
    <w:p>
      <w:pPr>
        <w:spacing w:line="480" w:lineRule="auto"/>
      </w:pPr>
      <w:r>
        <w:rPr>
          <w:rFonts w:ascii="Times New Roman" w:hAnsi="Times New Roman"/>
          <w:sz w:val="24"/>
        </w:rPr>
        <w:t>This study introduces an auditable uncertainty-governance framework for SGS. The framework contributes three methodological elements: (1) a diagnostic hierarchy separating calibration-sensitive checks from predictive diagnostics; (2) a quantitative Diagnostic Separation Index (DSI) to evaluate separation between consistency diagnostics and predictive evidence; and (3) an Assumption Impact Ranking (AIR) metric that identifies which modeling assumptions most strongly influence predictive uncertainty. Together these elements provide a reproducible uncertainty auditing structure for SGS workflows that is structured to support transfer across mineral exploration datasets.</w:t>
      </w:r>
    </w:p>
    <w:p>
      <w:pPr>
        <w:pStyle w:val="Heading1"/>
        <w:spacing w:line="480" w:lineRule="auto"/>
      </w:pPr>
      <w:r>
        <w:rPr>
          <w:rFonts w:ascii="Times New Roman" w:hAnsi="Times New Roman"/>
          <w:b/>
          <w:sz w:val="28"/>
        </w:rPr>
        <w:t>2. Framework Overview</w:t>
      </w:r>
    </w:p>
    <w:p>
      <w:pPr>
        <w:pStyle w:val="Heading2"/>
        <w:spacing w:line="480" w:lineRule="auto"/>
      </w:pPr>
      <w:r>
        <w:rPr>
          <w:rFonts w:ascii="Times New Roman" w:hAnsi="Times New Roman"/>
          <w:b/>
          <w:sz w:val="24"/>
        </w:rPr>
        <w:t>2.1 Diagnostic hierarchy</w:t>
      </w:r>
    </w:p>
    <w:p>
      <w:pPr>
        <w:spacing w:line="480" w:lineRule="auto"/>
      </w:pPr>
      <w:r>
        <w:rPr>
          <w:rFonts w:ascii="Times New Roman" w:hAnsi="Times New Roman"/>
          <w:sz w:val="24"/>
        </w:rPr>
        <w:t>The framework separates diagnostics into two evidence classes. Primary predictive diagnostics include blocked spatial cross-validation, directional support diagnostics, and structurally informed continuity checks. Secondary consistency diagnostics include histogram and Q-Q reproduction, which are retained as calibration checks but not used as standalone evidence of predictive reliability. This separation follows the principle that model realism at distribution level is necessary but not sufficient for predictive confidence (Wadoux et al., 2021; Hoyer et al., 2024).</w:t>
      </w:r>
    </w:p>
    <w:p>
      <w:pPr>
        <w:pStyle w:val="Heading2"/>
        <w:spacing w:line="480" w:lineRule="auto"/>
      </w:pPr>
      <w:r>
        <w:rPr>
          <w:rFonts w:ascii="Times New Roman" w:hAnsi="Times New Roman"/>
          <w:b/>
          <w:sz w:val="24"/>
        </w:rPr>
        <w:t>2.2 Sensitivity auditing concept</w:t>
      </w:r>
    </w:p>
    <w:p>
      <w:pPr>
        <w:spacing w:line="480" w:lineRule="auto"/>
      </w:pPr>
      <w:r>
        <w:rPr>
          <w:rFonts w:ascii="Times New Roman" w:hAnsi="Times New Roman"/>
          <w:sz w:val="24"/>
        </w:rPr>
        <w:t>Each high-leverage assumption is treated as a testable hypothesis and rerun through full predictive diagnostics: domaining, variogram-neighborhood settings, top-cut policy, trend handling, and scenario translation assumptions. Sensitivity outcomes are interpreted by diagnostic response patterns rather than by single-metric shifts, aligning with robust global sensitivity perspectives in uncertainty science (Razavi and Gupta, 2016a, 2016b; Shin and Jung, 2022).</w:t>
      </w:r>
    </w:p>
    <w:p>
      <w:pPr>
        <w:spacing w:line="480" w:lineRule="auto"/>
      </w:pPr>
      <w:r>
        <w:rPr>
          <w:rFonts w:ascii="Times New Roman" w:hAnsi="Times New Roman"/>
          <w:sz w:val="24"/>
        </w:rPr>
        <w:t>Conventional SGS studies often report multiple diagnostics but rarely evaluate whether those diagnostics provide separated evidence classes. Calibration-sensitive metrics may improve simultaneously with predictive metrics because both inherit shared preprocessing and parameterization decisions. The Diagnostic Separation Index (DSI) quantifies coupling reduction between consistency and predictive diagnostics across sensitivity experiments.</w:t>
      </w:r>
    </w:p>
    <w:p>
      <w:pPr>
        <w:spacing w:line="480" w:lineRule="auto"/>
      </w:pPr>
      <w:r>
        <w:rPr>
          <w:rFonts w:ascii="Times New Roman" w:hAnsi="Times New Roman"/>
          <w:sz w:val="24"/>
        </w:rPr>
        <w:t>2.2.0 Construction of diagnostic response vectors for DSI</w:t>
      </w:r>
    </w:p>
    <w:p>
      <w:pPr>
        <w:spacing w:line="480" w:lineRule="auto"/>
      </w:pPr>
      <w:r>
        <w:rPr>
          <w:rFonts w:ascii="Times New Roman" w:hAnsi="Times New Roman"/>
          <w:sz w:val="24"/>
        </w:rPr>
        <w:t>For each sensitivity scenario s, consistency diagnostics C include histogram overlap and Q-Q RMSE (and other calibration-sensitive distribution metrics when available). Predictive diagnostics P include blocked CV ME/MAE/RMSE, directional swath summaries, and variogram-reproduction RMSE.</w:t>
      </w:r>
    </w:p>
    <w:p>
      <w:pPr>
        <w:spacing w:line="480" w:lineRule="auto"/>
      </w:pPr>
      <w:r>
        <w:rPr>
          <w:rFonts w:ascii="Times New Roman" w:hAnsi="Times New Roman"/>
          <w:sz w:val="24"/>
        </w:rPr>
        <w:t>Each metric is oriented so interpretation is consistent (higher means stronger diagnostic response), standardized as z-scores across scenarios, and aggregated with equal weights: C_s = mean(z_consistency,s), P_s = mean(z_predictive,s). Error metrics are sign-reversed before aggregation.</w:t>
      </w:r>
    </w:p>
    <w:p>
      <w:pPr>
        <w:spacing w:line="480" w:lineRule="auto"/>
      </w:pPr>
      <w:r>
        <w:rPr>
          <w:rFonts w:ascii="Times New Roman" w:hAnsi="Times New Roman"/>
          <w:sz w:val="24"/>
        </w:rPr>
        <w:t>2.2.1 DSI definition, limitation, and robustness</w:t>
      </w:r>
    </w:p>
    <w:p>
      <w:pPr/>
      <w:r>
        <w:rPr>
          <w:rFonts w:ascii="Times New Roman" w:hAnsi="Times New Roman"/>
          <w:sz w:val="24"/>
        </w:rPr>
        <w:t>For N sensitivity scenarios, with scenario-level aggregated responses C_s and P_s, DSI is defined as DSI = 1 - |rho(C,P)|, where rho is Pearson correlation between C and P across scenarios. DSI close to 1 indicates reduced coupling between diagnostic classes; DSI close to 0 indicates stronger coupling and higher risk of circular interpretation.</w:t>
      </w:r>
    </w:p>
    <w:p>
      <w:pPr/>
      <w:r>
        <w:rPr>
          <w:rFonts w:ascii="Times New Roman" w:hAnsi="Times New Roman"/>
          <w:sz w:val="24"/>
        </w:rPr>
        <w:t>DSI measures separation in scenario-level diagnostic response patterns and should not be interpreted as a formal statistical test of independence.</w:t>
      </w:r>
    </w:p>
    <w:p>
      <w:pPr/>
      <w:r>
        <w:rPr>
          <w:rFonts w:ascii="Times New Roman" w:hAnsi="Times New Roman"/>
          <w:sz w:val="24"/>
        </w:rPr>
        <w:t>DSI robustness is evaluated with a rank-based counterpart, DSI_S = 1 - |rho_S(C,P)|, and bootstrap confidence intervals (B = 1000; fixed random seed) under scenario resampling. Pearson quantifies linear coupling; Spearman quantifies rank-order coupling; bootstrap intervals quantify sensitivity to scenario resampling. None of these establish causal separation.</w:t>
      </w:r>
    </w:p>
    <w:p>
      <w:pPr/>
      <w:r>
        <w:rPr>
          <w:rFonts w:ascii="Times New Roman" w:hAnsi="Times New Roman"/>
          <w:sz w:val="24"/>
        </w:rPr>
        <w:t>A high DSI with similar Pearson- and Spearman-based variants suggests stable diagnostic separation across reruns, while wide bootstrap intervals indicate weak support under limited scenario count. Table 19 reports DSI_P and DSI_S, and Supplementary Table S6 provides bootstrap rows.</w:t>
      </w:r>
    </w:p>
    <w:p>
      <w:pPr/>
      <w:r>
        <w:rPr>
          <w:rFonts w:ascii="Times New Roman" w:hAnsi="Times New Roman"/>
          <w:sz w:val="24"/>
        </w:rPr>
        <w:t>2.2.2 AIR effect-size construction and normalization</w:t>
      </w:r>
    </w:p>
    <w:p>
      <w:pPr/>
      <w:r>
        <w:rPr>
          <w:rFonts w:ascii="Times New Roman" w:hAnsi="Times New Roman"/>
          <w:sz w:val="24"/>
        </w:rPr>
        <w:t>AIR uses predictive diagnostics only (blocked CV error metrics, directional swath summaries, variogram-reproduction RMSE, and decision-facing risk-width diagnostics). Calibration-only diagnostics (histogram overlap and Q-Q RMSE) are excluded from AIR by design.</w:t>
      </w:r>
    </w:p>
    <w:p>
      <w:pPr/>
      <w:r>
        <w:rPr>
          <w:rFonts w:ascii="Times New Roman" w:hAnsi="Times New Roman"/>
          <w:sz w:val="24"/>
        </w:rPr>
        <w:t>For each assumption j, a baseline run and altered run are paired. Diagnostic deltas are computed per predictive metric, standardized across assumptions, aggregated to Delta_j using absolute standardized shifts, and normalized as AIR_j = Delta_j / sum_k Delta_k with sum_j AIR_j = 1. Equal weighting is used across included predictive diagnostics unless explicitly stated otherwise.</w:t>
      </w:r>
    </w:p>
    <w:p>
      <w:r/>
    </w:p>
    <w:p>
      <w:r/>
    </w:p>
    <w:p>
      <w:r/>
    </w:p>
    <w:p>
      <w:pPr/>
      <w:r/>
    </w:p>
    <w:p>
      <w:pPr/>
      <w:r/>
    </w:p>
    <w:p>
      <w:pPr>
        <w:pStyle w:val="Heading2"/>
      </w:pPr>
      <w:r/>
    </w:p>
    <w:p>
      <w:pPr/>
      <w:r/>
    </w:p>
    <w:p>
      <w:pPr/>
      <w:r/>
    </w:p>
    <w:p>
      <w:pPr/>
      <w:r/>
    </w:p>
    <w:p>
      <w:pPr/>
      <w:r/>
    </w:p>
    <w:p>
      <w:pPr>
        <w:pStyle w:val="Heading2"/>
      </w:pPr>
      <w:r/>
    </w:p>
    <w:p>
      <w:pPr/>
      <w:r/>
    </w:p>
    <w:p>
      <w:pPr/>
      <w:r/>
    </w:p>
    <w:p>
      <w:pPr>
        <w:pStyle w:val="Heading2"/>
      </w:pPr>
      <w:r/>
    </w:p>
    <w:p>
      <w:pPr>
        <w:pStyle w:val="Heading2"/>
        <w:spacing w:line="480" w:lineRule="auto"/>
      </w:pPr>
      <w:r>
        <w:rPr>
          <w:rFonts w:ascii="Times New Roman" w:hAnsi="Times New Roman"/>
          <w:b/>
          <w:sz w:val="24"/>
        </w:rPr>
        <w:t>2.3 Computational workflow</w:t>
      </w:r>
    </w:p>
    <w:p>
      <w:pPr>
        <w:spacing w:line="480" w:lineRule="auto"/>
      </w:pPr>
      <w:r>
        <w:rPr>
          <w:rFonts w:ascii="Times New Roman" w:hAnsi="Times New Roman"/>
          <w:sz w:val="24"/>
        </w:rPr>
        <w:t>The computational workflow (Figure 11) links input validation, preprocessing, variography, SGS simulation, diagnostic evaluation, sensitivity reruns, and decision-facing uncertainty outputs. The interpretation and innovation chain (Figure 12) connects assumptions to diagnostics, DSI/AIR computation, and auditable decision signals. This places the case study after framework definition and keeps methodological novelty explicit in the first part of the manuscript (Koldasbayeva et al., 2024; Barnett et al., 2026).</w:t>
      </w:r>
    </w:p>
    <w:p>
      <w:pPr>
        <w:pStyle w:val="Heading1"/>
        <w:spacing w:line="480" w:lineRule="auto"/>
      </w:pPr>
      <w:r>
        <w:rPr>
          <w:rFonts w:ascii="Times New Roman" w:hAnsi="Times New Roman"/>
          <w:b/>
          <w:sz w:val="28"/>
        </w:rPr>
        <w:t>3. Geological Context and Data Support</w:t>
      </w:r>
    </w:p>
    <w:p>
      <w:pPr>
        <w:spacing w:line="480" w:lineRule="auto"/>
      </w:pPr>
      <w:r>
        <w:rPr>
          <w:rFonts w:ascii="Times New Roman" w:hAnsi="Times New Roman"/>
          <w:sz w:val="24"/>
        </w:rPr>
        <w:t>The deposit is modeled as a stratiform graphitic schist system within the East African Orogen framework. Geological context is retained only where it constrains modeling assumptions. The dominant graphitic lithology family supports domain-focused continuity modeling, while secondary units explain local heterogeneity and continuity breaks (Sommer and Kroner, 2013; Thomas et al., 2014).</w:t>
      </w:r>
    </w:p>
    <w:p>
      <w:pPr>
        <w:spacing w:line="480" w:lineRule="auto"/>
      </w:pPr>
      <w:r>
        <w:rPr>
          <w:rFonts w:ascii="Times New Roman" w:hAnsi="Times New Roman"/>
          <w:sz w:val="24"/>
        </w:rPr>
        <w:t>Lithology distribution from validated drilling shows graphitic units as the principal support for SGS domaining, with subordinate quartzitic and mafic intervals acting as local modifiers rather than primary volumetric controls. Drilling geometry is sufficient for directional interpretation along strike and down-dip but weaker in the normal direction, which is carried forward as the main structural uncertainty axis.</w:t>
      </w:r>
    </w:p>
    <w:p>
      <w:pPr>
        <w:spacing w:line="480" w:lineRule="auto"/>
      </w:pPr>
      <w:r>
        <w:rPr>
          <w:rFonts w:ascii="Times New Roman" w:hAnsi="Times New Roman"/>
          <w:sz w:val="24"/>
        </w:rPr>
        <w:t>Directional anisotropy assumptions are therefore geologically justified by mapped architecture and data support density rather than imposed as unconstrained tuning choices. This evidence-bounded geological framing is used to support variogram orientation, neighborhood design, and sensitivity priorities in subsequent sections.</w:t>
      </w:r>
    </w:p>
    <w:p>
      <w:pPr>
        <w:pStyle w:val="Heading1"/>
        <w:spacing w:line="480" w:lineRule="auto"/>
      </w:pPr>
      <w:r>
        <w:rPr>
          <w:rFonts w:ascii="Times New Roman" w:hAnsi="Times New Roman"/>
          <w:b/>
          <w:sz w:val="28"/>
        </w:rPr>
        <w:t>4. Methodology Implementation</w:t>
      </w:r>
    </w:p>
    <w:p>
      <w:pPr>
        <w:pStyle w:val="Heading2"/>
        <w:spacing w:line="480" w:lineRule="auto"/>
      </w:pPr>
      <w:r>
        <w:rPr>
          <w:rFonts w:ascii="Times New Roman" w:hAnsi="Times New Roman"/>
          <w:b/>
          <w:sz w:val="24"/>
        </w:rPr>
        <w:t>4.1 Preprocessing</w:t>
      </w:r>
    </w:p>
    <w:p>
      <w:pPr>
        <w:spacing w:line="480" w:lineRule="auto"/>
      </w:pPr>
      <w:r>
        <w:rPr>
          <w:rFonts w:ascii="Times New Roman" w:hAnsi="Times New Roman"/>
          <w:sz w:val="24"/>
        </w:rPr>
        <w:t>Validated inputs include collars, surveys, assays, and lithology for 100 drillholes. Assays were desurveyed using minimum curvature and composited to 2 m support. Declustering and normal-score transformation were applied using standard SGS practice to reduce sampling bias and stabilize Gaussian-space simulation behavior (Deutsch and Journel, 1998; Goovaerts, 1997).</w:t>
      </w:r>
    </w:p>
    <w:p>
      <w:pPr>
        <w:spacing w:line="480" w:lineRule="auto"/>
      </w:pPr>
      <w:r>
        <w:rPr>
          <w:rFonts w:ascii="Times New Roman" w:hAnsi="Times New Roman"/>
          <w:sz w:val="24"/>
        </w:rPr>
        <w:t>Trend handling was applied as a first-order z-direction detrending screen and evaluated through predictive sensitivity reruns rather than accepted by default. This preserves transparency between preprocessing choices and downstream uncertainty effects.</w:t>
      </w:r>
    </w:p>
    <w:p>
      <w:pPr>
        <w:pStyle w:val="Heading2"/>
        <w:spacing w:line="480" w:lineRule="auto"/>
      </w:pPr>
      <w:r>
        <w:rPr>
          <w:rFonts w:ascii="Times New Roman" w:hAnsi="Times New Roman"/>
          <w:b/>
          <w:sz w:val="24"/>
        </w:rPr>
        <w:t>4.2 Variography</w:t>
      </w:r>
    </w:p>
    <w:p>
      <w:pPr>
        <w:spacing w:line="480" w:lineRule="auto"/>
      </w:pPr>
      <w:r>
        <w:rPr>
          <w:rFonts w:ascii="Times New Roman" w:hAnsi="Times New Roman"/>
          <w:sz w:val="24"/>
        </w:rPr>
        <w:t>Directional variograms were modeled in normal-score space with geological orientation constraints. The selected pilot model is an exponential structure with major range 150 m, nugget 0.246, and structured sill 0.985. Pair-support and occupancy diagnostics are reported in Table 4 and Table 15 to avoid over-interpretation where lag support is weak.</w:t>
      </w:r>
    </w:p>
    <w:p>
      <w:pPr>
        <w:spacing w:line="480" w:lineRule="auto"/>
      </w:pPr>
      <w:r>
        <w:rPr>
          <w:rFonts w:ascii="Times New Roman" w:hAnsi="Times New Roman"/>
          <w:sz w:val="24"/>
        </w:rPr>
        <w:t>Continuity interpretation is strongest along strike and down-dip and least constrained in the normal direction. To avoid false precision, range selection is interpreted as screening-stable under current support, not as unique geological truth (Delbari et al., 2009; Parysow et al., 2003; Soares et al., 2023).</w:t>
      </w:r>
    </w:p>
    <w:p>
      <w:pPr>
        <w:pStyle w:val="Heading2"/>
        <w:spacing w:line="480" w:lineRule="auto"/>
      </w:pPr>
      <w:r>
        <w:rPr>
          <w:rFonts w:ascii="Times New Roman" w:hAnsi="Times New Roman"/>
          <w:b/>
          <w:sz w:val="24"/>
        </w:rPr>
        <w:t>4.3 SGS configuration</w:t>
      </w:r>
    </w:p>
    <w:p>
      <w:pPr>
        <w:spacing w:line="480" w:lineRule="auto"/>
      </w:pPr>
      <w:r>
        <w:rPr>
          <w:rFonts w:ascii="Times New Roman" w:hAnsi="Times New Roman"/>
          <w:sz w:val="24"/>
        </w:rPr>
        <w:t>A pilot grid of 100 m x 100 m x 10 m was simulated with 400 conditional realizations. Core configuration is summarized in Table 3, while convergence behavior remains documented through retained diagnostics. Outputs are reported primarily as unscaled simulation evidence; scenario translations are explicitly separated from core geostatistical outputs.</w:t>
      </w:r>
    </w:p>
    <w:p>
      <w:pPr>
        <w:pStyle w:val="Heading1"/>
        <w:spacing w:line="480" w:lineRule="auto"/>
      </w:pPr>
      <w:r>
        <w:rPr>
          <w:rFonts w:ascii="Times New Roman" w:hAnsi="Times New Roman"/>
          <w:b/>
          <w:sz w:val="28"/>
        </w:rPr>
        <w:t>5. Diagnostics and Validation</w:t>
      </w:r>
    </w:p>
    <w:p>
      <w:pPr>
        <w:spacing w:line="480" w:lineRule="auto"/>
      </w:pPr>
      <w:r>
        <w:rPr>
          <w:rFonts w:ascii="Times New Roman" w:hAnsi="Times New Roman"/>
          <w:sz w:val="24"/>
        </w:rPr>
        <w:t>Predictive diagnostics are prioritized over calibration-sensitive checks. Blocked spatial CV is treated as primary evidence because it tests predictive behavior under spatial separation. Structural diagnostics include directional swath behavior and variogram reproduction consistency under modeled anisotropy. Distribution checks (histogram, Q-Q) are retained as secondary consistency tests only.</w:t>
      </w:r>
    </w:p>
    <w:p>
      <w:pPr>
        <w:spacing w:line="480" w:lineRule="auto"/>
      </w:pPr>
      <w:r>
        <w:rPr>
          <w:rFonts w:ascii="Times New Roman" w:hAnsi="Times New Roman"/>
          <w:sz w:val="24"/>
        </w:rPr>
        <w:t>This organization reduces circular interpretation risk and makes the evidence hierarchy explicit: good distributional fit alone cannot substitute for predictive validation. Table 5 summarizes diagnostics under this hierarchy.</w:t>
      </w:r>
    </w:p>
    <w:p>
      <w:pPr>
        <w:pStyle w:val="Heading1"/>
        <w:spacing w:line="480" w:lineRule="auto"/>
      </w:pPr>
      <w:r>
        <w:rPr>
          <w:rFonts w:ascii="Times New Roman" w:hAnsi="Times New Roman"/>
          <w:b/>
          <w:sz w:val="28"/>
        </w:rPr>
        <w:t>6. Sensitivity Analysis</w:t>
      </w:r>
    </w:p>
    <w:p>
      <w:pPr>
        <w:pStyle w:val="Heading2"/>
        <w:spacing w:line="480" w:lineRule="auto"/>
      </w:pPr>
      <w:r>
        <w:rPr>
          <w:rFonts w:ascii="Times New Roman" w:hAnsi="Times New Roman"/>
          <w:b/>
          <w:sz w:val="24"/>
        </w:rPr>
        <w:t>6.1 Domain sensitivity</w:t>
      </w:r>
    </w:p>
    <w:p>
      <w:pPr>
        <w:spacing w:line="480" w:lineRule="auto"/>
      </w:pPr>
      <w:r>
        <w:rPr>
          <w:rFonts w:ascii="Times New Roman" w:hAnsi="Times New Roman"/>
          <w:sz w:val="24"/>
        </w:rPr>
        <w:t>Combined-domain and split-domain reruns show meaningful predictive differences, confirming that domain definition is a high-impact assumption. Under current support, combined-domain execution is retained as a pilot baseline, while split-domain behavior is treated as evidence that denser data may justify mandatory domain separation in future updates. Domain sensitivity outcomes are retained in Table 10 and are central to AIR ranking.</w:t>
      </w:r>
    </w:p>
    <w:p>
      <w:pPr>
        <w:pStyle w:val="Heading2"/>
        <w:spacing w:line="480" w:lineRule="auto"/>
      </w:pPr>
      <w:r>
        <w:rPr>
          <w:rFonts w:ascii="Times New Roman" w:hAnsi="Times New Roman"/>
          <w:b/>
          <w:sz w:val="24"/>
        </w:rPr>
        <w:t>6.2 Top-cut sensitivity</w:t>
      </w:r>
    </w:p>
    <w:p>
      <w:pPr>
        <w:spacing w:line="480" w:lineRule="auto"/>
      </w:pPr>
      <w:r>
        <w:rPr>
          <w:rFonts w:ascii="Times New Roman" w:hAnsi="Times New Roman"/>
          <w:sz w:val="24"/>
        </w:rPr>
        <w:t>Top-cut reruns were executed for predictive impact assessment. Detailed raw sensitivity rows are moved to Supplementary Table S3 (former Table 13). Main-text interpretation is limited to decision-relevant impact: under tested cutoffs, top-cut changes were minor relative to domain and variogram-neighborhood assumptions.</w:t>
      </w:r>
    </w:p>
    <w:p>
      <w:pPr>
        <w:pStyle w:val="Heading2"/>
        <w:spacing w:line="480" w:lineRule="auto"/>
      </w:pPr>
      <w:r>
        <w:rPr>
          <w:rFonts w:ascii="Times New Roman" w:hAnsi="Times New Roman"/>
          <w:b/>
          <w:sz w:val="24"/>
        </w:rPr>
        <w:t>6.3 Scenario scaling</w:t>
      </w:r>
    </w:p>
    <w:p>
      <w:pPr>
        <w:spacing w:line="480" w:lineRule="auto"/>
      </w:pPr>
      <w:r>
        <w:rPr>
          <w:rFonts w:ascii="Times New Roman" w:hAnsi="Times New Roman"/>
          <w:sz w:val="24"/>
        </w:rPr>
        <w:t>For each cutoff, gross mass is derived from unscaled simulation exceedance volumes and density. A scenario-scaled mass is then computed using a screening coefficient f_v = 0.055. The coefficient represents the approximate proportion of modeled stratigraphic thickness occupied by graphite-bearing horizons and is derived from exploration-stage geological observations, not inferred from geostatistical outputs.</w:t>
      </w:r>
    </w:p>
    <w:p>
      <w:pPr>
        <w:spacing w:line="480" w:lineRule="auto"/>
      </w:pPr>
      <w:r>
        <w:rPr>
          <w:rFonts w:ascii="Times New Roman" w:hAnsi="Times New Roman"/>
          <w:sz w:val="24"/>
        </w:rPr>
        <w:t>Accordingly, f_v is treated strictly as a scenario translation factor rather than a geological parameter. A plus/minus 20% sensitivity window is reported to bound planning dependence on this coefficient while preserving unchanged unscaled simulation evidence. The scale effect is therefore interpreted as planning translation uncertainty, not as independent geological validation (Zell et al., 2018; Razavi and Gupta, 2016b).</w:t>
      </w:r>
    </w:p>
    <w:p>
      <w:pPr>
        <w:pStyle w:val="Heading2"/>
        <w:spacing w:line="480" w:lineRule="auto"/>
      </w:pPr>
      <w:r>
        <w:rPr>
          <w:rFonts w:ascii="Times New Roman" w:hAnsi="Times New Roman"/>
          <w:b/>
          <w:sz w:val="24"/>
        </w:rPr>
        <w:t>6.4 Pairwise interaction screening (exploratory second-order coupling)</w:t>
      </w:r>
    </w:p>
    <w:p>
      <w:pPr>
        <w:spacing w:line="480" w:lineRule="auto"/>
      </w:pPr>
      <w:r>
        <w:t>Pairwise factorial interaction reruns were completed for domain x variogram, domain x neighborhood, and trend x domain under fixed screening settings (n_real=50, n_jobs=1, internal validation disabled). For scenario s, a standardized predictive score P_s was computed as the mean z-score across selected predictive diagnostics; interaction effects were estimated as delta-of-deltas on P_s relative to paired main-effect baselines. These reruns provide screening-scale quantitative evidence of second-order coupling. Main-effect AIR ranking is reported in Table 18, while pairwise interaction screening is reported separately in Supplementary Table S7.</w:t>
      </w:r>
    </w:p>
    <w:p>
      <w:pPr>
        <w:pStyle w:val="Heading2"/>
      </w:pPr>
      <w:r>
        <w:rPr>
          <w:rFonts w:ascii="Times New Roman" w:hAnsi="Times New Roman"/>
          <w:b/>
          <w:sz w:val="24"/>
        </w:rPr>
        <w:t>6.5 AIR rank stability testing</w:t>
      </w:r>
    </w:p>
    <w:p>
      <w:pPr/>
      <w:r>
        <w:rPr>
          <w:rFonts w:ascii="Times New Roman" w:hAnsi="Times New Roman"/>
          <w:sz w:val="24"/>
        </w:rPr>
        <w:t>A leave-one-metric-out stress test was applied to AIR main effects by recomputing rankings after removing each predictive metric in turn (Swath X, Swath Y, Swath Z, and risk width at 3% cutoff). Domain and variogram-related drivers remained in the upper rank band while neighborhood and top-cut remained lower-ranked across removals, indicating moderate rank stability for top-priority assumptions. Detailed ranks are reported in Supplementary Table S10.</w:t>
      </w:r>
    </w:p>
    <w:p>
      <w:pPr>
        <w:pStyle w:val="Heading1"/>
        <w:spacing w:line="480" w:lineRule="auto"/>
      </w:pPr>
      <w:r>
        <w:rPr>
          <w:rFonts w:ascii="Times New Roman" w:hAnsi="Times New Roman"/>
          <w:b/>
          <w:sz w:val="28"/>
        </w:rPr>
        <w:t>7. Results and Interpretation</w:t>
      </w:r>
    </w:p>
    <w:p>
      <w:pPr>
        <w:spacing w:line="480" w:lineRule="auto"/>
      </w:pPr>
      <w:r/>
    </w:p>
    <w:p>
      <w:pPr>
        <w:spacing w:line="480" w:lineRule="auto"/>
      </w:pPr>
      <w:r>
        <w:rPr>
          <w:rFonts w:ascii="Times New Roman" w:hAnsi="Times New Roman"/>
          <w:sz w:val="24"/>
        </w:rPr>
        <w:t>Key outcomes are summarized in Table 2, with risk translation in Table 11 and main-effect AIR ranking in Table 18. Table 19 reports DSI robustness (Pearson and Spearman variants with bootstrap confidence intervals), and Table 20 reports the uncertainty-propagation matrix linking assumptions to diagnostics and decision metrics. Detailed pairwise interaction screening is reported in Supplementary Table S7, detailed matrix cells in Supplementary Table S8, and deterministic synthetic-benchmark expected outputs with SHA256 checksums in Supplementary Table S9. At 3% cutoff, unscaled gross P50 mass remains the primary uncertainty output. Directional evidence confirms stronger strike and down-dip continuity relative to normal-direction support, consistent with geology and drilling geometry.</w:t>
      </w:r>
    </w:p>
    <w:p>
      <w:pPr>
        <w:spacing w:line="480" w:lineRule="auto"/>
      </w:pPr>
      <w:r>
        <w:rPr>
          <w:rFonts w:ascii="Times New Roman" w:hAnsi="Times New Roman"/>
          <w:sz w:val="24"/>
        </w:rPr>
        <w:t>Detailed lithology statistics and convergence raw tables are moved to Supplementary Table S4 (former Table 14) and Supplementary Table S5 (former Table 16) to preserve transparency without diluting the main interpretation flow.</w:t>
      </w:r>
    </w:p>
    <w:p>
      <w:pPr>
        <w:pStyle w:val="Heading1"/>
        <w:spacing w:line="480" w:lineRule="auto"/>
      </w:pPr>
      <w:r>
        <w:rPr>
          <w:rFonts w:ascii="Times New Roman" w:hAnsi="Times New Roman"/>
          <w:b/>
          <w:sz w:val="28"/>
        </w:rPr>
        <w:t>8. Discussion</w:t>
      </w:r>
    </w:p>
    <w:p>
      <w:pPr>
        <w:pStyle w:val="Heading2"/>
        <w:spacing w:line="480" w:lineRule="auto"/>
      </w:pPr>
      <w:r>
        <w:rPr>
          <w:rFonts w:ascii="Times New Roman" w:hAnsi="Times New Roman"/>
          <w:b/>
          <w:sz w:val="24"/>
        </w:rPr>
        <w:t>8.1 What is new</w:t>
      </w:r>
    </w:p>
    <w:p>
      <w:pPr>
        <w:spacing w:line="480" w:lineRule="auto"/>
      </w:pPr>
      <w:r>
        <w:rPr>
          <w:rFonts w:ascii="Times New Roman" w:hAnsi="Times New Roman"/>
          <w:sz w:val="24"/>
        </w:rPr>
        <w:t>Compared with routine SGS case studies, this framework formalizes a diagnostic hierarchy and adds two governance metrics: DSI for quantifying diagnostic separation between consistency and predictive responses, and AIR for ranking predictive-assumption influence. This makes uncertainty interpretation auditable at the assumption level and reduces circular validation risk.</w:t>
      </w:r>
    </w:p>
    <w:p>
      <w:pPr>
        <w:pStyle w:val="Heading2"/>
        <w:spacing w:line="480" w:lineRule="auto"/>
      </w:pPr>
      <w:r>
        <w:rPr>
          <w:rFonts w:ascii="Times New Roman" w:hAnsi="Times New Roman"/>
          <w:b/>
          <w:sz w:val="24"/>
        </w:rPr>
        <w:t>8.2 What the case study shows</w:t>
      </w:r>
    </w:p>
    <w:p>
      <w:pPr>
        <w:spacing w:line="480" w:lineRule="auto"/>
      </w:pPr>
      <w:r>
        <w:rPr>
          <w:rFonts w:ascii="Times New Roman" w:hAnsi="Times New Roman"/>
          <w:sz w:val="24"/>
        </w:rPr>
        <w:t>The Tanzania implementation shows anisotropic continuity with weakest support in the normal direction and identifies domain plus variogram-neighborhood assumptions as dominant predictive-uncertainty drivers. Scenario scaling affects planning translation and is separated from core geostatistical evidence.</w:t>
      </w:r>
    </w:p>
    <w:p>
      <w:pPr>
        <w:pStyle w:val="Heading2"/>
      </w:pPr>
      <w:r>
        <w:rPr>
          <w:rFonts w:ascii="Times New Roman" w:hAnsi="Times New Roman"/>
          <w:b/>
          <w:sz w:val="24"/>
        </w:rPr>
        <w:t>8.3 What remains unproven (Scope of validation)</w:t>
      </w:r>
    </w:p>
    <w:p>
      <w:pPr/>
      <w:r>
        <w:t>The framework is demonstrated on one project. Proprietary raw data limit full external geological reproduction on the original dataset. Synthetic benchmark artifacts support computational replay but not geological replication. Framework portability is proposed architecturally and remains to be tested empirically across multiple deposits. Interaction screening was run at n_real=50 and is interpreted as screening-scale evidence rather than final production-scale effect estimation. Uncertainty calibration in the probabilistic sense was not evaluated directly and remains a next-step extension.</w:t>
      </w:r>
    </w:p>
    <w:p>
      <w:pPr>
        <w:pStyle w:val="Heading2"/>
      </w:pPr>
      <w:r>
        <w:rPr>
          <w:rFonts w:ascii="Times New Roman" w:hAnsi="Times New Roman"/>
          <w:b/>
          <w:sz w:val="24"/>
        </w:rPr>
        <w:t>8.4 Practical implication</w:t>
      </w:r>
    </w:p>
    <w:p>
      <w:pPr/>
      <w:r>
        <w:rPr>
          <w:rFonts w:ascii="Times New Roman" w:hAnsi="Times New Roman"/>
          <w:sz w:val="24"/>
        </w:rPr>
        <w:t>The dominant predictive uncertainty drivers indicate that follow-up drilling should prioritize normal-direction continuity constraints and domain-boundary control. Screening resources are better allocated to domain and variogram-neighborhood reruns than to low-impact top-cut perturbations under current data support.</w:t>
      </w:r>
    </w:p>
    <w:p>
      <w:pPr>
        <w:pStyle w:val="Heading2"/>
      </w:pPr>
      <w:r/>
    </w:p>
    <w:p>
      <w:r/>
    </w:p>
    <w:p>
      <w:pPr>
        <w:pStyle w:val="Heading2"/>
      </w:pPr>
      <w:r/>
    </w:p>
    <w:p>
      <w:r/>
    </w:p>
    <w:p>
      <w:pPr/>
      <w:r/>
    </w:p>
    <w:p>
      <w:pPr>
        <w:pStyle w:val="Heading2"/>
      </w:pPr>
      <w:r/>
    </w:p>
    <w:p>
      <w:pPr/>
      <w:r/>
    </w:p>
    <w:p>
      <w:pPr>
        <w:pStyle w:val="Heading2"/>
      </w:pPr>
      <w:r/>
    </w:p>
    <w:p>
      <w:pPr/>
      <w:r/>
    </w:p>
    <w:p>
      <w:pPr>
        <w:pStyle w:val="Heading2"/>
      </w:pPr>
      <w:r/>
    </w:p>
    <w:p>
      <w:pPr/>
      <w:r/>
    </w:p>
    <w:p>
      <w:pPr>
        <w:pStyle w:val="Heading2"/>
      </w:pPr>
      <w:r/>
    </w:p>
    <w:p>
      <w:pPr>
        <w:pStyle w:val="Heading1"/>
        <w:spacing w:line="480" w:lineRule="auto"/>
      </w:pPr>
      <w:r>
        <w:rPr>
          <w:rFonts w:ascii="Times New Roman" w:hAnsi="Times New Roman"/>
          <w:b/>
          <w:sz w:val="28"/>
        </w:rPr>
        <w:t>9. Conclusions</w:t>
      </w:r>
    </w:p>
    <w:p>
      <w:pPr>
        <w:spacing w:line="480" w:lineRule="auto"/>
      </w:pPr>
      <w:r>
        <w:rPr>
          <w:rFonts w:ascii="Times New Roman" w:hAnsi="Times New Roman"/>
          <w:sz w:val="24"/>
        </w:rPr>
        <w:t>This work introduces an auditable uncertainty-governance framework for SGS by combining a diagnostic hierarchy, a Diagnostic Separation Index (DSI), and Assumption Impact Ranking (AIR) in one reproducible workflow.</w:t>
      </w:r>
    </w:p>
    <w:p>
      <w:pPr>
        <w:spacing w:line="480" w:lineRule="auto"/>
      </w:pPr>
      <w:r>
        <w:rPr>
          <w:rFonts w:ascii="Times New Roman" w:hAnsi="Times New Roman"/>
          <w:sz w:val="24"/>
        </w:rPr>
        <w:t>In the Tanzania case study, predictive evidence indicates anisotropic continuity with weaker normal-direction support, and main-effect AIR identifies domain and variogram-neighborhood choices as the dominant uncertainty drivers. Unscaled simulation outputs remain the primary evidentiary layer, while scenario scaling is treated as planning translation.</w:t>
      </w:r>
    </w:p>
    <w:p>
      <w:pPr>
        <w:spacing w:line="480" w:lineRule="auto"/>
      </w:pPr>
      <w:r>
        <w:rPr>
          <w:rFonts w:ascii="Times New Roman" w:hAnsi="Times New Roman"/>
          <w:sz w:val="24"/>
        </w:rPr>
        <w:t>The framework is designed for transferability across deposits, but portability remains to be validated empirically across multiple independent projects with stronger orthogonal support and explicit probabilistic uncertainty-calibration tests.</w:t>
      </w:r>
    </w:p>
    <w:p>
      <w:pPr>
        <w:pStyle w:val="Heading1"/>
        <w:spacing w:line="480" w:lineRule="auto"/>
      </w:pPr>
      <w:r>
        <w:rPr>
          <w:rFonts w:ascii="Times New Roman" w:hAnsi="Times New Roman"/>
          <w:b/>
          <w:sz w:val="28"/>
        </w:rPr>
        <w:t>Data Availability</w:t>
      </w:r>
    </w:p>
    <w:p>
      <w:pPr>
        <w:spacing w:line="480" w:lineRule="auto"/>
      </w:pPr>
      <w:r>
        <w:rPr>
          <w:rFonts w:ascii="Times New Roman" w:hAnsi="Times New Roman"/>
          <w:sz w:val="24"/>
        </w:rPr>
        <w:t>The author is employed by Sakariya Mines and Minerals. The underlying exploration database is proprietary and subject to confidentiality obligations; therefore, raw project data cannot be publicly released at this stage. To support reproducibility, open code, configuration files, sensitivity outputs, and synthetic benchmark artifacts are provided.</w:t>
      </w:r>
    </w:p>
    <w:p>
      <w:pPr>
        <w:spacing w:line="480" w:lineRule="auto"/>
      </w:pPr>
      <w:r>
        <w:rPr>
          <w:rFonts w:ascii="Times New Roman" w:hAnsi="Times New Roman"/>
          <w:sz w:val="24"/>
        </w:rPr>
        <w:t>Public reproducibility resources are available at https://github.com/sudip686/geostats-risk-pipeline/releases/tag/paper-v1.0.0 and in the submission synthetic benchmark package (synthetic_validation_reference.csv, synthetic_benchmark_config.json, expected_outputs.csv, checksums_sha256.csv). Supplementary Table S9 lists expected outputs and checksums for replay verification without proprietary raw data.</w:t>
      </w:r>
    </w:p>
    <w:p>
      <w:pPr>
        <w:pStyle w:val="Heading1"/>
        <w:spacing w:line="480" w:lineRule="auto"/>
      </w:pPr>
      <w:r>
        <w:rPr>
          <w:rFonts w:ascii="Times New Roman" w:hAnsi="Times New Roman"/>
          <w:b/>
          <w:sz w:val="28"/>
        </w:rPr>
        <w:t>Acknowledgements</w:t>
      </w:r>
    </w:p>
    <w:p>
      <w:pPr>
        <w:spacing w:line="480" w:lineRule="auto"/>
      </w:pPr>
      <w:r>
        <w:rPr>
          <w:rFonts w:ascii="Times New Roman" w:hAnsi="Times New Roman"/>
          <w:sz w:val="24"/>
        </w:rPr>
        <w:t>The author thanks the project geology and data management team for technical support during data preparation, validation, and workflow quality checks.</w:t>
      </w:r>
    </w:p>
    <w:p>
      <w:pPr>
        <w:pStyle w:val="Heading1"/>
        <w:spacing w:line="480" w:lineRule="auto"/>
      </w:pPr>
      <w:r>
        <w:rPr>
          <w:rFonts w:ascii="Times New Roman" w:hAnsi="Times New Roman"/>
          <w:b/>
          <w:sz w:val="28"/>
        </w:rPr>
        <w:t>Computer Code Availability</w:t>
      </w:r>
    </w:p>
    <w:p>
      <w:pPr>
        <w:spacing w:line="480" w:lineRule="auto"/>
      </w:pPr>
      <w:r>
        <w:rPr>
          <w:rFonts w:ascii="Times New Roman" w:hAnsi="Times New Roman"/>
          <w:sz w:val="24"/>
        </w:rPr>
        <w:t>Code name: geostats-risk-pipeline. Developer: Sudipta Chanda; contact address: Sakariya Mines and Minerals, 1402 Ecostation Business Tower, Newtown, Rajarhat, Kolkata, West Bengal 700160, India; telephone: +91 99980 90543; e-mail: sudipta.chanda@sakariya.in. Year first available: 2026. Hardware required: standard x86-64 workstation or laptop. Software required: Python 3.10+ and standard open-source scientific Python stack. Program language: Python. Program size: repository source and release artifacts are available in the public release bundle. Source code access: https://github.com/sudip686/geostats-risk-pipeline/releases/tag/paper-v1.0.0 (open-source, anonymous download, stable public repository). Synthetic benchmark artifacts include fixed-seed expected outputs and SHA256 checksum verification for independent replay without proprietary raw data.</w:t>
      </w:r>
    </w:p>
    <w:p>
      <w:pPr>
        <w:pStyle w:val="Heading1"/>
        <w:spacing w:line="480" w:lineRule="auto"/>
      </w:pPr>
      <w:r>
        <w:rPr>
          <w:rFonts w:ascii="Times New Roman" w:hAnsi="Times New Roman"/>
          <w:b/>
          <w:sz w:val="28"/>
        </w:rPr>
        <w:t>Author Contributions (CRediT)</w:t>
      </w:r>
    </w:p>
    <w:p>
      <w:pPr>
        <w:spacing w:line="480" w:lineRule="auto"/>
      </w:pPr>
      <w:r>
        <w:rPr>
          <w:rFonts w:ascii="Times New Roman" w:hAnsi="Times New Roman"/>
          <w:sz w:val="24"/>
        </w:rPr>
        <w:t>Sudipta Chanda: Conceptualization; Data curation; Formal analysis; Investigation; Methodology; Software; Validation; Visualization; Writing - original draft; Writing - review and editing.</w:t>
      </w:r>
    </w:p>
    <w:p>
      <w:pPr>
        <w:pStyle w:val="Heading1"/>
        <w:spacing w:line="480" w:lineRule="auto"/>
      </w:pPr>
      <w:r>
        <w:rPr>
          <w:rFonts w:ascii="Times New Roman" w:hAnsi="Times New Roman"/>
          <w:b/>
          <w:sz w:val="28"/>
        </w:rPr>
        <w:t>Funding</w:t>
      </w:r>
    </w:p>
    <w:p>
      <w:pPr>
        <w:spacing w:line="480" w:lineRule="auto"/>
      </w:pPr>
      <w:r>
        <w:rPr>
          <w:rFonts w:ascii="Times New Roman" w:hAnsi="Times New Roman"/>
          <w:sz w:val="24"/>
        </w:rPr>
        <w:t>This research received no specific grant from funding agencies in the public, commercial, or not-for-profit sectors.</w:t>
      </w:r>
    </w:p>
    <w:p>
      <w:pPr>
        <w:pStyle w:val="Heading1"/>
        <w:spacing w:line="480" w:lineRule="auto"/>
      </w:pPr>
      <w:r>
        <w:rPr>
          <w:rFonts w:ascii="Times New Roman" w:hAnsi="Times New Roman"/>
          <w:b/>
          <w:sz w:val="28"/>
        </w:rPr>
        <w:t>Declarations / Conflict of Interest</w:t>
      </w:r>
    </w:p>
    <w:p>
      <w:pPr>
        <w:spacing w:line="480" w:lineRule="auto"/>
      </w:pPr>
      <w:r>
        <w:rPr>
          <w:rFonts w:ascii="Times New Roman" w:hAnsi="Times New Roman"/>
          <w:sz w:val="24"/>
        </w:rPr>
        <w:t>The author declares no known competing financial or non-financial interests that could have influenced the work presented in this manuscript.</w:t>
      </w:r>
    </w:p>
    <w:p>
      <w:pPr>
        <w:pStyle w:val="Heading1"/>
        <w:spacing w:line="480" w:lineRule="auto"/>
      </w:pPr>
      <w:r>
        <w:rPr>
          <w:rFonts w:ascii="Times New Roman" w:hAnsi="Times New Roman"/>
          <w:b/>
          <w:sz w:val="28"/>
        </w:rPr>
        <w:t>Declaration of Generative AI Use</w:t>
      </w:r>
    </w:p>
    <w:p>
      <w:pPr>
        <w:spacing w:line="480" w:lineRule="auto"/>
      </w:pPr>
      <w:r>
        <w:rPr>
          <w:rFonts w:ascii="Times New Roman" w:hAnsi="Times New Roman"/>
          <w:sz w:val="24"/>
        </w:rPr>
        <w:t>During preparation of this work, generative AI tools were used only for language-editing and document-formatting assistance. All scientific interpretation, methods, results, and conclusions were reviewed and validated by the author, who takes full responsibility for the content.</w:t>
      </w:r>
    </w:p>
    <w:p>
      <w:pPr>
        <w:pStyle w:val="Heading1"/>
        <w:spacing w:line="480" w:lineRule="auto"/>
      </w:pPr>
      <w:r>
        <w:rPr>
          <w:rFonts w:ascii="Times New Roman" w:hAnsi="Times New Roman"/>
          <w:b/>
          <w:sz w:val="28"/>
        </w:rPr>
        <w:t>References</w:t>
      </w:r>
    </w:p>
    <w:p>
      <w:pPr>
        <w:spacing w:line="480" w:lineRule="auto"/>
      </w:pPr>
      <w:r>
        <w:rPr>
          <w:rFonts w:ascii="Times New Roman" w:hAnsi="Times New Roman"/>
          <w:sz w:val="24"/>
        </w:rPr>
        <w:t>Babak, O., 2006. Variogram Reproduction in Sequential Simulation: Interaction Between Screening and Search Strategy. CCG Technical Report.</w:t>
      </w:r>
    </w:p>
    <w:p>
      <w:pPr>
        <w:spacing w:line="480" w:lineRule="auto"/>
      </w:pPr>
      <w:r>
        <w:rPr>
          <w:rFonts w:ascii="Times New Roman" w:hAnsi="Times New Roman"/>
          <w:sz w:val="24"/>
        </w:rPr>
        <w:t>Bai, Tao, Tahmasebi, Pejman, 2022. Sequential Gaussian simulation for geosystems modeling: A machine learning approach. Geoscience Frontiers 13(1), 101258. https://doi.org/10.1016/j.gsf.2021.101258</w:t>
      </w:r>
    </w:p>
    <w:p>
      <w:pPr>
        <w:spacing w:line="480" w:lineRule="auto"/>
      </w:pPr>
      <w:r>
        <w:rPr>
          <w:rFonts w:ascii="Times New Roman" w:hAnsi="Times New Roman"/>
          <w:sz w:val="24"/>
        </w:rPr>
        <w:t>Barnett, Ryan M., Horan, Sean, Wilson, Brandon, Deutsch, Jared L., Deutsch, Clayton V., 2026. Mineral Resource Disclosure with Probabilistic Models. Mathematical Geosciences. https://doi.org/10.1007/s11004-025-10244-y</w:t>
      </w:r>
    </w:p>
    <w:p>
      <w:pPr>
        <w:spacing w:line="480" w:lineRule="auto"/>
      </w:pPr>
      <w:r>
        <w:rPr>
          <w:rFonts w:ascii="Times New Roman" w:hAnsi="Times New Roman"/>
          <w:sz w:val="24"/>
        </w:rPr>
        <w:t>Wilmeth, D.T., Corsetti, F.A., Beukes, N.J., Awramik, S.M., Petryshyn, V., Spear, J.R., Celestian, A.J., 2019. Neoarchean (2.7 Ga) lacustrine stromatolite deposits in the Hartbeesfontein Basin, Ventersdorp Supergroup, South Africa: Implications for oxygen oases. Precambrian Research 320, 291-302. https://doi.org/10.1016/j.precamres.2018.11.009</w:t>
      </w:r>
    </w:p>
    <w:p>
      <w:pPr>
        <w:spacing w:line="480" w:lineRule="auto"/>
      </w:pPr>
      <w:r>
        <w:rPr>
          <w:rFonts w:ascii="Times New Roman" w:hAnsi="Times New Roman"/>
          <w:sz w:val="24"/>
        </w:rPr>
        <w:t>Boniface, N., Tsujimori, T., 2021. Paleoproterozoic high-pressure mafic granulites and retrograde eclogites in the Usagaran Belt, Tanzania. Geological Society, London, Special Publications 552, 161-177. https://doi.org/10.1144/SP552-2021-107</w:t>
      </w:r>
    </w:p>
    <w:p>
      <w:pPr>
        <w:spacing w:line="480" w:lineRule="auto"/>
      </w:pPr>
      <w:r>
        <w:rPr>
          <w:rFonts w:ascii="Times New Roman" w:hAnsi="Times New Roman"/>
          <w:sz w:val="24"/>
        </w:rPr>
        <w:t>Case, M., 2025. A time-space model of graphite mineral systems from deposition to concentration and preservation. Min. Deposita. https://doi.org/10.1007/s00126-025-01368-x</w:t>
      </w:r>
    </w:p>
    <w:p>
      <w:pPr>
        <w:spacing w:line="480" w:lineRule="auto"/>
      </w:pPr>
      <w:r>
        <w:rPr>
          <w:rFonts w:ascii="Times New Roman" w:hAnsi="Times New Roman"/>
          <w:sz w:val="24"/>
        </w:rPr>
        <w:t>Chiles, J.-P., Delfiner, P., 2012. Geostatistics: Modeling Spatial Uncertainty, 2nd ed. Wiley, Hoboken, NJ.</w:t>
      </w:r>
    </w:p>
    <w:p>
      <w:pPr>
        <w:spacing w:line="480" w:lineRule="auto"/>
      </w:pPr>
      <w:r>
        <w:rPr>
          <w:rFonts w:ascii="Times New Roman" w:hAnsi="Times New Roman"/>
          <w:sz w:val="24"/>
        </w:rPr>
        <w:t>CIM MRMR Committee, 2019. Estimation of Mineral Resources and Mineral Reserves Best Practice Guidelines (adopted 2019, updated May 2022). Canadian Institute of Mining, Metallurgy and Petroleum.</w:t>
      </w:r>
    </w:p>
    <w:p>
      <w:pPr>
        <w:spacing w:line="480" w:lineRule="auto"/>
      </w:pPr>
      <w:r>
        <w:rPr>
          <w:rFonts w:ascii="Times New Roman" w:hAnsi="Times New Roman"/>
          <w:sz w:val="24"/>
        </w:rPr>
        <w:t>Collins, A.S., Kroener, A., Fitzsimons, I.C.W., Razakamanana, T., 2004. Detrital footprint of the Mozambique Ocean: U-Pb SHRIMP and Pb evaporation zircon geochronology of metasedimentary gneisses in eastern Madagascar. Earth Planet. Sci. Lett. 221, 57-67. https://doi.org/10.1016/S0012-821X(04)00144-9</w:t>
      </w:r>
    </w:p>
    <w:p>
      <w:pPr>
        <w:spacing w:line="480" w:lineRule="auto"/>
      </w:pPr>
      <w:r>
        <w:rPr>
          <w:rFonts w:ascii="Times New Roman" w:hAnsi="Times New Roman"/>
          <w:sz w:val="24"/>
        </w:rPr>
        <w:t>CRIRSCO, 2019. International Reporting Template, November 2019. Committee for Mineral Reserves International Reporting Standards.</w:t>
      </w:r>
    </w:p>
    <w:p>
      <w:pPr>
        <w:spacing w:line="480" w:lineRule="auto"/>
      </w:pPr>
      <w:r>
        <w:rPr>
          <w:rFonts w:ascii="Times New Roman" w:hAnsi="Times New Roman"/>
          <w:sz w:val="24"/>
        </w:rPr>
        <w:t>CSA, 2011. National Instrument 43-101: Standards of Disclosure for Mineral Projects. Canadian Securities Administrators.</w:t>
      </w:r>
    </w:p>
    <w:p>
      <w:pPr>
        <w:spacing w:line="480" w:lineRule="auto"/>
      </w:pPr>
      <w:r>
        <w:rPr>
          <w:rFonts w:ascii="Times New Roman" w:hAnsi="Times New Roman"/>
          <w:sz w:val="24"/>
        </w:rPr>
        <w:t>Deutsch, C.V., Journel, A.G., 1998. GSLIB: Geostatistical Software Library and User's Guide, 2nd ed. Oxford University Press, New York.</w:t>
      </w:r>
    </w:p>
    <w:p>
      <w:pPr>
        <w:spacing w:line="480" w:lineRule="auto"/>
      </w:pPr>
      <w:r>
        <w:rPr>
          <w:rFonts w:ascii="Times New Roman" w:hAnsi="Times New Roman"/>
          <w:sz w:val="24"/>
        </w:rPr>
        <w:t>Deutsch, C.V., 2002. Geostatistical Reservoir Modeling. Oxford University Press, New York.</w:t>
      </w:r>
    </w:p>
    <w:p>
      <w:pPr>
        <w:spacing w:line="480" w:lineRule="auto"/>
      </w:pPr>
      <w:r>
        <w:rPr>
          <w:rFonts w:ascii="Times New Roman" w:hAnsi="Times New Roman"/>
          <w:sz w:val="24"/>
        </w:rPr>
        <w:t>Deutsch, Clayton V., 2023. The Place of Geostatistical Simulation through the Life Cycle of a Mineral Deposit. Minerals 13(11), 1400. https://doi.org/10.3390/min13111400</w:t>
      </w:r>
    </w:p>
    <w:p>
      <w:pPr>
        <w:spacing w:line="480" w:lineRule="auto"/>
      </w:pPr>
      <w:r>
        <w:rPr>
          <w:rFonts w:ascii="Times New Roman" w:hAnsi="Times New Roman"/>
          <w:sz w:val="24"/>
        </w:rPr>
        <w:t>Fritz, H., Abdelsalam, M., Ali, K.A., Bingen, B., Collins, A.S., Fowler, A.R., Ghebreab, W., Hauzenberger, C.A., Johnson, P.R., Kusky, T.M., Macey, P., Muhongo, S., Stern, R.J., Viola, G., 2013. Orogen styles in the East African Orogen: A review of the Neoproterozoic to Cambrian tectonic evolution. Journal of African Earth Sciences 86, 65-106. https://doi.org/10.1016/j.jafrearsci.2013.06.004</w:t>
      </w:r>
    </w:p>
    <w:p>
      <w:pPr>
        <w:spacing w:line="480" w:lineRule="auto"/>
      </w:pPr>
      <w:r>
        <w:rPr>
          <w:rFonts w:ascii="Times New Roman" w:hAnsi="Times New Roman"/>
          <w:sz w:val="24"/>
        </w:rPr>
        <w:t>Saleh, Gehad M., Kamar, Mohamed S., Mohamed, Gehan A., El Tohamy, Amira M., 2023. Petrochemistry, rare metals-bearing minerals and spectrometric exploration in Khour Abalea, Abu Rusheid area, Eastern Desert, Egypt. Journal of African Earth Sciences 205, 105005. https://doi.org/10.1016/j.jafrearsci.2023.105005</w:t>
      </w:r>
    </w:p>
    <w:p>
      <w:pPr>
        <w:spacing w:line="480" w:lineRule="auto"/>
      </w:pPr>
      <w:r>
        <w:rPr>
          <w:rFonts w:ascii="Times New Roman" w:hAnsi="Times New Roman"/>
          <w:sz w:val="24"/>
        </w:rPr>
        <w:t>Goovaerts, P., 1997. Geostatistics for Natural Resources Evaluation. Oxford University Press, New York.</w:t>
      </w:r>
    </w:p>
    <w:p>
      <w:pPr>
        <w:spacing w:line="480" w:lineRule="auto"/>
      </w:pPr>
      <w:r>
        <w:rPr>
          <w:rFonts w:ascii="Times New Roman" w:hAnsi="Times New Roman"/>
          <w:sz w:val="24"/>
        </w:rPr>
        <w:t>Isaaks, E.H., Srivastava, R.M., 1989. An Introduction to Applied Geostatistics. Oxford University Press, New York.</w:t>
      </w:r>
    </w:p>
    <w:p>
      <w:pPr>
        <w:spacing w:line="480" w:lineRule="auto"/>
      </w:pPr>
      <w:r>
        <w:rPr>
          <w:rFonts w:ascii="Times New Roman" w:hAnsi="Times New Roman"/>
          <w:sz w:val="24"/>
        </w:rPr>
        <w:t>JORC, 2012. Australasian Code for Reporting of Exploration Results, Mineral Resources and Ore Reserves (JORC Code, 2012 Edition). Joint Ore Reserves Committee.</w:t>
      </w:r>
    </w:p>
    <w:p>
      <w:pPr>
        <w:spacing w:line="480" w:lineRule="auto"/>
      </w:pPr>
      <w:r>
        <w:rPr>
          <w:rFonts w:ascii="Times New Roman" w:hAnsi="Times New Roman"/>
          <w:sz w:val="24"/>
        </w:rPr>
        <w:t>Journel, A.G., Huijbregts, C.J., 1978. Mining Geostatistics. Academic Press, London.</w:t>
      </w:r>
    </w:p>
    <w:p>
      <w:pPr>
        <w:spacing w:line="480" w:lineRule="auto"/>
      </w:pPr>
      <w:r>
        <w:rPr>
          <w:rFonts w:ascii="Times New Roman" w:hAnsi="Times New Roman"/>
          <w:sz w:val="24"/>
        </w:rPr>
        <w:t>Lindi, Oltingey Tuya, Aladejare, Adeyemi Emman, Ozoji, Toochukwu Malachi, Ranta, Jukka-Pekka, 2024. Uncertainty Quantification in Mineral Resource Estimation. Natural Resources Research 33(6), 2503-2526. https://doi.org/10.1007/s11053-024-10394-6</w:t>
      </w:r>
    </w:p>
    <w:p>
      <w:pPr>
        <w:spacing w:line="480" w:lineRule="auto"/>
      </w:pPr>
      <w:r>
        <w:rPr>
          <w:rFonts w:ascii="Times New Roman" w:hAnsi="Times New Roman"/>
          <w:sz w:val="24"/>
        </w:rPr>
        <w:t>Machuca-Mory, D.F., Deutsch, C.V., 2009. Sequential Gaussian and Indicator Simulation with Location-Dependent Distributions and Statistics. CCG Annual Report 11, Paper 105.</w:t>
      </w:r>
    </w:p>
    <w:p>
      <w:pPr>
        <w:spacing w:line="480" w:lineRule="auto"/>
      </w:pPr>
      <w:r>
        <w:rPr>
          <w:rFonts w:ascii="Times New Roman" w:hAnsi="Times New Roman"/>
          <w:sz w:val="24"/>
        </w:rPr>
        <w:t>Matheron, G., 1973. The intrinsic random functions and their applications. Advances in Applied Probability 5(3), 439-468. https://doi.org/10.2307/1425829</w:t>
      </w:r>
    </w:p>
    <w:p>
      <w:pPr>
        <w:spacing w:line="480" w:lineRule="auto"/>
      </w:pPr>
      <w:r>
        <w:rPr>
          <w:rFonts w:ascii="Times New Roman" w:hAnsi="Times New Roman"/>
          <w:sz w:val="24"/>
        </w:rPr>
        <w:t>Moller, A., Mezger, K., Schenk, V., 1998. Crustal age domains and the evolution of the continental crust in the MMB of Tanzania: combined Sm-Nd, Rb-Sr, and Pb-Pb isotopic evidence. Journal of Petrology 39, 749-783.</w:t>
      </w:r>
    </w:p>
    <w:p>
      <w:pPr>
        <w:spacing w:line="480" w:lineRule="auto"/>
      </w:pPr>
      <w:r>
        <w:rPr>
          <w:rFonts w:ascii="Times New Roman" w:hAnsi="Times New Roman"/>
          <w:sz w:val="24"/>
        </w:rPr>
        <w:t>Nowak, M., Verly, G., 2005. The Practice of SGS. In: Leuangthong, O., Deutsch, C.V. (Eds.), Geostatistics Banff 2004. Springer, Dordrecht, pp. 185-194. https://doi.org/10.1007/1-4020-3610-3_16</w:t>
      </w:r>
    </w:p>
    <w:p>
      <w:pPr>
        <w:spacing w:line="480" w:lineRule="auto"/>
      </w:pPr>
      <w:r>
        <w:rPr>
          <w:rFonts w:ascii="Times New Roman" w:hAnsi="Times New Roman"/>
          <w:sz w:val="24"/>
        </w:rPr>
        <w:t>Paithankar, A., Chatterjee, S., 2018. Grade and tonnage uncertainty analysis of an African copper deposit using multiple-point geostatistics and SGS. Natural Resources Research 27(4), 419-436. https://doi.org/10.1007/s11053-017-9358-x</w:t>
      </w:r>
    </w:p>
    <w:p>
      <w:pPr>
        <w:spacing w:line="480" w:lineRule="auto"/>
      </w:pPr>
      <w:r>
        <w:rPr>
          <w:rFonts w:ascii="Times New Roman" w:hAnsi="Times New Roman"/>
          <w:sz w:val="24"/>
        </w:rPr>
        <w:t>Geological Survey of Tanzania, Bureau de Recherches Geologiques et Minieres, University of Dar es Salaam, 2008. Geology and Mineral Map of Tanzania (scale 1:2,000,000). Geological Survey of Tanzania, Dodoma, Tanzania.</w:t>
      </w:r>
    </w:p>
    <w:p>
      <w:pPr>
        <w:spacing w:line="480" w:lineRule="auto"/>
      </w:pPr>
      <w:r>
        <w:rPr>
          <w:rFonts w:ascii="Times New Roman" w:hAnsi="Times New Roman"/>
          <w:sz w:val="24"/>
        </w:rPr>
        <w:t>Remy, N., Boucher, A., Wu, J., 2009. Applied Geostatistics with SGeMS: A User's Guide. Cambridge University Press, Cambridge.</w:t>
      </w:r>
    </w:p>
    <w:p>
      <w:pPr>
        <w:spacing w:line="480" w:lineRule="auto"/>
      </w:pPr>
      <w:r>
        <w:rPr>
          <w:rFonts w:ascii="Times New Roman" w:hAnsi="Times New Roman"/>
          <w:sz w:val="24"/>
        </w:rPr>
        <w:t>Roberts, David R., Bahn, Volker, Ciuti, Simone, Boyce, Mark S., Elith, Jane, Guillera‐Arroita, Gurutzeta, Hauenstein, Severin, Lahoz‐Monfort, José J., Schröder, Boris, Thuiller, Wilfried, Warton, David I., Wintle, Brendan A., Hartig, Florian, Dormann, Carsten F., 2017. Cross‐validation strategies for data with temporal, spatial, hierarchical, or phylogenetic structure. Ecography 40(8), 913-929. https://doi.org/10.1111/ecog.02881</w:t>
      </w:r>
    </w:p>
    <w:p>
      <w:pPr>
        <w:spacing w:line="480" w:lineRule="auto"/>
      </w:pPr>
      <w:r>
        <w:rPr>
          <w:rFonts w:ascii="Times New Roman" w:hAnsi="Times New Roman"/>
          <w:sz w:val="24"/>
        </w:rPr>
        <w:t>Sakariya Mines and Minerals, 2025. Draft. Project 0424046 Tanga Graphite Mineral Resource Estimate (draft technical report).</w:t>
      </w:r>
    </w:p>
    <w:p>
      <w:pPr>
        <w:spacing w:line="480" w:lineRule="auto"/>
      </w:pPr>
      <w:r>
        <w:rPr>
          <w:rFonts w:ascii="Times New Roman" w:hAnsi="Times New Roman"/>
          <w:sz w:val="24"/>
        </w:rPr>
        <w:t>Sakariya Mines and Minerals, 2026a. Tanga graphite project technical exploration update (internal project report).</w:t>
      </w:r>
    </w:p>
    <w:p>
      <w:pPr>
        <w:spacing w:line="480" w:lineRule="auto"/>
      </w:pPr>
      <w:r>
        <w:rPr>
          <w:rFonts w:ascii="Times New Roman" w:hAnsi="Times New Roman"/>
          <w:sz w:val="24"/>
        </w:rPr>
        <w:t>Sakariya Mines and Minerals, 2026b. Tanga graphite project QA/QC and drilling data summary (internal project report).</w:t>
      </w:r>
    </w:p>
    <w:p>
      <w:pPr>
        <w:spacing w:line="480" w:lineRule="auto"/>
      </w:pPr>
      <w:r>
        <w:rPr>
          <w:rFonts w:ascii="Times New Roman" w:hAnsi="Times New Roman"/>
          <w:sz w:val="24"/>
        </w:rPr>
        <w:t>Sakariya Mines and Minerals, 2026c. Tanga project domain modeling and geological interpretation memo (internal project report).</w:t>
      </w:r>
    </w:p>
    <w:p>
      <w:pPr>
        <w:spacing w:line="480" w:lineRule="auto"/>
      </w:pPr>
      <w:r/>
    </w:p>
    <w:p>
      <w:pPr>
        <w:spacing w:line="480" w:lineRule="auto"/>
      </w:pPr>
      <w:r>
        <w:rPr>
          <w:rFonts w:ascii="Times New Roman" w:hAnsi="Times New Roman"/>
          <w:sz w:val="24"/>
        </w:rPr>
        <w:t>Sommer, H., Kröner, A., 2013. Ultra-high temperature granulite-facies metamorphic rocks from the Mozambique belt of SW Tanzania. Lithos 170-171, 117-143. https://doi.org/10.1016/j.lithos.2013.02.014</w:t>
      </w:r>
    </w:p>
    <w:p>
      <w:pPr>
        <w:spacing w:line="480" w:lineRule="auto"/>
      </w:pPr>
      <w:r>
        <w:rPr>
          <w:rFonts w:ascii="Times New Roman" w:hAnsi="Times New Roman"/>
          <w:sz w:val="24"/>
        </w:rPr>
        <w:t>Thomas, Robert J., Bushi, Alphonce M., Roberts, Nick M.W., Jacobs, Joachim, 2014. Geochronology of granitic rocks from the Ruangwa region, southern Tanzania – Links with NE Mozambique and beyond. Journal of African Earth Sciences 100, 70-80. https://doi.org/10.1016/j.jafrearsci.2014.06.012</w:t>
      </w:r>
    </w:p>
    <w:p>
      <w:pPr>
        <w:spacing w:line="480" w:lineRule="auto"/>
      </w:pPr>
      <w:r>
        <w:rPr>
          <w:rFonts w:ascii="Times New Roman" w:hAnsi="Times New Roman"/>
          <w:sz w:val="24"/>
        </w:rPr>
        <w:t>Sudipta Chanda, 2026. geostats-risk-pipeline (Version paper-v1.0.0) [Source code and release artifacts]. GitHub. https://github.com/sudip686/geostats-risk-pipeline/releases/tag/paper-v1.0.0</w:t>
      </w:r>
    </w:p>
    <w:p>
      <w:pPr>
        <w:spacing w:line="480" w:lineRule="auto"/>
      </w:pPr>
      <w:r>
        <w:rPr>
          <w:rFonts w:ascii="Times New Roman" w:hAnsi="Times New Roman"/>
          <w:sz w:val="24"/>
        </w:rPr>
        <w:t>van der Grijp, Y., Minnitt, R.C.A., 2015. Application of direct sampling multi-point statistics and SGS algorithms for modelling uncertainty in gold deposits. Journal of the Southern African Institute of Mining and Metallurgy 115(1), 73-82.</w:t>
      </w:r>
    </w:p>
    <w:p>
      <w:pPr>
        <w:spacing w:line="480" w:lineRule="auto"/>
      </w:pPr>
      <w:r>
        <w:rPr>
          <w:rFonts w:ascii="Times New Roman" w:hAnsi="Times New Roman"/>
          <w:sz w:val="24"/>
        </w:rPr>
        <w:t>Wadoux, Alexandre M.J.-C., Heuvelink, Gerard B.M., de Bruin, Sytze, Brus, Dick J., 2021. Spatial cross-validation is not the right way to evaluate map accuracy. Ecological Modelling 457, 109692. https://doi.org/10.1016/j.ecolmodel.2021.109692</w:t>
      </w:r>
    </w:p>
    <w:p>
      <w:pPr>
        <w:spacing w:line="480" w:lineRule="auto"/>
      </w:pPr>
      <w:r>
        <w:rPr>
          <w:rFonts w:ascii="Times New Roman" w:hAnsi="Times New Roman"/>
          <w:sz w:val="24"/>
        </w:rPr>
        <w:t>Zanon, S., Leuangthong, O., 2003. Selected Implementation Issues with SGS. CCG Annual Report.</w:t>
      </w:r>
    </w:p>
    <w:p>
      <w:pPr>
        <w:spacing w:line="480" w:lineRule="auto"/>
      </w:pPr>
      <w:r>
        <w:rPr>
          <w:rFonts w:ascii="Times New Roman" w:hAnsi="Times New Roman"/>
          <w:sz w:val="24"/>
        </w:rPr>
        <w:t>Hasan, Muhammad, Shang, Yanjun, 2022. Geophysical evaluation of geological model uncertainty for infrastructure design and groundwater assessments. Engineering Geology 299, 106560. https://doi.org/10.1016/j.enggeo.2022.106560</w:t>
      </w:r>
    </w:p>
    <w:p>
      <w:pPr>
        <w:spacing w:line="480" w:lineRule="auto"/>
      </w:pPr>
      <w:r>
        <w:rPr>
          <w:rFonts w:ascii="Times New Roman" w:hAnsi="Times New Roman"/>
          <w:sz w:val="24"/>
        </w:rPr>
        <w:t>Koldasbayeva, Diana, Tregubova, Polina, Gasanov, Mikhail, Zaytsev, Alexey, Petrovskaia, Anna, Burnaev, Evgeny, 2024. Challenges in data-driven geospatial modeling for environmental research and practice. Nature Communications 15(1), 10700. https://doi.org/10.1038/s41467-024-55240-8</w:t>
      </w:r>
    </w:p>
    <w:p>
      <w:pPr>
        <w:spacing w:line="480" w:lineRule="auto"/>
      </w:pPr>
      <w:r>
        <w:rPr>
          <w:rFonts w:ascii="Times New Roman" w:hAnsi="Times New Roman"/>
          <w:sz w:val="24"/>
        </w:rPr>
        <w:t>Delbari, Masoomeh, Afrasiab, Peyman, Loiskandl, Willibald, 2009. Using sequential Gaussian simulation to assess the field-scale spatial uncertainty of soil water content. CATENA 79(2), 163-169. https://doi.org/10.1016/j.catena.2009.08.001</w:t>
      </w:r>
    </w:p>
    <w:p>
      <w:pPr>
        <w:spacing w:line="480" w:lineRule="auto"/>
      </w:pPr>
      <w:r>
        <w:rPr>
          <w:rFonts w:ascii="Times New Roman" w:hAnsi="Times New Roman"/>
          <w:sz w:val="24"/>
        </w:rPr>
        <w:t>Soares, Mauricio Fornalski, Timm, Luís Carlos, Siqueira, Tirzah Moreira, dos Santos, Rodrigo César Vasconcelos, Reichardt, Klaus, 2023. Assessing the spatial variability of saturated soil hydraulic conductivity at the watershed scale using the sequential Gaussian co-simulation method. CATENA 221, 106756. https://doi.org/10.1016/j.catena.2022.106756</w:t>
      </w:r>
    </w:p>
    <w:p>
      <w:pPr>
        <w:spacing w:line="480" w:lineRule="auto"/>
      </w:pPr>
      <w:r>
        <w:rPr>
          <w:rFonts w:ascii="Times New Roman" w:hAnsi="Times New Roman"/>
          <w:sz w:val="24"/>
        </w:rPr>
        <w:t>Juang, C. Hsein, Zhang, Jie, Shen, Mengfen, Hu, Jinzheng, 2019. Probabilistic methods for unified treatment of geotechnical and geological uncertainties in a geotechnical analysis. Engineering Geology 249, 148-161. https://doi.org/10.1016/j.enggeo.2018.12.010</w:t>
      </w:r>
    </w:p>
    <w:p>
      <w:pPr>
        <w:spacing w:line="480" w:lineRule="auto"/>
      </w:pPr>
      <w:r>
        <w:rPr>
          <w:rFonts w:ascii="Times New Roman" w:hAnsi="Times New Roman"/>
          <w:sz w:val="24"/>
        </w:rPr>
        <w:t>Ghaffar, Salman, Jomaa, Seifeddine, Meon, Günter, Rode, Michael, 2021. Spatial validation of a semi-distributed hydrological nutrient transport model. Journal of Hydrology 593, 125818. https://doi.org/10.1016/j.jhydrol.2020.125818</w:t>
      </w:r>
    </w:p>
    <w:p>
      <w:pPr>
        <w:spacing w:line="480" w:lineRule="auto"/>
      </w:pPr>
      <w:r>
        <w:rPr>
          <w:rFonts w:ascii="Times New Roman" w:hAnsi="Times New Roman"/>
          <w:sz w:val="24"/>
        </w:rPr>
        <w:t>Yang, Wushuang, Chen, Hua, Xu, Chong-Yu, Huo, Ran, Chen, Jie, Guo, Shenglian, 2020. Temporal and spatial transferabilities of hydrological models under different climates and underlying surface conditions. Journal of Hydrology 591, 125276. https://doi.org/10.1016/j.jhydrol.2020.125276</w:t>
      </w:r>
    </w:p>
    <w:p>
      <w:pPr>
        <w:spacing w:line="480" w:lineRule="auto"/>
      </w:pPr>
      <w:r>
        <w:rPr>
          <w:rFonts w:ascii="Times New Roman" w:hAnsi="Times New Roman"/>
          <w:sz w:val="24"/>
        </w:rPr>
        <w:t>Razavi, Saman, Gupta, Hoshin V., 2016. A new framework for comprehensive, robust, and efficient global sensitivity analysis: 1. Theory. Water Resources Research 52(1), 423-439. https://doi.org/10.1002/2015wr017558</w:t>
      </w:r>
    </w:p>
    <w:p>
      <w:pPr>
        <w:spacing w:line="480" w:lineRule="auto"/>
      </w:pPr>
      <w:r>
        <w:rPr>
          <w:rFonts w:ascii="Times New Roman" w:hAnsi="Times New Roman"/>
          <w:sz w:val="24"/>
        </w:rPr>
        <w:t>Razavi, Saman, Gupta, Hoshin V., 2016. A new framework for comprehensive, robust, and efficient global sensitivity analysis: 2. Application. Water Resources Research 52(1), 440-455. https://doi.org/10.1002/2015wr017559</w:t>
      </w:r>
    </w:p>
    <w:p>
      <w:pPr>
        <w:spacing w:line="480" w:lineRule="auto"/>
      </w:pPr>
      <w:r>
        <w:rPr>
          <w:rFonts w:ascii="Times New Roman" w:hAnsi="Times New Roman"/>
          <w:sz w:val="24"/>
        </w:rPr>
        <w:t>Juang, C. Hsein, Gong, Wenping, Martin, James R., Chen, Qiushi, 2018. Model selection in geological and geotechnical engineering in the face of uncertainty - Does a complex model always outperform a simple model?. Engineering Geology 242, 184-196. https://doi.org/10.1016/j.enggeo.2018.05.022</w:t>
      </w:r>
    </w:p>
    <w:p>
      <w:pPr>
        <w:spacing w:line="480" w:lineRule="auto"/>
      </w:pPr>
      <w:r>
        <w:rPr>
          <w:rFonts w:ascii="Times New Roman" w:hAnsi="Times New Roman"/>
          <w:sz w:val="24"/>
        </w:rPr>
        <w:t>Shi, Chao, Wang, Yu, 2021. Non-parametric machine learning methods for interpolation of spatially varying non-stationary and non-Gaussian geotechnical properties. Geoscience Frontiers 12(1), 339-350. https://doi.org/10.1016/j.gsf.2020.01.011</w:t>
      </w:r>
    </w:p>
    <w:p>
      <w:pPr>
        <w:spacing w:line="480" w:lineRule="auto"/>
      </w:pPr>
      <w:r>
        <w:rPr>
          <w:rFonts w:ascii="Times New Roman" w:hAnsi="Times New Roman"/>
          <w:sz w:val="24"/>
        </w:rPr>
        <w:t>Parysow, Pablo, Wang, Guangxing, Gertner, George, Anderson, Alan B., 2003. Spatial uncertainty analysis for mapping soil erodibility based on joint sequential simulation. CATENA 53(1), 65-78. https://doi.org/10.1016/s0341-8162(02)00198-4</w:t>
      </w:r>
    </w:p>
    <w:p>
      <w:pPr>
        <w:spacing w:line="480" w:lineRule="auto"/>
      </w:pPr>
      <w:r>
        <w:rPr>
          <w:rFonts w:ascii="Times New Roman" w:hAnsi="Times New Roman"/>
          <w:sz w:val="24"/>
        </w:rPr>
        <w:t>Zell, Wesley O., Culver, Teresa B., Sanford, Ward E., 2018. Prediction uncertainty and data worth assessment for groundwater transport times in an agricultural catchment. Journal of Hydrology 561, 1019-1036. https://doi.org/10.1016/j.jhydrol.2018.02.006</w:t>
      </w:r>
    </w:p>
    <w:p>
      <w:pPr>
        <w:spacing w:line="480" w:lineRule="auto"/>
      </w:pPr>
      <w:r>
        <w:rPr>
          <w:rFonts w:ascii="Times New Roman" w:hAnsi="Times New Roman"/>
          <w:sz w:val="24"/>
        </w:rPr>
        <w:t>Høyer, A.S., Sandersen, P.B.E., Andersen, L.T., Madsen, R.B., Mortensen, M.H., Møller, I., 2024. Evaluating the chain of uncertainties in the 3D geological modelling workflow. Engineering Geology 343, 107792. https://doi.org/10.1016/j.enggeo.2024.107792</w:t>
      </w:r>
    </w:p>
    <w:p>
      <w:pPr>
        <w:spacing w:line="480" w:lineRule="auto"/>
      </w:pPr>
      <w:r>
        <w:rPr>
          <w:rFonts w:ascii="Times New Roman" w:hAnsi="Times New Roman"/>
          <w:sz w:val="24"/>
        </w:rPr>
        <w:t>Shin, Mun-Ju, Jung, Yong, 2022. Using a global sensitivity analysis to estimate the appropriate length of calibration period in the presence of high hydrological model uncertainty. Journal of Hydrology 607, 127546. https://doi.org/10.1016/j.jhydrol.2022.127546</w:t>
      </w:r>
    </w:p>
    <w:sectPr w:rsidR="00FC693F" w:rsidRPr="0006063C" w:rsidSect="00034616">
      <w:pgSz w:w="12240" w:h="15840"/>
      <w:pgMar w:top="1440" w:right="1800" w:bottom="1440" w:left="1800" w:header="720" w:footer="720" w:gutter="0"/>
      <w:cols w:space="720"/>
      <w:docGrid w:linePitch="360"/>
      <w:lnNumType w:countBy="1"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48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