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Declaration of competing interests</w:t>
      </w:r>
    </w:p>
    <w:p>
      <w:r/>
    </w:p>
    <w:p>
      <w:r>
        <w:t>For the manuscript "An Auditable SGS Uncertainty Framework with Diagnostic Independence and Assumption Impact Ranking", the author declares no known competing financial interests or personal relationships that could have influenced the work reported in this paper.</w:t>
      </w:r>
    </w:p>
    <w:p>
      <w:r>
        <w:t>Affiliation: Sakariya Mines and Minerals, 1402 Ecostation Business Tower, Newtown, Rajarhat, Kolkata, West Bengal 700160</w:t>
      </w:r>
    </w:p>
    <w:p>
      <w:r/>
    </w:p>
    <w:p>
      <w:r>
        <w:t>Corresponding Author: Sudipta Chanda</w:t>
      </w:r>
    </w:p>
    <w:p>
      <w:r>
        <w:t>Corresponding Author email. sudipta.chanda@sakariya.in</w:t>
      </w:r>
    </w:p>
    <w:p>
      <w:r>
        <w:t>Corresponding Author phone: +91 99980 90543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