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Leave Policy</w:t>
      </w:r>
    </w:p>
    <w:p>
      <w:r>
        <w:t>Document ID: HR-LEAVE-001</w:t>
        <w:br/>
        <w:t>Version: 1.0</w:t>
        <w:br/>
        <w:t>Effective Date: 01-Jan-2026</w:t>
      </w:r>
    </w:p>
    <w:p>
      <w:pPr>
        <w:pStyle w:val="Heading2"/>
      </w:pPr>
      <w:r>
        <w:t>1. Purpose</w:t>
      </w:r>
    </w:p>
    <w:p>
      <w:r>
        <w:t>The purpose of this policy is to provide employees with paid and unpaid leave benefits while ensuring business continuity.</w:t>
      </w:r>
    </w:p>
    <w:p>
      <w:pPr>
        <w:pStyle w:val="Heading2"/>
      </w:pPr>
      <w:r>
        <w:t>2. Eligibility</w:t>
      </w:r>
    </w:p>
    <w:p>
      <w:r>
        <w:t>This policy applies to all full-time employees. Contract employees and consultants are governed by their respective agreements.</w:t>
      </w:r>
    </w:p>
    <w:p>
      <w:pPr>
        <w:pStyle w:val="Heading2"/>
      </w:pPr>
      <w:r>
        <w:t>3. Casual Leave (CL)</w:t>
      </w:r>
    </w:p>
    <w:p>
      <w:r>
        <w:t>Annual entitlement: 12 days. Maximum 3 consecutive days. Cannot be carried forward or encashed.</w:t>
      </w:r>
    </w:p>
    <w:p>
      <w:pPr>
        <w:pStyle w:val="Heading2"/>
      </w:pPr>
      <w:r>
        <w:t>4. Sick Leave (SL)</w:t>
      </w:r>
    </w:p>
    <w:p>
      <w:r>
        <w:t>Annual entitlement: 10 days. Medical certificate required for leave exceeding 2 consecutive days.</w:t>
      </w:r>
    </w:p>
    <w:p>
      <w:pPr>
        <w:pStyle w:val="Heading2"/>
      </w:pPr>
      <w:r>
        <w:t>5. Earned Leave (EL)</w:t>
      </w:r>
    </w:p>
    <w:p>
      <w:r>
        <w:t>Annual entitlement: 18 days. Can accumulate up to 45 days. Up to 10 days may be encashed per year.</w:t>
      </w:r>
    </w:p>
    <w:p>
      <w:pPr>
        <w:pStyle w:val="Heading2"/>
      </w:pPr>
      <w:r>
        <w:t>6. Maternity Leave</w:t>
      </w:r>
    </w:p>
    <w:p>
      <w:r>
        <w:t>Eligible female employees are entitled to 26 weeks of paid leave.</w:t>
      </w:r>
    </w:p>
    <w:p>
      <w:pPr>
        <w:pStyle w:val="Heading2"/>
      </w:pPr>
      <w:r>
        <w:t>7. Paternity Leave</w:t>
      </w:r>
    </w:p>
    <w:p>
      <w:r>
        <w:t>Eligible male employees are entitled to 10 working days within 6 months of childbirth.</w:t>
      </w:r>
    </w:p>
    <w:p>
      <w:pPr>
        <w:pStyle w:val="Heading2"/>
      </w:pPr>
      <w:r>
        <w:t>8. Bereavement Leave</w:t>
      </w:r>
    </w:p>
    <w:p>
      <w:r>
        <w:t>5 working days for immediate family members.</w:t>
      </w:r>
    </w:p>
    <w:p>
      <w:pPr>
        <w:pStyle w:val="Heading2"/>
      </w:pPr>
      <w:r>
        <w:t>9. Marriage Leave</w:t>
      </w:r>
    </w:p>
    <w:p>
      <w:r>
        <w:t>7 working days, once during employment tenure.</w:t>
      </w:r>
    </w:p>
    <w:p>
      <w:pPr>
        <w:pStyle w:val="Heading2"/>
      </w:pPr>
      <w:r>
        <w:t>10. Leave Application Process</w:t>
      </w:r>
    </w:p>
    <w:p>
      <w:r>
        <w:t>Planned leave requires advance approval. Emergency leave should be reported within 24 hours.</w:t>
      </w:r>
    </w:p>
    <w:p>
      <w:pPr>
        <w:pStyle w:val="Heading2"/>
      </w:pPr>
      <w:r>
        <w:t>11. Leave During Probation</w:t>
      </w:r>
    </w:p>
    <w:p>
      <w:r>
        <w:t>Casual and Sick Leave allowed. Earned Leave not allowed.</w:t>
      </w:r>
    </w:p>
    <w:p>
      <w:pPr>
        <w:pStyle w:val="Heading2"/>
      </w:pPr>
      <w:r>
        <w:t>12. Leave Without Pay (LWP)</w:t>
      </w:r>
    </w:p>
    <w:p>
      <w:r>
        <w:t>May be requested when paid leave balances are exhausted.</w:t>
      </w:r>
    </w:p>
    <w:p>
      <w:pPr>
        <w:pStyle w:val="Heading2"/>
      </w:pPr>
      <w:r>
        <w:t>13. Public Holidays</w:t>
      </w:r>
    </w:p>
    <w:p>
      <w:r>
        <w:t>Employees are entitled to company-declared public holidays.</w:t>
      </w:r>
    </w:p>
    <w:p>
      <w:pPr>
        <w:pStyle w:val="Heading2"/>
      </w:pPr>
      <w:r>
        <w:t>14. Policy Violations</w:t>
      </w:r>
    </w:p>
    <w:p>
      <w:r>
        <w:t>Unauthorized absence or falsified documents may result in disciplinary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