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Multi-Ecosystem Food Service Platform: Overall Tool User Guide</w:t>
      </w:r>
    </w:p>
    <w:p>
      <w:pPr>
        <w:pStyle w:val="Heading2"/>
        <w:spacing w:lineRule="auto"/>
      </w:pPr>
      <w:r>
        <w:rPr/>
        <w:t xml:space="preserve">Table of Contents</w:t>
      </w:r>
    </w:p>
    <w:p>
      <w:pPr>
        <w:numPr>
          <w:ilvl w:val="0"/>
          <w:numId w:val="1"/>
        </w:numPr>
        <w:spacing w:lineRule="auto"/>
      </w:pPr>
      <w:hyperlink r:id="rId5">
        <w:r>
          <w:rPr>
            <w:rStyle w:val="Hyperlink"/>
          </w:rPr>
          <w:t xml:space="preserve">Introduction and Onboarding</w:t>
        </w:r>
      </w:hyperlink>
    </w:p>
    <w:p>
      <w:pPr>
        <w:numPr>
          <w:ilvl w:val="0"/>
          <w:numId w:val="1"/>
        </w:numPr>
        <w:spacing w:lineRule="auto"/>
      </w:pPr>
      <w:hyperlink r:id="rId6">
        <w:r>
          <w:rPr>
            <w:rStyle w:val="Hyperlink"/>
          </w:rPr>
          <w:t xml:space="preserve">Main Dashboard Overview</w:t>
        </w:r>
      </w:hyperlink>
    </w:p>
    <w:p>
      <w:pPr>
        <w:numPr>
          <w:ilvl w:val="0"/>
          <w:numId w:val="1"/>
        </w:numPr>
        <w:spacing w:lineRule="auto"/>
      </w:pPr>
      <w:hyperlink r:id="rId7">
        <w:r>
          <w:rPr>
            <w:rStyle w:val="Hyperlink"/>
          </w:rPr>
          <w:t xml:space="preserve">Managing User Roles and Permissions</w:t>
        </w:r>
      </w:hyperlink>
    </w:p>
    <w:p>
      <w:pPr>
        <w:numPr>
          <w:ilvl w:val="0"/>
          <w:numId w:val="1"/>
        </w:numPr>
        <w:spacing w:lineRule="auto"/>
      </w:pPr>
      <w:hyperlink r:id="rId8">
        <w:r>
          <w:rPr>
            <w:rStyle w:val="Hyperlink"/>
          </w:rPr>
          <w:t xml:space="preserve">Platform Settings and Configuration</w:t>
        </w:r>
      </w:hyperlink>
    </w:p>
    <w:p>
      <w:pPr>
        <w:numPr>
          <w:ilvl w:val="0"/>
          <w:numId w:val="1"/>
        </w:numPr>
        <w:spacing w:lineRule="auto"/>
      </w:pPr>
      <w:hyperlink r:id="rId9">
        <w:r>
          <w:rPr>
            <w:rStyle w:val="Hyperlink"/>
          </w:rPr>
          <w:t xml:space="preserve">Core Features and Shared Modules</w:t>
        </w:r>
      </w:hyperlink>
    </w:p>
    <w:p>
      <w:pPr>
        <w:numPr>
          <w:ilvl w:val="0"/>
          <w:numId w:val="1"/>
        </w:numPr>
        <w:spacing w:lineRule="auto"/>
      </w:pPr>
      <w:hyperlink r:id="rId10">
        <w:r>
          <w:rPr>
            <w:rStyle w:val="Hyperlink"/>
          </w:rPr>
          <w:t xml:space="preserve">Integrations Management</w:t>
        </w:r>
      </w:hyperlink>
    </w:p>
    <w:p>
      <w:pPr>
        <w:numPr>
          <w:ilvl w:val="0"/>
          <w:numId w:val="1"/>
        </w:numPr>
        <w:spacing w:lineRule="auto"/>
      </w:pPr>
      <w:hyperlink r:id="rId11">
        <w:r>
          <w:rPr>
            <w:rStyle w:val="Hyperlink"/>
          </w:rPr>
          <w:t xml:space="preserve">Reporting and Analytics</w:t>
        </w:r>
      </w:hyperlink>
    </w:p>
    <w:p>
      <w:pPr>
        <w:numPr>
          <w:ilvl w:val="0"/>
          <w:numId w:val="1"/>
        </w:numPr>
        <w:spacing w:lineRule="auto"/>
      </w:pPr>
      <w:hyperlink r:id="rId12">
        <w:r>
          <w:rPr>
            <w:rStyle w:val="Hyperlink"/>
          </w:rPr>
          <w:t xml:space="preserve">Support and Troubleshooting</w:t>
        </w:r>
      </w:hyperlink>
    </w:p>
    <w:p>
      <w:pPr>
        <w:numPr>
          <w:ilvl w:val="0"/>
          <w:numId w:val="1"/>
        </w:numPr>
        <w:spacing w:lineRule="auto"/>
      </w:pPr>
      <w:hyperlink r:id="rId13">
        <w:r>
          <w:rPr>
            <w:rStyle w:val="Hyperlink"/>
          </w:rPr>
          <w:t xml:space="preserve">Ecosystem Previews</w:t>
        </w:r>
      </w:hyperlink>
    </w:p>
    <w:p>
      <w:pPr>
        <w:pStyle w:val="Heading2"/>
        <w:spacing w:lineRule="auto"/>
      </w:pPr>
      <w:r>
        <w:rPr/>
        <w:t xml:space="preserve">1. Introduction and Onboarding</w:t>
      </w:r>
    </w:p>
    <w:p>
      <w:pPr>
        <w:spacing w:lineRule="auto"/>
      </w:pPr>
      <w:r>
        <w:rPr/>
        <w:t xml:space="preserve">Welcome to the Multi-Ecosystem Food Service Platform. This unified tool is the central command hub connecting all your food service operations, whether you run a traditional restaurant, a food truck, or multiple diverse entities simultaneously.</w:t>
      </w:r>
    </w:p>
    <w:p>
      <w:pPr>
        <w:pStyle w:val="Heading3"/>
        <w:spacing w:lineRule="auto"/>
      </w:pPr>
      <w:r>
        <w:rPr/>
        <w:t xml:space="preserve">1.1 First-Time Login and Account Verification</w:t>
      </w:r>
    </w:p>
    <w:p>
      <w:pPr>
        <w:numPr>
          <w:ilvl w:val="0"/>
          <w:numId w:val="2"/>
        </w:numPr>
        <w:spacing w:lineRule="auto"/>
      </w:pPr>
      <w:r>
        <w:rPr>
          <w:b/>
        </w:rPr>
        <w:t xml:space="preserve">Navigate to the Platform URL and enter your administrative credentials.</w:t>
      </w:r>
    </w:p>
    <w:p>
      <w:pPr>
        <w:numPr>
          <w:ilvl w:val="1"/>
          <w:numId w:val="3"/>
        </w:numPr>
        <w:spacing w:lineRule="auto"/>
      </w:pPr>
      <w:r>
        <w:rPr/>
        <w:t xml:space="preserve">Why this matters:</w:t>
      </w:r>
      <w:r>
        <w:rPr/>
        <w:t xml:space="preserve"> Secures your account and ensures you access the correct organizational workspace.</w:t>
      </w:r>
    </w:p>
    <w:p>
      <w:pPr>
        <w:numPr>
          <w:ilvl w:val="1"/>
          <w:numId w:val="3"/>
        </w:numPr>
        <w:spacing w:lineRule="auto"/>
      </w:pPr>
      <w:r>
        <w:rPr/>
        <w:t xml:space="preserve">[Insert Screenshot: Login page showing username/password fields and the prominent "Sign In" button.]</w:t>
      </w:r>
    </w:p>
    <w:p>
      <w:pPr>
        <w:numPr>
          <w:ilvl w:val="0"/>
          <w:numId w:val="2"/>
        </w:numPr>
        <w:spacing w:lineRule="auto"/>
      </w:pPr>
      <w:r>
        <w:rPr>
          <w:b/>
        </w:rPr>
        <w:t xml:space="preserve">Complete the Multi-Factor Authentication (MFA) step.</w:t>
      </w:r>
    </w:p>
    <w:p>
      <w:pPr>
        <w:numPr>
          <w:ilvl w:val="1"/>
          <w:numId w:val="4"/>
        </w:numPr>
        <w:spacing w:lineRule="auto"/>
      </w:pPr>
      <w:r>
        <w:rPr/>
        <w:t xml:space="preserve">Why this matters:</w:t>
      </w:r>
      <w:r>
        <w:rPr/>
        <w:t xml:space="preserve"> Adds an essential layer of security to protect sensitive financial and business data.</w:t>
      </w:r>
    </w:p>
    <w:p>
      <w:pPr>
        <w:numPr>
          <w:ilvl w:val="1"/>
          <w:numId w:val="4"/>
        </w:numPr>
        <w:spacing w:lineRule="auto"/>
      </w:pPr>
      <w:r>
        <w:rPr/>
        <w:t xml:space="preserve">[Insert Screenshot: MFA prompt requesting the 6-digit code sent to the user's mobile device or authenticator app.]</w:t>
      </w:r>
    </w:p>
    <w:p>
      <w:pPr>
        <w:numPr>
          <w:ilvl w:val="0"/>
          <w:numId w:val="2"/>
        </w:numPr>
        <w:spacing w:lineRule="auto"/>
      </w:pPr>
      <w:r>
        <w:rPr>
          <w:b/>
        </w:rPr>
        <w:t xml:space="preserve">Review and accept the platform Master Service Agreement.</w:t>
      </w:r>
    </w:p>
    <w:p>
      <w:pPr>
        <w:numPr>
          <w:ilvl w:val="1"/>
          <w:numId w:val="5"/>
        </w:numPr>
        <w:spacing w:lineRule="auto"/>
      </w:pPr>
      <w:r>
        <w:rPr/>
        <w:t xml:space="preserve">Why this matters:</w:t>
      </w:r>
      <w:r>
        <w:rPr/>
        <w:t xml:space="preserve"> Establishes the terms of use and data privacy policies before active onboarding begins.</w:t>
      </w:r>
    </w:p>
    <w:p>
      <w:pPr>
        <w:numPr>
          <w:ilvl w:val="1"/>
          <w:numId w:val="5"/>
        </w:numPr>
        <w:spacing w:lineRule="auto"/>
      </w:pPr>
      <w:r>
        <w:rPr/>
        <w:t xml:space="preserve">[Insert Screenshot: Terms of Service modal with scrollable text and an "I Accept" button at the bottom.]</w:t>
      </w:r>
    </w:p>
    <w:p>
      <w:pPr>
        <w:pStyle w:val="Heading2"/>
        <w:spacing w:lineRule="auto"/>
      </w:pPr>
      <w:r>
        <w:rPr/>
        <w:t xml:space="preserve">2. Main Dashboard Overview</w:t>
      </w:r>
    </w:p>
    <w:p>
      <w:pPr>
        <w:pStyle w:val="Heading3"/>
        <w:spacing w:lineRule="auto"/>
      </w:pPr>
      <w:r>
        <w:rPr/>
        <w:t xml:space="preserve">2.1 Customizing Your View</w:t>
      </w:r>
    </w:p>
    <w:p>
      <w:pPr>
        <w:numPr>
          <w:ilvl w:val="0"/>
          <w:numId w:val="6"/>
        </w:numPr>
        <w:spacing w:lineRule="auto"/>
      </w:pPr>
      <w:r>
        <w:rPr>
          <w:b/>
        </w:rPr>
        <w:t xml:space="preserve">Click the "Customize Dashboard" icon in the top right corner of the screen.</w:t>
      </w:r>
    </w:p>
    <w:p>
      <w:pPr>
        <w:numPr>
          <w:ilvl w:val="1"/>
          <w:numId w:val="7"/>
        </w:numPr>
        <w:spacing w:lineRule="auto"/>
      </w:pPr>
      <w:r>
        <w:rPr/>
        <w:t xml:space="preserve">Why this matters:</w:t>
      </w:r>
      <w:r>
        <w:rPr/>
        <w:t xml:space="preserve"> Allows you to prioritize the metrics, widgets, and KPIs most relevant to your daily administrative operations.</w:t>
      </w:r>
    </w:p>
    <w:p>
      <w:pPr>
        <w:numPr>
          <w:ilvl w:val="1"/>
          <w:numId w:val="7"/>
        </w:numPr>
        <w:spacing w:lineRule="auto"/>
      </w:pPr>
      <w:r>
        <w:rPr/>
        <w:t xml:space="preserve">[Insert Screenshot: Main dashboard showing the top navigation bar with the "Customize Dashboard" gear icon highlighted.]</w:t>
      </w:r>
    </w:p>
    <w:p>
      <w:pPr>
        <w:numPr>
          <w:ilvl w:val="0"/>
          <w:numId w:val="6"/>
        </w:numPr>
        <w:spacing w:lineRule="auto"/>
      </w:pPr>
      <w:r>
        <w:rPr>
          <w:b/>
        </w:rPr>
        <w:t xml:space="preserve">Drag and drop widget cards to rearrange your layout.</w:t>
      </w:r>
    </w:p>
    <w:p>
      <w:pPr>
        <w:numPr>
          <w:ilvl w:val="1"/>
          <w:numId w:val="8"/>
        </w:numPr>
        <w:spacing w:lineRule="auto"/>
      </w:pPr>
      <w:r>
        <w:rPr/>
        <w:t xml:space="preserve">Why this matters:</w:t>
      </w:r>
      <w:r>
        <w:rPr/>
        <w:t xml:space="preserve"> Tailoring the layout ensures immediate visibility of critical data like global live sales or active system alerts.</w:t>
      </w:r>
    </w:p>
    <w:p>
      <w:pPr>
        <w:numPr>
          <w:ilvl w:val="1"/>
          <w:numId w:val="8"/>
        </w:numPr>
        <w:spacing w:lineRule="auto"/>
      </w:pPr>
      <w:r>
        <w:rPr/>
        <w:t xml:space="preserve">[Insert Screenshot: Widget customization drawer open on the right, showing a user dragging a "Global Daily Revenue" widget.]</w:t>
      </w:r>
    </w:p>
    <w:p>
      <w:pPr>
        <w:numPr>
          <w:ilvl w:val="0"/>
          <w:numId w:val="6"/>
        </w:numPr>
        <w:spacing w:lineRule="auto"/>
      </w:pPr>
      <w:r>
        <w:rPr>
          <w:b/>
        </w:rPr>
        <w:t xml:space="preserve">Click "Save Layout" to apply your changes.</w:t>
      </w:r>
    </w:p>
    <w:p>
      <w:pPr>
        <w:numPr>
          <w:ilvl w:val="1"/>
          <w:numId w:val="9"/>
        </w:numPr>
        <w:spacing w:lineRule="auto"/>
      </w:pPr>
      <w:r>
        <w:rPr/>
        <w:t xml:space="preserve">Why this matters:</w:t>
      </w:r>
      <w:r>
        <w:rPr/>
        <w:t xml:space="preserve"> Persists your personalized view across all subsequent login sessions.</w:t>
      </w:r>
    </w:p>
    <w:p>
      <w:pPr>
        <w:numPr>
          <w:ilvl w:val="1"/>
          <w:numId w:val="9"/>
        </w:numPr>
        <w:spacing w:lineRule="auto"/>
      </w:pPr>
      <w:r>
        <w:rPr/>
        <w:t xml:space="preserve">[Insert Screenshot: The bottom of the customization drawer showing a green "Save Layout" button.]</w:t>
      </w:r>
    </w:p>
    <w:p>
      <w:pPr>
        <w:pStyle w:val="Heading3"/>
        <w:spacing w:lineRule="auto"/>
      </w:pPr>
      <w:r>
        <w:rPr/>
        <w:t xml:space="preserve">2.2 Navigating Between Ecosystems</w:t>
      </w:r>
    </w:p>
    <w:p>
      <w:pPr>
        <w:numPr>
          <w:ilvl w:val="0"/>
          <w:numId w:val="10"/>
        </w:numPr>
        <w:spacing w:lineRule="auto"/>
      </w:pPr>
      <w:r>
        <w:rPr>
          <w:b/>
        </w:rPr>
        <w:t xml:space="preserve">Locate the "Context Switcher" dropdown in the top left navigation bar.</w:t>
      </w:r>
    </w:p>
    <w:p>
      <w:pPr>
        <w:numPr>
          <w:ilvl w:val="1"/>
          <w:numId w:val="11"/>
        </w:numPr>
        <w:spacing w:lineRule="auto"/>
      </w:pPr>
      <w:r>
        <w:rPr/>
        <w:t xml:space="preserve">Why this matters:</w:t>
      </w:r>
      <w:r>
        <w:rPr/>
        <w:t xml:space="preserve"> Provides seamless transitions between the overarching administrative view and specific operating environments.</w:t>
      </w:r>
    </w:p>
    <w:p>
      <w:pPr>
        <w:numPr>
          <w:ilvl w:val="1"/>
          <w:numId w:val="11"/>
        </w:numPr>
        <w:spacing w:lineRule="auto"/>
      </w:pPr>
      <w:r>
        <w:rPr/>
        <w:t xml:space="preserve">[Insert Screenshot: Top navigation bar with the Context Switcher dropdown expanded, showing "Global Admin", "Restaurant View", and "Food Truck View".]</w:t>
      </w:r>
    </w:p>
    <w:p>
      <w:pPr>
        <w:numPr>
          <w:ilvl w:val="0"/>
          <w:numId w:val="10"/>
        </w:numPr>
        <w:spacing w:lineRule="auto"/>
      </w:pPr>
      <w:r>
        <w:rPr>
          <w:b/>
        </w:rPr>
        <w:t xml:space="preserve">Select the desired ecosystem (e.g., "Restaurant View") from the dropdown list.</w:t>
      </w:r>
    </w:p>
    <w:p>
      <w:pPr>
        <w:numPr>
          <w:ilvl w:val="1"/>
          <w:numId w:val="12"/>
        </w:numPr>
        <w:spacing w:lineRule="auto"/>
      </w:pPr>
      <w:r>
        <w:rPr/>
        <w:t xml:space="preserve">Why this matters:</w:t>
      </w:r>
      <w:r>
        <w:rPr/>
        <w:t xml:space="preserve"> Changes your active workspace, loading the specific modules, permissions, and data associated with that ecosystem.</w:t>
      </w:r>
    </w:p>
    <w:p>
      <w:pPr>
        <w:numPr>
          <w:ilvl w:val="1"/>
          <w:numId w:val="12"/>
        </w:numPr>
        <w:spacing w:lineRule="auto"/>
      </w:pPr>
      <w:r>
        <w:rPr/>
        <w:t xml:space="preserve">[Insert Screenshot: The dashboard reloading state with a skeleton loader indicating the context switch.]</w:t>
      </w:r>
    </w:p>
    <w:p>
      <w:pPr>
        <w:pStyle w:val="Heading2"/>
        <w:spacing w:lineRule="auto"/>
      </w:pPr>
      <w:r>
        <w:rPr/>
        <w:t xml:space="preserve">3. Managing User Roles and Permissions</w:t>
      </w:r>
    </w:p>
    <w:p>
      <w:pPr>
        <w:pStyle w:val="Heading3"/>
        <w:spacing w:lineRule="auto"/>
      </w:pPr>
      <w:r>
        <w:rPr/>
        <w:t xml:space="preserve">3.1 Inviting a New Team Member</w:t>
      </w:r>
    </w:p>
    <w:p>
      <w:pPr>
        <w:numPr>
          <w:ilvl w:val="0"/>
          <w:numId w:val="13"/>
        </w:numPr>
        <w:spacing w:lineRule="auto"/>
      </w:pPr>
      <w:r>
        <w:rPr>
          <w:b/>
        </w:rPr>
        <w:t xml:space="preserve">Navigate to "Settings" &gt; "User Management" from the main left sidebar.</w:t>
      </w:r>
    </w:p>
    <w:p>
      <w:pPr>
        <w:numPr>
          <w:ilvl w:val="1"/>
          <w:numId w:val="14"/>
        </w:numPr>
        <w:spacing w:lineRule="auto"/>
      </w:pPr>
      <w:r>
        <w:rPr/>
        <w:t xml:space="preserve">Why this matters:</w:t>
      </w:r>
      <w:r>
        <w:rPr/>
        <w:t xml:space="preserve"> Directs you to the centralized hub for controlling all platform access across all entities.</w:t>
      </w:r>
    </w:p>
    <w:p>
      <w:pPr>
        <w:numPr>
          <w:ilvl w:val="1"/>
          <w:numId w:val="14"/>
        </w:numPr>
        <w:spacing w:lineRule="auto"/>
      </w:pPr>
      <w:r>
        <w:rPr/>
        <w:t xml:space="preserve">[Insert Screenshot: Left sidebar navigation with the "Settings" menu expanded and "User Management" highlighted.]</w:t>
      </w:r>
    </w:p>
    <w:p>
      <w:pPr>
        <w:numPr>
          <w:ilvl w:val="0"/>
          <w:numId w:val="13"/>
        </w:numPr>
        <w:spacing w:lineRule="auto"/>
      </w:pPr>
      <w:r>
        <w:rPr>
          <w:b/>
        </w:rPr>
        <w:t xml:space="preserve">Click the "Invite User" button in the upper right corner of the user list panel.</w:t>
      </w:r>
    </w:p>
    <w:p>
      <w:pPr>
        <w:numPr>
          <w:ilvl w:val="1"/>
          <w:numId w:val="15"/>
        </w:numPr>
        <w:spacing w:lineRule="auto"/>
      </w:pPr>
      <w:r>
        <w:rPr/>
        <w:t xml:space="preserve">Why this matters:</w:t>
      </w:r>
      <w:r>
        <w:rPr/>
        <w:t xml:space="preserve"> Initiates the secure workflow to grant platform access to a new employee, manager, or stakeholder.</w:t>
      </w:r>
    </w:p>
    <w:p>
      <w:pPr>
        <w:numPr>
          <w:ilvl w:val="1"/>
          <w:numId w:val="15"/>
        </w:numPr>
        <w:spacing w:lineRule="auto"/>
      </w:pPr>
      <w:r>
        <w:rPr/>
        <w:t xml:space="preserve">[Insert Screenshot: User Management data table showing the list of current users and a primary "Invite User" button.]</w:t>
      </w:r>
    </w:p>
    <w:p>
      <w:pPr>
        <w:numPr>
          <w:ilvl w:val="0"/>
          <w:numId w:val="13"/>
        </w:numPr>
        <w:spacing w:lineRule="auto"/>
      </w:pPr>
      <w:r>
        <w:rPr>
          <w:b/>
        </w:rPr>
        <w:t xml:space="preserve">Enter the user's email address and assign a Base Role (e.g., Administrator, Manager, Basic Staff).</w:t>
      </w:r>
    </w:p>
    <w:p>
      <w:pPr>
        <w:numPr>
          <w:ilvl w:val="1"/>
          <w:numId w:val="16"/>
        </w:numPr>
        <w:spacing w:lineRule="auto"/>
      </w:pPr>
      <w:r>
        <w:rPr/>
        <w:t xml:space="preserve">Why this matters:</w:t>
      </w:r>
      <w:r>
        <w:rPr/>
        <w:t xml:space="preserve"> Determines the foundational permissions, reading/writing rights, and modules the user can access upon their first login.</w:t>
      </w:r>
    </w:p>
    <w:p>
      <w:pPr>
        <w:numPr>
          <w:ilvl w:val="1"/>
          <w:numId w:val="16"/>
        </w:numPr>
        <w:spacing w:lineRule="auto"/>
      </w:pPr>
      <w:r>
        <w:rPr/>
        <w:t xml:space="preserve">[Insert Screenshot: "Invite User" modal displaying an email input field and a "Base Role" dropdown menu.]</w:t>
      </w:r>
    </w:p>
    <w:p>
      <w:pPr>
        <w:numPr>
          <w:ilvl w:val="0"/>
          <w:numId w:val="13"/>
        </w:numPr>
        <w:spacing w:lineRule="auto"/>
      </w:pPr>
      <w:r>
        <w:rPr>
          <w:b/>
        </w:rPr>
        <w:t xml:space="preserve">Click "Send Invitation".</w:t>
      </w:r>
    </w:p>
    <w:p>
      <w:pPr>
        <w:numPr>
          <w:ilvl w:val="1"/>
          <w:numId w:val="17"/>
        </w:numPr>
        <w:spacing w:lineRule="auto"/>
      </w:pPr>
      <w:r>
        <w:rPr/>
        <w:t xml:space="preserve">Why this matters:</w:t>
      </w:r>
      <w:r>
        <w:rPr/>
        <w:t xml:space="preserve"> Triggers an automated, time-sensitive welcome email with secure password creation instructions for the new user.</w:t>
      </w:r>
    </w:p>
    <w:p>
      <w:pPr>
        <w:numPr>
          <w:ilvl w:val="1"/>
          <w:numId w:val="17"/>
        </w:numPr>
        <w:spacing w:lineRule="auto"/>
      </w:pPr>
      <w:r>
        <w:rPr/>
        <w:t xml:space="preserve">[Insert Screenshot: Success toast notification in the bottom right corner reading "Invitation sent successfully to user@example.com".]</w:t>
      </w:r>
    </w:p>
    <w:p>
      <w:pPr>
        <w:pStyle w:val="Heading2"/>
        <w:spacing w:lineRule="auto"/>
      </w:pPr>
      <w:r>
        <w:rPr/>
        <w:t xml:space="preserve">4. Platform Settings and Configuration</w:t>
      </w:r>
    </w:p>
    <w:p>
      <w:pPr>
        <w:pStyle w:val="Heading3"/>
        <w:spacing w:lineRule="auto"/>
      </w:pPr>
      <w:r>
        <w:rPr/>
        <w:t xml:space="preserve">4.1 Configuring the Global Business Profile</w:t>
      </w:r>
    </w:p>
    <w:p>
      <w:pPr>
        <w:numPr>
          <w:ilvl w:val="0"/>
          <w:numId w:val="18"/>
        </w:numPr>
        <w:spacing w:lineRule="auto"/>
      </w:pPr>
      <w:r>
        <w:rPr>
          <w:b/>
        </w:rPr>
        <w:t xml:space="preserve">Navigate to "Settings" &gt; "Global Profile".</w:t>
      </w:r>
    </w:p>
    <w:p>
      <w:pPr>
        <w:numPr>
          <w:ilvl w:val="1"/>
          <w:numId w:val="19"/>
        </w:numPr>
        <w:spacing w:lineRule="auto"/>
      </w:pPr>
      <w:r>
        <w:rPr/>
        <w:t xml:space="preserve">Why this matters:</w:t>
      </w:r>
      <w:r>
        <w:rPr/>
        <w:t xml:space="preserve"> This is where core overarching business identity details, shared across all attached ecosystems, are maintained.</w:t>
      </w:r>
    </w:p>
    <w:p>
      <w:pPr>
        <w:numPr>
          <w:ilvl w:val="1"/>
          <w:numId w:val="19"/>
        </w:numPr>
        <w:spacing w:lineRule="auto"/>
      </w:pPr>
      <w:r>
        <w:rPr/>
        <w:t xml:space="preserve">[Insert Screenshot: Left sidebar navigation with "Global Profile" selected under the Settings header.]</w:t>
      </w:r>
    </w:p>
    <w:p>
      <w:pPr>
        <w:numPr>
          <w:ilvl w:val="0"/>
          <w:numId w:val="18"/>
        </w:numPr>
        <w:spacing w:lineRule="auto"/>
      </w:pPr>
      <w:r>
        <w:rPr>
          <w:b/>
        </w:rPr>
        <w:t xml:space="preserve">Update the Business Name, Tax ID, and Corporate Address fields.</w:t>
      </w:r>
    </w:p>
    <w:p>
      <w:pPr>
        <w:numPr>
          <w:ilvl w:val="1"/>
          <w:numId w:val="20"/>
        </w:numPr>
        <w:spacing w:lineRule="auto"/>
      </w:pPr>
      <w:r>
        <w:rPr/>
        <w:t xml:space="preserve">Why this matters:</w:t>
      </w:r>
      <w:r>
        <w:rPr/>
        <w:t xml:space="preserve"> Ensures all generated invoices, system reports, and customer receipts maintain strict legal and brand compliance.</w:t>
      </w:r>
    </w:p>
    <w:p>
      <w:pPr>
        <w:numPr>
          <w:ilvl w:val="1"/>
          <w:numId w:val="20"/>
        </w:numPr>
        <w:spacing w:lineRule="auto"/>
      </w:pPr>
      <w:r>
        <w:rPr/>
        <w:t xml:space="preserve">[Insert Screenshot: Global Profile form showing active input fields for Business Name, Tax ID/VAT, and Corporate Address.]</w:t>
      </w:r>
    </w:p>
    <w:p>
      <w:pPr>
        <w:numPr>
          <w:ilvl w:val="0"/>
          <w:numId w:val="18"/>
        </w:numPr>
        <w:spacing w:lineRule="auto"/>
      </w:pPr>
      <w:r>
        <w:rPr>
          <w:b/>
        </w:rPr>
        <w:t xml:space="preserve">Upload the primary brand logo.</w:t>
      </w:r>
    </w:p>
    <w:p>
      <w:pPr>
        <w:numPr>
          <w:ilvl w:val="1"/>
          <w:numId w:val="21"/>
        </w:numPr>
        <w:spacing w:lineRule="auto"/>
      </w:pPr>
      <w:r>
        <w:rPr/>
        <w:t xml:space="preserve">Why this matters:</w:t>
      </w:r>
      <w:r>
        <w:rPr/>
        <w:t xml:space="preserve"> Establishes brand consistency across the main dashboard, POS terminals, and customer-facing interfaces.</w:t>
      </w:r>
    </w:p>
    <w:p>
      <w:pPr>
        <w:numPr>
          <w:ilvl w:val="1"/>
          <w:numId w:val="21"/>
        </w:numPr>
        <w:spacing w:lineRule="auto"/>
      </w:pPr>
      <w:r>
        <w:rPr/>
        <w:t xml:space="preserve">[Insert Screenshot: File upload drop-zone showing a preview of a newly uploaded company logo.]</w:t>
      </w:r>
    </w:p>
    <w:p>
      <w:pPr>
        <w:numPr>
          <w:ilvl w:val="0"/>
          <w:numId w:val="18"/>
        </w:numPr>
        <w:spacing w:lineRule="auto"/>
      </w:pPr>
      <w:r>
        <w:rPr>
          <w:b/>
        </w:rPr>
        <w:t xml:space="preserve">Click "Save Changes" at the bottom of the form.</w:t>
      </w:r>
    </w:p>
    <w:p>
      <w:pPr>
        <w:numPr>
          <w:ilvl w:val="1"/>
          <w:numId w:val="22"/>
        </w:numPr>
        <w:spacing w:lineRule="auto"/>
      </w:pPr>
      <w:r>
        <w:rPr/>
        <w:t xml:space="preserve">Why this matters:</w:t>
      </w:r>
      <w:r>
        <w:rPr/>
        <w:t xml:space="preserve"> Commits the updated profile details to the central database architecture.</w:t>
      </w:r>
    </w:p>
    <w:p>
      <w:pPr>
        <w:numPr>
          <w:ilvl w:val="1"/>
          <w:numId w:val="22"/>
        </w:numPr>
        <w:spacing w:lineRule="auto"/>
      </w:pPr>
      <w:r>
        <w:rPr/>
        <w:t xml:space="preserve">[Insert Screenshot: The bottom of the configuration page with the "Save Changes" button in a brief loading state.]</w:t>
      </w:r>
    </w:p>
    <w:p>
      <w:pPr>
        <w:pStyle w:val="Heading2"/>
        <w:spacing w:lineRule="auto"/>
      </w:pPr>
      <w:r>
        <w:rPr/>
        <w:t xml:space="preserve">5. Core Features and Shared Modules</w:t>
      </w:r>
    </w:p>
    <w:p>
      <w:pPr>
        <w:pStyle w:val="Heading3"/>
        <w:spacing w:lineRule="auto"/>
      </w:pPr>
      <w:r>
        <w:rPr/>
        <w:t xml:space="preserve">5.1 Utilizing Centralized Master Inventory</w:t>
      </w:r>
    </w:p>
    <w:p>
      <w:pPr>
        <w:numPr>
          <w:ilvl w:val="0"/>
          <w:numId w:val="23"/>
        </w:numPr>
        <w:spacing w:lineRule="auto"/>
      </w:pPr>
      <w:r>
        <w:rPr>
          <w:b/>
        </w:rPr>
        <w:t xml:space="preserve">Navigate to "Shared Modules" &gt; "Master Catalog" in the navigation pane.</w:t>
      </w:r>
    </w:p>
    <w:p>
      <w:pPr>
        <w:numPr>
          <w:ilvl w:val="1"/>
          <w:numId w:val="24"/>
        </w:numPr>
        <w:spacing w:lineRule="auto"/>
      </w:pPr>
      <w:r>
        <w:rPr/>
        <w:t xml:space="preserve">Why this matters:</w:t>
      </w:r>
      <w:r>
        <w:rPr/>
        <w:t xml:space="preserve"> Accesses the global registry of all items and ingredients available to be pulled into both restaurant and food truck sub-inventories.</w:t>
      </w:r>
    </w:p>
    <w:p>
      <w:pPr>
        <w:numPr>
          <w:ilvl w:val="1"/>
          <w:numId w:val="24"/>
        </w:numPr>
        <w:spacing w:lineRule="auto"/>
      </w:pPr>
      <w:r>
        <w:rPr/>
        <w:t xml:space="preserve">[Insert Screenshot: Left sidebar highlighting "Master Catalog" under the Shared Modules section.]</w:t>
      </w:r>
    </w:p>
    <w:p>
      <w:pPr>
        <w:numPr>
          <w:ilvl w:val="0"/>
          <w:numId w:val="23"/>
        </w:numPr>
        <w:spacing w:lineRule="auto"/>
      </w:pPr>
      <w:r>
        <w:rPr>
          <w:b/>
        </w:rPr>
        <w:t xml:space="preserve">Click "Add New Master Item".</w:t>
      </w:r>
    </w:p>
    <w:p>
      <w:pPr>
        <w:numPr>
          <w:ilvl w:val="1"/>
          <w:numId w:val="25"/>
        </w:numPr>
        <w:spacing w:lineRule="auto"/>
      </w:pPr>
      <w:r>
        <w:rPr/>
        <w:t xml:space="preserve">Why this matters:</w:t>
      </w:r>
      <w:r>
        <w:rPr/>
        <w:t xml:space="preserve"> Begins the standardized process of tracking a new ingredient or supply item globally.</w:t>
      </w:r>
    </w:p>
    <w:p>
      <w:pPr>
        <w:numPr>
          <w:ilvl w:val="1"/>
          <w:numId w:val="25"/>
        </w:numPr>
        <w:spacing w:lineRule="auto"/>
      </w:pPr>
      <w:r>
        <w:rPr/>
        <w:t xml:space="preserve">[Insert Screenshot: Master Catalog data table displaying a prominent "Add New Master Item" button.]</w:t>
      </w:r>
    </w:p>
    <w:p>
      <w:pPr>
        <w:numPr>
          <w:ilvl w:val="0"/>
          <w:numId w:val="23"/>
        </w:numPr>
        <w:spacing w:lineRule="auto"/>
      </w:pPr>
      <w:r>
        <w:rPr>
          <w:b/>
        </w:rPr>
        <w:t xml:space="preserve">Fill in the Item Name, Global SKU, and Base Unit of Measure (UOM).</w:t>
      </w:r>
    </w:p>
    <w:p>
      <w:pPr>
        <w:numPr>
          <w:ilvl w:val="1"/>
          <w:numId w:val="26"/>
        </w:numPr>
        <w:spacing w:lineRule="auto"/>
      </w:pPr>
      <w:r>
        <w:rPr/>
        <w:t xml:space="preserve">Why this matters:</w:t>
      </w:r>
      <w:r>
        <w:rPr/>
        <w:t xml:space="preserve"> Standardizes how the item is identified and calculated universally, preventing duplicates and unit conversion errors across different physical locations.</w:t>
      </w:r>
    </w:p>
    <w:p>
      <w:pPr>
        <w:numPr>
          <w:ilvl w:val="1"/>
          <w:numId w:val="26"/>
        </w:numPr>
        <w:spacing w:lineRule="auto"/>
      </w:pPr>
      <w:r>
        <w:rPr/>
        <w:t xml:space="preserve">[Insert Screenshot: "Add Master Item" form with fields specifically for Name, SKU, and UOM fully populated.]</w:t>
      </w:r>
    </w:p>
    <w:p>
      <w:pPr>
        <w:numPr>
          <w:ilvl w:val="0"/>
          <w:numId w:val="23"/>
        </w:numPr>
        <w:spacing w:lineRule="auto"/>
      </w:pPr>
      <w:r>
        <w:rPr>
          <w:b/>
        </w:rPr>
        <w:t xml:space="preserve">Define Base Costing and click "Save to Catalog".</w:t>
      </w:r>
    </w:p>
    <w:p>
      <w:pPr>
        <w:numPr>
          <w:ilvl w:val="1"/>
          <w:numId w:val="27"/>
        </w:numPr>
        <w:spacing w:lineRule="auto"/>
      </w:pPr>
      <w:r>
        <w:rPr/>
        <w:t xml:space="preserve">Why this matters:</w:t>
      </w:r>
      <w:r>
        <w:rPr/>
        <w:t xml:space="preserve"> Centralizes the financial tracking data so COGS (Cost of Goods Sold) is calculated uniformly across all ecosystems.</w:t>
      </w:r>
    </w:p>
    <w:p>
      <w:pPr>
        <w:numPr>
          <w:ilvl w:val="1"/>
          <w:numId w:val="27"/>
        </w:numPr>
        <w:spacing w:lineRule="auto"/>
      </w:pPr>
      <w:r>
        <w:rPr/>
        <w:t xml:space="preserve">[Insert Screenshot: The lower section of the item form showing Cost Price inputs and the "Save to Catalog" button.]</w:t>
      </w:r>
    </w:p>
    <w:p>
      <w:pPr>
        <w:pStyle w:val="Heading2"/>
        <w:spacing w:lineRule="auto"/>
      </w:pPr>
      <w:r>
        <w:rPr/>
        <w:t xml:space="preserve">6. Integrations Management</w:t>
      </w:r>
    </w:p>
    <w:p>
      <w:pPr>
        <w:pStyle w:val="Heading3"/>
        <w:spacing w:lineRule="auto"/>
      </w:pPr>
      <w:r>
        <w:rPr/>
        <w:t xml:space="preserve">6.1 Connecting Global Payment Gateways</w:t>
      </w:r>
    </w:p>
    <w:p>
      <w:pPr>
        <w:numPr>
          <w:ilvl w:val="0"/>
          <w:numId w:val="28"/>
        </w:numPr>
        <w:spacing w:lineRule="auto"/>
      </w:pPr>
      <w:r>
        <w:rPr>
          <w:b/>
        </w:rPr>
        <w:t xml:space="preserve">Navigate to "Settings" &gt; "Integrations Marketplace".</w:t>
      </w:r>
    </w:p>
    <w:p>
      <w:pPr>
        <w:numPr>
          <w:ilvl w:val="1"/>
          <w:numId w:val="29"/>
        </w:numPr>
        <w:spacing w:lineRule="auto"/>
      </w:pPr>
      <w:r>
        <w:rPr/>
        <w:t xml:space="preserve">Why this matters:</w:t>
      </w:r>
      <w:r>
        <w:rPr/>
        <w:t xml:space="preserve"> Accesses the curated hub of external tools, hardware, and payment processors that can connect to the platform.</w:t>
      </w:r>
    </w:p>
    <w:p>
      <w:pPr>
        <w:numPr>
          <w:ilvl w:val="1"/>
          <w:numId w:val="29"/>
        </w:numPr>
        <w:spacing w:lineRule="auto"/>
      </w:pPr>
      <w:r>
        <w:rPr/>
        <w:t xml:space="preserve">[Insert Screenshot: Integrations marketplace screen showing categorized tabs like "Payment Processing", "Accounting", and "Marketing".]</w:t>
      </w:r>
    </w:p>
    <w:p>
      <w:pPr>
        <w:numPr>
          <w:ilvl w:val="0"/>
          <w:numId w:val="28"/>
        </w:numPr>
        <w:spacing w:lineRule="auto"/>
      </w:pPr>
      <w:r>
        <w:rPr>
          <w:b/>
        </w:rPr>
        <w:t xml:space="preserve">Locate your specific Payment Provider card (e.g., Stripe, Square, Razorpay) and click "Connect".</w:t>
      </w:r>
    </w:p>
    <w:p>
      <w:pPr>
        <w:numPr>
          <w:ilvl w:val="1"/>
          <w:numId w:val="30"/>
        </w:numPr>
        <w:spacing w:lineRule="auto"/>
      </w:pPr>
      <w:r>
        <w:rPr/>
        <w:t xml:space="preserve">Why this matters:</w:t>
      </w:r>
      <w:r>
        <w:rPr/>
        <w:t xml:space="preserve"> Initiates the secure OAuth handshake to allow the platform to authorize and process transactions on your behalf.</w:t>
      </w:r>
    </w:p>
    <w:p>
      <w:pPr>
        <w:numPr>
          <w:ilvl w:val="1"/>
          <w:numId w:val="30"/>
        </w:numPr>
        <w:spacing w:lineRule="auto"/>
      </w:pPr>
      <w:r>
        <w:rPr/>
        <w:t xml:space="preserve">[Insert Screenshot: A grid of integration cards with the user's cursor hovering over the Stripe "Connect" button.]</w:t>
      </w:r>
    </w:p>
    <w:p>
      <w:pPr>
        <w:numPr>
          <w:ilvl w:val="0"/>
          <w:numId w:val="28"/>
        </w:numPr>
        <w:spacing w:lineRule="auto"/>
      </w:pPr>
      <w:r>
        <w:rPr>
          <w:b/>
        </w:rPr>
        <w:t xml:space="preserve">Follow the provider's external authentication prompts and authorize access.</w:t>
      </w:r>
    </w:p>
    <w:p>
      <w:pPr>
        <w:numPr>
          <w:ilvl w:val="1"/>
          <w:numId w:val="31"/>
        </w:numPr>
        <w:spacing w:lineRule="auto"/>
      </w:pPr>
      <w:r>
        <w:rPr/>
        <w:t xml:space="preserve">Why this matters:</w:t>
      </w:r>
      <w:r>
        <w:rPr/>
        <w:t xml:space="preserve"> Secures the connection via tokenization without requiring you to expose raw API keys directly inside the platform platform.</w:t>
      </w:r>
    </w:p>
    <w:p>
      <w:pPr>
        <w:numPr>
          <w:ilvl w:val="1"/>
          <w:numId w:val="31"/>
        </w:numPr>
        <w:spacing w:lineRule="auto"/>
      </w:pPr>
      <w:r>
        <w:rPr/>
        <w:t xml:space="preserve">[Insert Screenshot: The external provider's popup window asking for authorization to connect the platform.]</w:t>
      </w:r>
    </w:p>
    <w:p>
      <w:pPr>
        <w:numPr>
          <w:ilvl w:val="0"/>
          <w:numId w:val="28"/>
        </w:numPr>
        <w:spacing w:lineRule="auto"/>
      </w:pPr>
      <w:r>
        <w:rPr>
          <w:b/>
        </w:rPr>
        <w:t xml:space="preserve">Verify the connection status shows as "Active" with a green indicator.</w:t>
      </w:r>
    </w:p>
    <w:p>
      <w:pPr>
        <w:numPr>
          <w:ilvl w:val="1"/>
          <w:numId w:val="32"/>
        </w:numPr>
        <w:spacing w:lineRule="auto"/>
      </w:pPr>
      <w:r>
        <w:rPr/>
        <w:t xml:space="preserve">Why this matters:</w:t>
      </w:r>
      <w:r>
        <w:rPr/>
        <w:t xml:space="preserve"> Confirms the integration is completely successful and ready to route payments from any connected restaurant or food truck POS.</w:t>
      </w:r>
    </w:p>
    <w:p>
      <w:pPr>
        <w:numPr>
          <w:ilvl w:val="1"/>
          <w:numId w:val="32"/>
        </w:numPr>
        <w:spacing w:lineRule="auto"/>
      </w:pPr>
      <w:r>
        <w:rPr/>
        <w:t xml:space="preserve">[Insert Screenshot: The Integrations page returning to focus, showing the payment provider card with a clear green "Active" badge.]</w:t>
      </w:r>
    </w:p>
    <w:p>
      <w:pPr>
        <w:pStyle w:val="Heading2"/>
        <w:spacing w:lineRule="auto"/>
      </w:pPr>
      <w:r>
        <w:rPr/>
        <w:t xml:space="preserve">7. Reporting and Analytics</w:t>
      </w:r>
    </w:p>
    <w:p>
      <w:pPr>
        <w:pStyle w:val="Heading3"/>
        <w:spacing w:lineRule="auto"/>
      </w:pPr>
      <w:r>
        <w:rPr/>
        <w:t xml:space="preserve">7.1 Generating a Consolidated Financial Report</w:t>
      </w:r>
    </w:p>
    <w:p>
      <w:pPr>
        <w:numPr>
          <w:ilvl w:val="0"/>
          <w:numId w:val="33"/>
        </w:numPr>
        <w:spacing w:lineRule="auto"/>
      </w:pPr>
      <w:r>
        <w:rPr>
          <w:b/>
        </w:rPr>
        <w:t xml:space="preserve">Navigate to "Reporting" &gt; "Consolidated Financials".</w:t>
      </w:r>
    </w:p>
    <w:p>
      <w:pPr>
        <w:numPr>
          <w:ilvl w:val="1"/>
          <w:numId w:val="34"/>
        </w:numPr>
        <w:spacing w:lineRule="auto"/>
      </w:pPr>
      <w:r>
        <w:rPr/>
        <w:t xml:space="preserve">Why this matters:</w:t>
      </w:r>
      <w:r>
        <w:rPr/>
        <w:t xml:space="preserve"> Allows executive leadership to view holistic, top-down financial health combined from all operating ecosystems.</w:t>
      </w:r>
    </w:p>
    <w:p>
      <w:pPr>
        <w:numPr>
          <w:ilvl w:val="1"/>
          <w:numId w:val="34"/>
        </w:numPr>
        <w:spacing w:lineRule="auto"/>
      </w:pPr>
      <w:r>
        <w:rPr/>
        <w:t xml:space="preserve">[Insert Screenshot: Reporting dashboard with "Consolidated Financials" selected from the report type sidebar menu.]</w:t>
      </w:r>
    </w:p>
    <w:p>
      <w:pPr>
        <w:numPr>
          <w:ilvl w:val="0"/>
          <w:numId w:val="33"/>
        </w:numPr>
        <w:spacing w:lineRule="auto"/>
      </w:pPr>
      <w:r>
        <w:rPr>
          <w:b/>
        </w:rPr>
        <w:t xml:space="preserve">Select a Date Range using the top calendar picker (e.g., "Last 30 Days").</w:t>
      </w:r>
    </w:p>
    <w:p>
      <w:pPr>
        <w:numPr>
          <w:ilvl w:val="1"/>
          <w:numId w:val="35"/>
        </w:numPr>
        <w:spacing w:lineRule="auto"/>
      </w:pPr>
      <w:r>
        <w:rPr/>
        <w:t xml:space="preserve">Why this matters:</w:t>
      </w:r>
      <w:r>
        <w:rPr/>
        <w:t xml:space="preserve"> Precisely defines the period of financial activity you intend to analyze.</w:t>
      </w:r>
    </w:p>
    <w:p>
      <w:pPr>
        <w:numPr>
          <w:ilvl w:val="1"/>
          <w:numId w:val="35"/>
        </w:numPr>
        <w:spacing w:lineRule="auto"/>
      </w:pPr>
      <w:r>
        <w:rPr/>
        <w:t xml:space="preserve">[Insert Screenshot: Date picker dropdown expanded, with the "Last 30 Days" preset actively highlighted.]</w:t>
      </w:r>
    </w:p>
    <w:p>
      <w:pPr>
        <w:numPr>
          <w:ilvl w:val="0"/>
          <w:numId w:val="33"/>
        </w:numPr>
        <w:spacing w:lineRule="auto"/>
      </w:pPr>
      <w:r>
        <w:rPr>
          <w:b/>
        </w:rPr>
        <w:t xml:space="preserve">Choose the primary data grouping criteria (e.g., "By Ecosystem" or "By Entity").</w:t>
      </w:r>
    </w:p>
    <w:p>
      <w:pPr>
        <w:numPr>
          <w:ilvl w:val="1"/>
          <w:numId w:val="36"/>
        </w:numPr>
        <w:spacing w:lineRule="auto"/>
      </w:pPr>
      <w:r>
        <w:rPr/>
        <w:t xml:space="preserve">Why this matters:</w:t>
      </w:r>
      <w:r>
        <w:rPr/>
        <w:t xml:space="preserve"> Determines how the revenue and expenses are segmented for comparative analysis (e.g., comparing Restaurant A to Food Truck B).</w:t>
      </w:r>
    </w:p>
    <w:p>
      <w:pPr>
        <w:numPr>
          <w:ilvl w:val="1"/>
          <w:numId w:val="36"/>
        </w:numPr>
        <w:spacing w:lineRule="auto"/>
      </w:pPr>
      <w:r>
        <w:rPr/>
        <w:t xml:space="preserve">[Insert Screenshot: "Group By" dropdown menu showing options like Ecosystem, Location, Day, and Category.]</w:t>
      </w:r>
    </w:p>
    <w:p>
      <w:pPr>
        <w:numPr>
          <w:ilvl w:val="0"/>
          <w:numId w:val="33"/>
        </w:numPr>
        <w:spacing w:lineRule="auto"/>
      </w:pPr>
      <w:r>
        <w:rPr>
          <w:b/>
        </w:rPr>
        <w:t xml:space="preserve">Click "Generate Report" to view the dynamic visualization.</w:t>
      </w:r>
    </w:p>
    <w:p>
      <w:pPr>
        <w:numPr>
          <w:ilvl w:val="1"/>
          <w:numId w:val="37"/>
        </w:numPr>
        <w:spacing w:lineRule="auto"/>
      </w:pPr>
      <w:r>
        <w:rPr/>
        <w:t xml:space="preserve">Why this matters:</w:t>
      </w:r>
      <w:r>
        <w:rPr/>
        <w:t xml:space="preserve"> Compiles the raw cross-platform data into an easily digestible visual format (charts and tables) for rapid decision-making.</w:t>
      </w:r>
    </w:p>
    <w:p>
      <w:pPr>
        <w:numPr>
          <w:ilvl w:val="1"/>
          <w:numId w:val="37"/>
        </w:numPr>
        <w:spacing w:lineRule="auto"/>
      </w:pPr>
      <w:r>
        <w:rPr/>
        <w:t xml:space="preserve">[Insert Screenshot: Generated report showing a comparative bar chart of Restaurant vs. Food Truck revenue, alongside a detailed columnar data table.]</w:t>
      </w:r>
    </w:p>
    <w:p>
      <w:pPr>
        <w:numPr>
          <w:ilvl w:val="0"/>
          <w:numId w:val="33"/>
        </w:numPr>
        <w:spacing w:lineRule="auto"/>
      </w:pPr>
      <w:r>
        <w:rPr>
          <w:b/>
        </w:rPr>
        <w:t xml:space="preserve">Click "Export" and select "PDF" or "CSV" for external use.</w:t>
      </w:r>
    </w:p>
    <w:p>
      <w:pPr>
        <w:numPr>
          <w:ilvl w:val="1"/>
          <w:numId w:val="38"/>
        </w:numPr>
        <w:spacing w:lineRule="auto"/>
      </w:pPr>
      <w:r>
        <w:rPr/>
        <w:t xml:space="preserve">Why this matters:</w:t>
      </w:r>
      <w:r>
        <w:rPr/>
        <w:t xml:space="preserve"> Enables off-platform portability for sharing specific cross-section reporting with external stakeholders, accountants, or investors.</w:t>
      </w:r>
    </w:p>
    <w:p>
      <w:pPr>
        <w:numPr>
          <w:ilvl w:val="1"/>
          <w:numId w:val="38"/>
        </w:numPr>
        <w:spacing w:lineRule="auto"/>
      </w:pPr>
      <w:r>
        <w:rPr/>
        <w:t xml:space="preserve">[Insert Screenshot: Export dropdown menu interacting in the top right corner of the report viewer, showing PDF and CSV options.]</w:t>
      </w:r>
    </w:p>
    <w:p>
      <w:pPr>
        <w:pStyle w:val="Heading2"/>
        <w:spacing w:lineRule="auto"/>
      </w:pPr>
      <w:r>
        <w:rPr/>
        <w:t xml:space="preserve">8. Support and Troubleshooting</w:t>
      </w:r>
    </w:p>
    <w:p>
      <w:pPr>
        <w:pStyle w:val="Heading3"/>
        <w:spacing w:lineRule="auto"/>
      </w:pPr>
      <w:r>
        <w:rPr/>
        <w:t xml:space="preserve">8.1 Submitting an Urgent Support Ticket</w:t>
      </w:r>
    </w:p>
    <w:p>
      <w:pPr>
        <w:numPr>
          <w:ilvl w:val="0"/>
          <w:numId w:val="39"/>
        </w:numPr>
        <w:spacing w:lineRule="auto"/>
      </w:pPr>
      <w:r>
        <w:rPr>
          <w:b/>
        </w:rPr>
        <w:t xml:space="preserve">Click the universal "?" (Help) icon permanently located in the bottom right corner of any screen.</w:t>
      </w:r>
    </w:p>
    <w:p>
      <w:pPr>
        <w:numPr>
          <w:ilvl w:val="1"/>
          <w:numId w:val="40"/>
        </w:numPr>
        <w:spacing w:lineRule="auto"/>
      </w:pPr>
      <w:r>
        <w:rPr/>
        <w:t xml:space="preserve">Why this matters:</w:t>
      </w:r>
      <w:r>
        <w:rPr/>
        <w:t xml:space="preserve"> Provides immediate, contextual access to vital assistance regardless of where you are operating in the platform.</w:t>
      </w:r>
    </w:p>
    <w:p>
      <w:pPr>
        <w:numPr>
          <w:ilvl w:val="1"/>
          <w:numId w:val="40"/>
        </w:numPr>
        <w:spacing w:lineRule="auto"/>
      </w:pPr>
      <w:r>
        <w:rPr/>
        <w:t xml:space="preserve">[Insert Screenshot: Bottom right corner of the platform UI showing a floating, highly visible "?" action button.]</w:t>
      </w:r>
    </w:p>
    <w:p>
      <w:pPr>
        <w:numPr>
          <w:ilvl w:val="0"/>
          <w:numId w:val="39"/>
        </w:numPr>
        <w:spacing w:lineRule="auto"/>
      </w:pPr>
      <w:r>
        <w:rPr>
          <w:b/>
        </w:rPr>
        <w:t xml:space="preserve">Select "Contact Global Support" from the slide-out menu.</w:t>
      </w:r>
    </w:p>
    <w:p>
      <w:pPr>
        <w:numPr>
          <w:ilvl w:val="1"/>
          <w:numId w:val="41"/>
        </w:numPr>
        <w:spacing w:lineRule="auto"/>
      </w:pPr>
      <w:r>
        <w:rPr/>
        <w:t xml:space="preserve">Why this matters:</w:t>
      </w:r>
      <w:r>
        <w:rPr/>
        <w:t xml:space="preserve"> Bypasses self-help documentation and routes your inquiry directly to the unified human support team.</w:t>
      </w:r>
    </w:p>
    <w:p>
      <w:pPr>
        <w:numPr>
          <w:ilvl w:val="1"/>
          <w:numId w:val="41"/>
        </w:numPr>
        <w:spacing w:lineRule="auto"/>
      </w:pPr>
      <w:r>
        <w:rPr/>
        <w:t xml:space="preserve">[Insert Screenshot: Help menu slide-out with "Search Documentation", "Video Tutorials", and "Contact Global Support" options visible.]</w:t>
      </w:r>
    </w:p>
    <w:p>
      <w:pPr>
        <w:numPr>
          <w:ilvl w:val="0"/>
          <w:numId w:val="39"/>
        </w:numPr>
        <w:spacing w:lineRule="auto"/>
      </w:pPr>
      <w:r>
        <w:rPr>
          <w:b/>
        </w:rPr>
        <w:t xml:space="preserve">Select the specific Issue Category and enter a highly detailed description of your problem.</w:t>
      </w:r>
    </w:p>
    <w:p>
      <w:pPr>
        <w:numPr>
          <w:ilvl w:val="1"/>
          <w:numId w:val="42"/>
        </w:numPr>
        <w:spacing w:lineRule="auto"/>
      </w:pPr>
      <w:r>
        <w:rPr/>
        <w:t xml:space="preserve">Why this matters:</w:t>
      </w:r>
      <w:r>
        <w:rPr/>
        <w:t xml:space="preserve"> Ensures the ticket is triaged accurately and routed to the correct technical specialist (e.g., Billing, POS Hardware, Cloud Sync) for faster resolution.</w:t>
      </w:r>
    </w:p>
    <w:p>
      <w:pPr>
        <w:numPr>
          <w:ilvl w:val="1"/>
          <w:numId w:val="42"/>
        </w:numPr>
        <w:spacing w:lineRule="auto"/>
      </w:pPr>
      <w:r>
        <w:rPr/>
        <w:t xml:space="preserve">[Insert Screenshot: Support ticket submission form with the category dropdown expanded, subject line filled, and a multiline description area.]</w:t>
      </w:r>
    </w:p>
    <w:p>
      <w:pPr>
        <w:numPr>
          <w:ilvl w:val="0"/>
          <w:numId w:val="39"/>
        </w:numPr>
        <w:spacing w:lineRule="auto"/>
      </w:pPr>
      <w:r>
        <w:rPr>
          <w:b/>
        </w:rPr>
        <w:t xml:space="preserve">Click "Submit Ticket".</w:t>
      </w:r>
    </w:p>
    <w:p>
      <w:pPr>
        <w:numPr>
          <w:ilvl w:val="1"/>
          <w:numId w:val="43"/>
        </w:numPr>
        <w:spacing w:lineRule="auto"/>
      </w:pPr>
      <w:r>
        <w:rPr/>
        <w:t xml:space="preserve">Why this matters:</w:t>
      </w:r>
      <w:r>
        <w:rPr/>
        <w:t xml:space="preserve"> Pushes your issue into the active tracking system and generates an automated confirmation email containing your tracking ticket ID.</w:t>
      </w:r>
    </w:p>
    <w:p>
      <w:pPr>
        <w:numPr>
          <w:ilvl w:val="1"/>
          <w:numId w:val="43"/>
        </w:numPr>
        <w:spacing w:lineRule="auto"/>
      </w:pPr>
      <w:r>
        <w:rPr/>
        <w:t xml:space="preserve">[Insert Screenshot: Successful submission overlay screen displaying a Ticket Reference Number (e.g., #TKT-8452) and estimated response SLA.]</w:t>
      </w:r>
    </w:p>
    <w:p>
      <w:pPr>
        <w:pStyle w:val="Heading2"/>
        <w:spacing w:lineRule="auto"/>
      </w:pPr>
      <w:r>
        <w:rPr/>
        <w:t xml:space="preserve">9. Ecosystem Previews</w:t>
      </w:r>
    </w:p>
    <w:p>
      <w:pPr>
        <w:spacing w:lineRule="auto"/>
      </w:pPr>
      <w:r>
        <w:rPr/>
        <w:t xml:space="preserve">The following outlines detail the structure for the upcoming, specialized documentation covering the specific operational modules within the individual ecosystems. They will serve as standalone guides branched from this central manual.</w:t>
      </w:r>
    </w:p>
    <w:p>
      <w:pPr>
        <w:pStyle w:val="Heading3"/>
        <w:spacing w:lineRule="auto"/>
      </w:pPr>
      <w:r>
        <w:rPr/>
        <w:t xml:space="preserve">9.1 Restaurant Ecosystem User Guide (Structural Preview)</w:t>
      </w:r>
    </w:p>
    <w:p>
      <w:pPr>
        <w:numPr>
          <w:ilvl w:val="0"/>
          <w:numId w:val="44"/>
        </w:numPr>
        <w:spacing w:lineRule="auto"/>
      </w:pPr>
      <w:r>
        <w:rPr>
          <w:b/>
        </w:rPr>
        <w:t xml:space="preserve">1. Point of Sale (POS) Operations</w:t>
      </w:r>
    </w:p>
    <w:p>
      <w:pPr>
        <w:numPr>
          <w:ilvl w:val="1"/>
          <w:numId w:val="45"/>
        </w:numPr>
        <w:spacing w:lineRule="auto"/>
      </w:pPr>
      <w:r>
        <w:rPr/>
        <w:t xml:space="preserve">Opening the Register and Shift Management</w:t>
      </w:r>
    </w:p>
    <w:p>
      <w:pPr>
        <w:numPr>
          <w:ilvl w:val="1"/>
          <w:numId w:val="45"/>
        </w:numPr>
        <w:spacing w:lineRule="auto"/>
      </w:pPr>
      <w:r>
        <w:rPr/>
        <w:t xml:space="preserve">Taking Dine-In Orders and Managing the Floor Map</w:t>
      </w:r>
    </w:p>
    <w:p>
      <w:pPr>
        <w:numPr>
          <w:ilvl w:val="1"/>
          <w:numId w:val="45"/>
        </w:numPr>
        <w:spacing w:lineRule="auto"/>
      </w:pPr>
      <w:r>
        <w:rPr/>
        <w:t xml:space="preserve">Processing Takeaway/Delivery Workflows</w:t>
      </w:r>
    </w:p>
    <w:p>
      <w:pPr>
        <w:numPr>
          <w:ilvl w:val="1"/>
          <w:numId w:val="45"/>
        </w:numPr>
        <w:spacing w:lineRule="auto"/>
      </w:pPr>
      <w:r>
        <w:rPr/>
        <w:t xml:space="preserve">Splitting Bills, Voiding Items, and Taking Payments</w:t>
      </w:r>
    </w:p>
    <w:p>
      <w:pPr>
        <w:numPr>
          <w:ilvl w:val="0"/>
          <w:numId w:val="44"/>
        </w:numPr>
        <w:spacing w:lineRule="auto"/>
      </w:pPr>
      <w:r>
        <w:rPr>
          <w:b/>
        </w:rPr>
        <w:t xml:space="preserve">2. Kitchen Display System (KDS)</w:t>
      </w:r>
    </w:p>
    <w:p>
      <w:pPr>
        <w:numPr>
          <w:ilvl w:val="1"/>
          <w:numId w:val="46"/>
        </w:numPr>
        <w:spacing w:lineRule="auto"/>
      </w:pPr>
      <w:r>
        <w:rPr/>
        <w:t xml:space="preserve">Routing Items to Correct Prep Stations (Hot/Cold/Bar)</w:t>
      </w:r>
    </w:p>
    <w:p>
      <w:pPr>
        <w:numPr>
          <w:ilvl w:val="1"/>
          <w:numId w:val="46"/>
        </w:numPr>
        <w:spacing w:lineRule="auto"/>
      </w:pPr>
      <w:r>
        <w:rPr/>
        <w:t xml:space="preserve">Managing Global Ticket Times and VIP Priority</w:t>
      </w:r>
    </w:p>
    <w:p>
      <w:pPr>
        <w:numPr>
          <w:ilvl w:val="1"/>
          <w:numId w:val="46"/>
        </w:numPr>
        <w:spacing w:lineRule="auto"/>
      </w:pPr>
      <w:r>
        <w:rPr/>
        <w:t xml:space="preserve">Bumping, Recalling, and Completing Orders</w:t>
      </w:r>
    </w:p>
    <w:p>
      <w:pPr>
        <w:numPr>
          <w:ilvl w:val="0"/>
          <w:numId w:val="44"/>
        </w:numPr>
        <w:spacing w:lineRule="auto"/>
      </w:pPr>
      <w:r>
        <w:rPr>
          <w:b/>
        </w:rPr>
        <w:t xml:space="preserve">3. Restaurant Floor Management</w:t>
      </w:r>
    </w:p>
    <w:p>
      <w:pPr>
        <w:numPr>
          <w:ilvl w:val="1"/>
          <w:numId w:val="47"/>
        </w:numPr>
        <w:spacing w:lineRule="auto"/>
      </w:pPr>
      <w:r>
        <w:rPr/>
        <w:t xml:space="preserve">Designing and Editing the Digital Table Map</w:t>
      </w:r>
    </w:p>
    <w:p>
      <w:pPr>
        <w:numPr>
          <w:ilvl w:val="1"/>
          <w:numId w:val="47"/>
        </w:numPr>
        <w:spacing w:lineRule="auto"/>
      </w:pPr>
      <w:r>
        <w:rPr/>
        <w:t xml:space="preserve">Tracking Seating Status and Turnaround Time</w:t>
      </w:r>
    </w:p>
    <w:p>
      <w:pPr>
        <w:numPr>
          <w:ilvl w:val="1"/>
          <w:numId w:val="47"/>
        </w:numPr>
        <w:spacing w:lineRule="auto"/>
      </w:pPr>
      <w:r>
        <w:rPr/>
        <w:t xml:space="preserve">Managing Waitlists and Table Reservations</w:t>
      </w:r>
    </w:p>
    <w:p>
      <w:pPr>
        <w:numPr>
          <w:ilvl w:val="0"/>
          <w:numId w:val="44"/>
        </w:numPr>
        <w:spacing w:lineRule="auto"/>
      </w:pPr>
      <w:r>
        <w:rPr>
          <w:b/>
        </w:rPr>
        <w:t xml:space="preserve">4. Restaurant-Specific Inventory</w:t>
      </w:r>
    </w:p>
    <w:p>
      <w:pPr>
        <w:numPr>
          <w:ilvl w:val="1"/>
          <w:numId w:val="48"/>
        </w:numPr>
        <w:spacing w:lineRule="auto"/>
      </w:pPr>
      <w:r>
        <w:rPr/>
        <w:t xml:space="preserve">Conducting Routine End-of-Day Stock Takes</w:t>
      </w:r>
    </w:p>
    <w:p>
      <w:pPr>
        <w:numPr>
          <w:ilvl w:val="1"/>
          <w:numId w:val="48"/>
        </w:numPr>
        <w:spacing w:lineRule="auto"/>
      </w:pPr>
      <w:r>
        <w:rPr/>
        <w:t xml:space="preserve">Managing Dynamic Recipe Yields and Wastage Logs</w:t>
      </w:r>
    </w:p>
    <w:p>
      <w:pPr>
        <w:pStyle w:val="Heading3"/>
        <w:spacing w:lineRule="auto"/>
      </w:pPr>
      <w:r>
        <w:rPr/>
        <w:t xml:space="preserve">9.2 Food Truck Ecosystem User Guide (Structural Preview)</w:t>
      </w:r>
    </w:p>
    <w:p>
      <w:pPr>
        <w:numPr>
          <w:ilvl w:val="0"/>
          <w:numId w:val="49"/>
        </w:numPr>
        <w:spacing w:lineRule="auto"/>
      </w:pPr>
      <w:r>
        <w:rPr>
          <w:b/>
        </w:rPr>
        <w:t xml:space="preserve">1. Mobile POS (Quick-Serve) Operations</w:t>
      </w:r>
    </w:p>
    <w:p>
      <w:pPr>
        <w:numPr>
          <w:ilvl w:val="1"/>
          <w:numId w:val="50"/>
        </w:numPr>
        <w:spacing w:lineRule="auto"/>
      </w:pPr>
      <w:r>
        <w:rPr/>
        <w:t xml:space="preserve">Operating Safely in Offline/Low-Connectivity Modes</w:t>
      </w:r>
    </w:p>
    <w:p>
      <w:pPr>
        <w:numPr>
          <w:ilvl w:val="1"/>
          <w:numId w:val="50"/>
        </w:numPr>
        <w:spacing w:lineRule="auto"/>
      </w:pPr>
      <w:r>
        <w:rPr/>
        <w:t xml:space="preserve">Rapid Order Entry Interfaces for High-Volume Queues</w:t>
      </w:r>
    </w:p>
    <w:p>
      <w:pPr>
        <w:numPr>
          <w:ilvl w:val="1"/>
          <w:numId w:val="50"/>
        </w:numPr>
        <w:spacing w:lineRule="auto"/>
      </w:pPr>
      <w:r>
        <w:rPr/>
        <w:t xml:space="preserve">Optimizing Tap-to-Pay and Contactless Payment Flows</w:t>
      </w:r>
    </w:p>
    <w:p>
      <w:pPr>
        <w:numPr>
          <w:ilvl w:val="0"/>
          <w:numId w:val="49"/>
        </w:numPr>
        <w:spacing w:lineRule="auto"/>
      </w:pPr>
      <w:r>
        <w:rPr>
          <w:b/>
        </w:rPr>
        <w:t xml:space="preserve">2. Location and Route Management</w:t>
      </w:r>
    </w:p>
    <w:p>
      <w:pPr>
        <w:numPr>
          <w:ilvl w:val="1"/>
          <w:numId w:val="51"/>
        </w:numPr>
        <w:spacing w:lineRule="auto"/>
      </w:pPr>
      <w:r>
        <w:rPr/>
        <w:t xml:space="preserve">Broadcasting Live Truck Location to Customers</w:t>
      </w:r>
    </w:p>
    <w:p>
      <w:pPr>
        <w:numPr>
          <w:ilvl w:val="1"/>
          <w:numId w:val="51"/>
        </w:numPr>
        <w:spacing w:lineRule="auto"/>
      </w:pPr>
      <w:r>
        <w:rPr/>
        <w:t xml:space="preserve">Scheduling Upcoming Stops, Routes, and Events</w:t>
      </w:r>
    </w:p>
    <w:p>
      <w:pPr>
        <w:numPr>
          <w:ilvl w:val="1"/>
          <w:numId w:val="51"/>
        </w:numPr>
        <w:spacing w:lineRule="auto"/>
      </w:pPr>
      <w:r>
        <w:rPr/>
        <w:t xml:space="preserve">Handling Pre-Order Logistics Based on Geo-Location</w:t>
      </w:r>
    </w:p>
    <w:p>
      <w:pPr>
        <w:numPr>
          <w:ilvl w:val="0"/>
          <w:numId w:val="49"/>
        </w:numPr>
        <w:spacing w:lineRule="auto"/>
      </w:pPr>
      <w:r>
        <w:rPr>
          <w:b/>
        </w:rPr>
        <w:t xml:space="preserve">3. Truck-Specific Inventory and Prep</w:t>
      </w:r>
    </w:p>
    <w:p>
      <w:pPr>
        <w:numPr>
          <w:ilvl w:val="1"/>
          <w:numId w:val="52"/>
        </w:numPr>
        <w:spacing w:lineRule="auto"/>
      </w:pPr>
      <w:r>
        <w:rPr/>
        <w:t xml:space="preserve">Managing Limited-Space Inventory Transfers from Commissary</w:t>
      </w:r>
    </w:p>
    <w:p>
      <w:pPr>
        <w:numPr>
          <w:ilvl w:val="1"/>
          <w:numId w:val="52"/>
        </w:numPr>
        <w:spacing w:lineRule="auto"/>
      </w:pPr>
      <w:r>
        <w:rPr/>
        <w:t xml:space="preserve">Rapid End-of-Shift Reconciliation</w:t>
      </w:r>
    </w:p>
    <w:p>
      <w:pPr>
        <w:numPr>
          <w:ilvl w:val="0"/>
          <w:numId w:val="49"/>
        </w:numPr>
        <w:spacing w:lineRule="auto"/>
      </w:pPr>
      <w:r>
        <w:rPr>
          <w:b/>
        </w:rPr>
        <w:t xml:space="preserve">4. Event and Catering Management</w:t>
      </w:r>
    </w:p>
    <w:p>
      <w:pPr>
        <w:numPr>
          <w:ilvl w:val="1"/>
          <w:numId w:val="53"/>
        </w:numPr>
        <w:spacing w:lineRule="auto"/>
      </w:pPr>
      <w:r>
        <w:rPr/>
        <w:t xml:space="preserve">Processing High-Volume Bulk Orders</w:t>
      </w:r>
    </w:p>
    <w:p>
      <w:pPr>
        <w:numPr>
          <w:ilvl w:val="1"/>
          <w:numId w:val="53"/>
        </w:numPr>
        <w:spacing w:lineRule="auto"/>
      </w:pPr>
      <w:r>
        <w:rPr/>
        <w:t xml:space="preserve">Managing External Event Deposits and B2B Invoicing</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hyperlink" Target="#1-introduction-and-onboarding" TargetMode="External"/>
  <Relationship Id="rId6" Type="http://schemas.openxmlformats.org/officeDocument/2006/relationships/hyperlink" Target="#2-main-dashboard-overview" TargetMode="External"/>
  <Relationship Id="rId7" Type="http://schemas.openxmlformats.org/officeDocument/2006/relationships/hyperlink" Target="#3-managing-user-roles-and-permissions" TargetMode="External"/>
  <Relationship Id="rId8" Type="http://schemas.openxmlformats.org/officeDocument/2006/relationships/hyperlink" Target="#4-platform-settings-and-configuration" TargetMode="External"/>
  <Relationship Id="rId9" Type="http://schemas.openxmlformats.org/officeDocument/2006/relationships/hyperlink" Target="#5-core-features-and-shared-modules" TargetMode="External"/>
  <Relationship Id="rId10" Type="http://schemas.openxmlformats.org/officeDocument/2006/relationships/hyperlink" Target="#6-integrations-management" TargetMode="External"/>
  <Relationship Id="rId11" Type="http://schemas.openxmlformats.org/officeDocument/2006/relationships/hyperlink" Target="#7-reporting-and-analytics" TargetMode="External"/>
  <Relationship Id="rId12" Type="http://schemas.openxmlformats.org/officeDocument/2006/relationships/hyperlink" Target="#8-support-and-troubleshooting" TargetMode="External"/>
  <Relationship Id="rId13" Type="http://schemas.openxmlformats.org/officeDocument/2006/relationships/hyperlink" Target="#9-ecosystem-previews" TargetMode="External"/>
  <Relationship Id="rId14"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2026-02-23T04:28:03.104Z</dcterms:created>
  <dcterms:modified xsi:type="dcterms:W3CDTF">2026-02-23T04:28:03.104Z</dcterms:modified>
</cp:coreProperties>
</file>