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Reviewer #2 Response Evidence Report</w:t>
      </w:r>
    </w:p>
    <w:p>
      <w:pPr>
        <w:jc w:val="center"/>
      </w:pPr>
      <w:r>
        <w:rPr>
          <w:i/>
          <w:color w:val="555555"/>
          <w:sz w:val="22"/>
        </w:rPr>
        <w:t>Smart Contract Verification, Static Analysis, and Formal Verification Status</w:t>
      </w:r>
    </w:p>
    <w:p>
      <w:pPr>
        <w:jc w:val="center"/>
      </w:pPr>
      <w:r>
        <w:rPr>
          <w:sz w:val="18"/>
        </w:rPr>
        <w:t>Repository: zkp-with-snarkjs | Branch context: upgrade-to-vcem | Report date: 2026-07-03</w:t>
      </w:r>
    </w:p>
    <w:p>
      <w:pPr>
        <w:pStyle w:val="Heading1"/>
      </w:pPr>
      <w:r>
        <w:t>Executive Answer</w:t>
      </w:r>
    </w:p>
    <w:p>
      <w:r>
        <w:rPr>
          <w:b/>
        </w:rPr>
        <w:t xml:space="preserve">Smart-contract-oriented validation exists and was partially executed. </w:t>
      </w:r>
      <w:r>
        <w:t>The repository includes executed unit/integration/matrix/audit-verifier tests, Solhint static analysis, coverage, gas reporting, dependency audit, and an independent audit-verifier test suite. Slither static analysis is configured in npm scripts and GitHub Actions, but it was not executed locally because the Slither binary was unavailable. No completed formal verification proof currently exists.</w:t>
      </w:r>
    </w:p>
    <w:p>
      <w:pPr>
        <w:pStyle w:val="Heading1"/>
      </w:pPr>
      <w:r>
        <w:t>Reviewer-Safe Manuscript Wording</w:t>
      </w:r>
    </w:p>
    <w:p>
      <w:pPr>
        <w:ind w:left="360" w:right="360"/>
      </w:pPr>
      <w:r>
        <w:rPr>
          <w:i/>
        </w:rPr>
        <w:t>We performed automated smart-contract validation through unit and integration tests, a 60-case/120-outcome VCEM authorization matrix, an independent audit-verifier test suite, Solhint static analysis, Solidity coverage, gas reporting, and dependency auditing. Slither analysis is configured in CI but was not executed in the local evidence run due to a missing local Slither binary. The current artifact does not include formal verification with tools such as Certora, Scribble/Echidna, Foundry invariant proofs, or SMTChecker proofs; these are identified as future hardening work.</w:t>
      </w:r>
    </w:p>
    <w:p>
      <w:pPr>
        <w:pStyle w:val="Heading1"/>
      </w:pPr>
      <w:r>
        <w:t>Verification Status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vAlign w:val="center"/>
            <w:shd w:fill="E8EEF5"/>
          </w:tcPr>
          <w:p>
            <w:pPr>
              <w:spacing w:after="0"/>
            </w:pPr>
            <w:r>
              <w:rPr>
                <w:b/>
                <w:sz w:val="18"/>
              </w:rPr>
            </w:r>
            <w:r>
              <w:rPr>
                <w:b/>
                <w:sz w:val="18"/>
              </w:rPr>
              <w:t>Category</w:t>
            </w:r>
          </w:p>
        </w:tc>
        <w:tc>
          <w:tcPr>
            <w:tcW w:type="dxa" w:w="2520"/>
            <w:vAlign w:val="center"/>
            <w:shd w:fill="E8EEF5"/>
          </w:tcPr>
          <w:p>
            <w:pPr>
              <w:spacing w:after="0"/>
            </w:pPr>
            <w:r>
              <w:rPr>
                <w:b/>
                <w:sz w:val="18"/>
              </w:rPr>
            </w:r>
            <w:r>
              <w:rPr>
                <w:b/>
                <w:sz w:val="18"/>
              </w:rPr>
              <w:t>Tool / command</w:t>
            </w:r>
          </w:p>
        </w:tc>
        <w:tc>
          <w:tcPr>
            <w:tcW w:type="dxa" w:w="1944"/>
            <w:vAlign w:val="center"/>
            <w:shd w:fill="E8EEF5"/>
          </w:tcPr>
          <w:p>
            <w:pPr>
              <w:spacing w:after="0"/>
            </w:pPr>
            <w:r>
              <w:rPr>
                <w:b/>
                <w:sz w:val="18"/>
              </w:rPr>
            </w:r>
            <w:r>
              <w:rPr>
                <w:b/>
                <w:sz w:val="18"/>
              </w:rPr>
              <w:t>Status</w:t>
            </w:r>
          </w:p>
        </w:tc>
        <w:tc>
          <w:tcPr>
            <w:tcW w:type="dxa" w:w="3168"/>
            <w:vAlign w:val="center"/>
            <w:shd w:fill="E8EEF5"/>
          </w:tcPr>
          <w:p>
            <w:pPr>
              <w:spacing w:after="0"/>
            </w:pPr>
            <w:r>
              <w:rPr>
                <w:b/>
                <w:sz w:val="18"/>
              </w:rPr>
            </w:r>
            <w:r>
              <w:rPr>
                <w:b/>
                <w:sz w:val="18"/>
              </w:rPr>
              <w:t>Evidence / result</w:t>
            </w:r>
          </w:p>
        </w:tc>
        <w:tc>
          <w:tcPr>
            <w:tcW w:type="dxa" w:w="2520"/>
            <w:vAlign w:val="center"/>
            <w:shd w:fill="E8EEF5"/>
          </w:tcPr>
          <w:p>
            <w:pPr>
              <w:spacing w:after="0"/>
            </w:pPr>
            <w:r>
              <w:rPr>
                <w:b/>
                <w:sz w:val="18"/>
              </w:rPr>
            </w:r>
            <w:r>
              <w:rPr>
                <w:b/>
                <w:sz w:val="18"/>
              </w:rPr>
              <w:t>How to report</w:t>
            </w:r>
          </w:p>
        </w:tc>
      </w:tr>
      <w:tr>
        <w:tc>
          <w:tcPr>
            <w:tcW w:type="dxa" w:w="1728"/>
            <w:vAlign w:val="center"/>
          </w:tcPr>
          <w:p>
            <w:pPr>
              <w:spacing w:after="0"/>
            </w:pPr>
            <w:r>
              <w:rPr>
                <w:sz w:val="18"/>
              </w:rPr>
            </w:r>
            <w:r>
              <w:rPr>
                <w:b w:val="0"/>
                <w:sz w:val="18"/>
              </w:rPr>
              <w:t>Compile verification</w:t>
            </w:r>
          </w:p>
        </w:tc>
        <w:tc>
          <w:tcPr>
            <w:tcW w:type="dxa" w:w="2520"/>
            <w:vAlign w:val="center"/>
          </w:tcPr>
          <w:p>
            <w:pPr>
              <w:spacing w:after="0"/>
            </w:pPr>
            <w:r>
              <w:rPr>
                <w:sz w:val="18"/>
              </w:rPr>
            </w:r>
            <w:r>
              <w:rPr>
                <w:b w:val="0"/>
                <w:sz w:val="18"/>
              </w:rPr>
              <w:t>HARDHAT_DISABLE_DOWNLOADS=true npm run compile</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Offline Hardhat compile succeeded with locally pinned solc packages.</w:t>
            </w:r>
          </w:p>
        </w:tc>
        <w:tc>
          <w:tcPr>
            <w:tcW w:type="dxa" w:w="2520"/>
            <w:vAlign w:val="center"/>
          </w:tcPr>
          <w:p>
            <w:pPr>
              <w:spacing w:after="0"/>
            </w:pPr>
            <w:r>
              <w:rPr>
                <w:sz w:val="18"/>
              </w:rPr>
            </w:r>
            <w:r>
              <w:rPr>
                <w:b w:val="0"/>
                <w:sz w:val="18"/>
              </w:rPr>
              <w:t>Can report as reproducible offline compile.</w:t>
            </w:r>
          </w:p>
        </w:tc>
      </w:tr>
      <w:tr>
        <w:tc>
          <w:tcPr>
            <w:tcW w:type="dxa" w:w="1728"/>
            <w:vAlign w:val="center"/>
          </w:tcPr>
          <w:p>
            <w:pPr>
              <w:spacing w:after="0"/>
            </w:pPr>
            <w:r>
              <w:rPr>
                <w:sz w:val="18"/>
              </w:rPr>
            </w:r>
            <w:r>
              <w:rPr>
                <w:b w:val="0"/>
                <w:sz w:val="18"/>
              </w:rPr>
              <w:t>Functional tests</w:t>
            </w:r>
          </w:p>
        </w:tc>
        <w:tc>
          <w:tcPr>
            <w:tcW w:type="dxa" w:w="2520"/>
            <w:vAlign w:val="center"/>
          </w:tcPr>
          <w:p>
            <w:pPr>
              <w:spacing w:after="0"/>
            </w:pPr>
            <w:r>
              <w:rPr>
                <w:sz w:val="18"/>
              </w:rPr>
            </w:r>
            <w:r>
              <w:rPr>
                <w:b w:val="0"/>
                <w:sz w:val="18"/>
              </w:rPr>
              <w:t>npm test</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85 passing tests.</w:t>
            </w:r>
          </w:p>
        </w:tc>
        <w:tc>
          <w:tcPr>
            <w:tcW w:type="dxa" w:w="2520"/>
            <w:vAlign w:val="center"/>
          </w:tcPr>
          <w:p>
            <w:pPr>
              <w:spacing w:after="0"/>
            </w:pPr>
            <w:r>
              <w:rPr>
                <w:sz w:val="18"/>
              </w:rPr>
            </w:r>
            <w:r>
              <w:rPr>
                <w:b w:val="0"/>
                <w:sz w:val="18"/>
              </w:rPr>
              <w:t>Can report as functional and integration validation.</w:t>
            </w:r>
          </w:p>
        </w:tc>
      </w:tr>
      <w:tr>
        <w:tc>
          <w:tcPr>
            <w:tcW w:type="dxa" w:w="1728"/>
            <w:vAlign w:val="center"/>
          </w:tcPr>
          <w:p>
            <w:pPr>
              <w:spacing w:after="0"/>
            </w:pPr>
            <w:r>
              <w:rPr>
                <w:sz w:val="18"/>
              </w:rPr>
            </w:r>
            <w:r>
              <w:rPr>
                <w:b w:val="0"/>
                <w:sz w:val="18"/>
              </w:rPr>
              <w:t>VCEM matrix</w:t>
            </w:r>
          </w:p>
        </w:tc>
        <w:tc>
          <w:tcPr>
            <w:tcW w:type="dxa" w:w="2520"/>
            <w:vAlign w:val="center"/>
          </w:tcPr>
          <w:p>
            <w:pPr>
              <w:spacing w:after="0"/>
            </w:pPr>
            <w:r>
              <w:rPr>
                <w:sz w:val="18"/>
              </w:rPr>
            </w:r>
            <w:r>
              <w:rPr>
                <w:b w:val="0"/>
                <w:sz w:val="18"/>
              </w:rPr>
              <w:t>npm run test:vcem:matrix</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60 policy cases and 120 outcomes.</w:t>
            </w:r>
          </w:p>
        </w:tc>
        <w:tc>
          <w:tcPr>
            <w:tcW w:type="dxa" w:w="2520"/>
            <w:vAlign w:val="center"/>
          </w:tcPr>
          <w:p>
            <w:pPr>
              <w:spacing w:after="0"/>
            </w:pPr>
            <w:r>
              <w:rPr>
                <w:sz w:val="18"/>
              </w:rPr>
            </w:r>
            <w:r>
              <w:rPr>
                <w:b w:val="0"/>
                <w:sz w:val="18"/>
              </w:rPr>
              <w:t>Can report as VCEM authorization matrix evidence.</w:t>
            </w:r>
          </w:p>
        </w:tc>
      </w:tr>
      <w:tr>
        <w:tc>
          <w:tcPr>
            <w:tcW w:type="dxa" w:w="1728"/>
            <w:vAlign w:val="center"/>
          </w:tcPr>
          <w:p>
            <w:pPr>
              <w:spacing w:after="0"/>
            </w:pPr>
            <w:r>
              <w:rPr>
                <w:sz w:val="18"/>
              </w:rPr>
            </w:r>
            <w:r>
              <w:rPr>
                <w:b w:val="0"/>
                <w:sz w:val="18"/>
              </w:rPr>
              <w:t>Audit verifier tests</w:t>
            </w:r>
          </w:p>
        </w:tc>
        <w:tc>
          <w:tcPr>
            <w:tcW w:type="dxa" w:w="2520"/>
            <w:vAlign w:val="center"/>
          </w:tcPr>
          <w:p>
            <w:pPr>
              <w:spacing w:after="0"/>
            </w:pPr>
            <w:r>
              <w:rPr>
                <w:sz w:val="18"/>
              </w:rPr>
            </w:r>
            <w:r>
              <w:rPr>
                <w:b w:val="0"/>
                <w:sz w:val="18"/>
              </w:rPr>
              <w:t>npm run test:audit-verifier</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17 passing tamper-detection tests.</w:t>
            </w:r>
          </w:p>
        </w:tc>
        <w:tc>
          <w:tcPr>
            <w:tcW w:type="dxa" w:w="2520"/>
            <w:vAlign w:val="center"/>
          </w:tcPr>
          <w:p>
            <w:pPr>
              <w:spacing w:after="0"/>
            </w:pPr>
            <w:r>
              <w:rPr>
                <w:sz w:val="18"/>
              </w:rPr>
            </w:r>
            <w:r>
              <w:rPr>
                <w:b w:val="0"/>
                <w:sz w:val="18"/>
              </w:rPr>
              <w:t>Can report as independent verifier validation.</w:t>
            </w:r>
          </w:p>
        </w:tc>
      </w:tr>
      <w:tr>
        <w:tc>
          <w:tcPr>
            <w:tcW w:type="dxa" w:w="1728"/>
            <w:vAlign w:val="center"/>
          </w:tcPr>
          <w:p>
            <w:pPr>
              <w:spacing w:after="0"/>
            </w:pPr>
            <w:r>
              <w:rPr>
                <w:sz w:val="18"/>
              </w:rPr>
            </w:r>
            <w:r>
              <w:rPr>
                <w:b w:val="0"/>
                <w:sz w:val="18"/>
              </w:rPr>
              <w:t>FHIR tests</w:t>
            </w:r>
          </w:p>
        </w:tc>
        <w:tc>
          <w:tcPr>
            <w:tcW w:type="dxa" w:w="2520"/>
            <w:vAlign w:val="center"/>
          </w:tcPr>
          <w:p>
            <w:pPr>
              <w:spacing w:after="0"/>
            </w:pPr>
            <w:r>
              <w:rPr>
                <w:sz w:val="18"/>
              </w:rPr>
            </w:r>
            <w:r>
              <w:rPr>
                <w:b w:val="0"/>
                <w:sz w:val="18"/>
              </w:rPr>
              <w:t>npm run test:fhir</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6 passing fixture lifecycle tests.</w:t>
            </w:r>
          </w:p>
        </w:tc>
        <w:tc>
          <w:tcPr>
            <w:tcW w:type="dxa" w:w="2520"/>
            <w:vAlign w:val="center"/>
          </w:tcPr>
          <w:p>
            <w:pPr>
              <w:spacing w:after="0"/>
            </w:pPr>
            <w:r>
              <w:rPr>
                <w:sz w:val="18"/>
              </w:rPr>
            </w:r>
            <w:r>
              <w:rPr>
                <w:b w:val="0"/>
                <w:sz w:val="18"/>
              </w:rPr>
              <w:t>Can report as fixture-based FHIR mapping only.</w:t>
            </w:r>
          </w:p>
        </w:tc>
      </w:tr>
      <w:tr>
        <w:tc>
          <w:tcPr>
            <w:tcW w:type="dxa" w:w="1728"/>
            <w:vAlign w:val="center"/>
          </w:tcPr>
          <w:p>
            <w:pPr>
              <w:spacing w:after="0"/>
            </w:pPr>
            <w:r>
              <w:rPr>
                <w:sz w:val="18"/>
              </w:rPr>
            </w:r>
            <w:r>
              <w:rPr>
                <w:b w:val="0"/>
                <w:sz w:val="18"/>
              </w:rPr>
              <w:t>Property tests</w:t>
            </w:r>
          </w:p>
        </w:tc>
        <w:tc>
          <w:tcPr>
            <w:tcW w:type="dxa" w:w="2520"/>
            <w:vAlign w:val="center"/>
          </w:tcPr>
          <w:p>
            <w:pPr>
              <w:spacing w:after="0"/>
            </w:pPr>
            <w:r>
              <w:rPr>
                <w:sz w:val="18"/>
              </w:rPr>
            </w:r>
            <w:r>
              <w:rPr>
                <w:b w:val="0"/>
                <w:sz w:val="18"/>
              </w:rPr>
              <w:t>npm run test:property</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2 canonical-hash property tests.</w:t>
            </w:r>
          </w:p>
        </w:tc>
        <w:tc>
          <w:tcPr>
            <w:tcW w:type="dxa" w:w="2520"/>
            <w:vAlign w:val="center"/>
          </w:tcPr>
          <w:p>
            <w:pPr>
              <w:spacing w:after="0"/>
            </w:pPr>
            <w:r>
              <w:rPr>
                <w:sz w:val="18"/>
              </w:rPr>
            </w:r>
            <w:r>
              <w:rPr>
                <w:b w:val="0"/>
                <w:sz w:val="18"/>
              </w:rPr>
              <w:t>Can report as property-based hash checks.</w:t>
            </w:r>
          </w:p>
        </w:tc>
      </w:tr>
      <w:tr>
        <w:tc>
          <w:tcPr>
            <w:tcW w:type="dxa" w:w="1728"/>
            <w:vAlign w:val="center"/>
          </w:tcPr>
          <w:p>
            <w:pPr>
              <w:spacing w:after="0"/>
            </w:pPr>
            <w:r>
              <w:rPr>
                <w:sz w:val="18"/>
              </w:rPr>
            </w:r>
            <w:r>
              <w:rPr>
                <w:b w:val="0"/>
                <w:sz w:val="18"/>
              </w:rPr>
              <w:t>Static analysis</w:t>
            </w:r>
          </w:p>
        </w:tc>
        <w:tc>
          <w:tcPr>
            <w:tcW w:type="dxa" w:w="2520"/>
            <w:vAlign w:val="center"/>
          </w:tcPr>
          <w:p>
            <w:pPr>
              <w:spacing w:after="0"/>
            </w:pPr>
            <w:r>
              <w:rPr>
                <w:sz w:val="18"/>
              </w:rPr>
            </w:r>
            <w:r>
              <w:rPr>
                <w:b w:val="0"/>
                <w:sz w:val="18"/>
              </w:rPr>
              <w:t>npm run solhint</w:t>
            </w:r>
          </w:p>
        </w:tc>
        <w:tc>
          <w:tcPr>
            <w:tcW w:type="dxa" w:w="1944"/>
            <w:vAlign w:val="center"/>
          </w:tcPr>
          <w:p>
            <w:pPr>
              <w:spacing w:after="0"/>
            </w:pPr>
            <w:r>
              <w:rPr>
                <w:sz w:val="18"/>
              </w:rPr>
            </w:r>
            <w:r>
              <w:rPr>
                <w:b w:val="0"/>
                <w:sz w:val="18"/>
              </w:rPr>
              <w:t>Executed: pass with warnings</w:t>
            </w:r>
          </w:p>
        </w:tc>
        <w:tc>
          <w:tcPr>
            <w:tcW w:type="dxa" w:w="3168"/>
            <w:vAlign w:val="center"/>
          </w:tcPr>
          <w:p>
            <w:pPr>
              <w:spacing w:after="0"/>
            </w:pPr>
            <w:r>
              <w:rPr>
                <w:sz w:val="18"/>
              </w:rPr>
            </w:r>
            <w:r>
              <w:rPr>
                <w:b w:val="0"/>
                <w:sz w:val="18"/>
              </w:rPr>
              <w:t>Solhint exited 0; warnings mostly NatSpec/gas style.</w:t>
            </w:r>
          </w:p>
        </w:tc>
        <w:tc>
          <w:tcPr>
            <w:tcW w:type="dxa" w:w="2520"/>
            <w:vAlign w:val="center"/>
          </w:tcPr>
          <w:p>
            <w:pPr>
              <w:spacing w:after="0"/>
            </w:pPr>
            <w:r>
              <w:rPr>
                <w:sz w:val="18"/>
              </w:rPr>
            </w:r>
            <w:r>
              <w:rPr>
                <w:b w:val="0"/>
                <w:sz w:val="18"/>
              </w:rPr>
              <w:t>Can report as Solhint static analysis with warnings.</w:t>
            </w:r>
          </w:p>
        </w:tc>
      </w:tr>
      <w:tr>
        <w:tc>
          <w:tcPr>
            <w:tcW w:type="dxa" w:w="1728"/>
            <w:vAlign w:val="center"/>
          </w:tcPr>
          <w:p>
            <w:pPr>
              <w:spacing w:after="0"/>
            </w:pPr>
            <w:r>
              <w:rPr>
                <w:sz w:val="18"/>
              </w:rPr>
            </w:r>
            <w:r>
              <w:rPr>
                <w:b w:val="0"/>
                <w:sz w:val="18"/>
              </w:rPr>
              <w:t>Static analysis</w:t>
            </w:r>
          </w:p>
        </w:tc>
        <w:tc>
          <w:tcPr>
            <w:tcW w:type="dxa" w:w="2520"/>
            <w:vAlign w:val="center"/>
          </w:tcPr>
          <w:p>
            <w:pPr>
              <w:spacing w:after="0"/>
            </w:pPr>
            <w:r>
              <w:rPr>
                <w:sz w:val="18"/>
              </w:rPr>
            </w:r>
            <w:r>
              <w:rPr>
                <w:b w:val="0"/>
                <w:sz w:val="18"/>
              </w:rPr>
              <w:t>npm run slither</w:t>
            </w:r>
          </w:p>
        </w:tc>
        <w:tc>
          <w:tcPr>
            <w:tcW w:type="dxa" w:w="1944"/>
            <w:vAlign w:val="center"/>
          </w:tcPr>
          <w:p>
            <w:pPr>
              <w:spacing w:after="0"/>
            </w:pPr>
            <w:r>
              <w:rPr>
                <w:sz w:val="18"/>
              </w:rPr>
            </w:r>
            <w:r>
              <w:rPr>
                <w:b w:val="0"/>
                <w:sz w:val="18"/>
              </w:rPr>
              <w:t>Configured, not locally executed</w:t>
            </w:r>
          </w:p>
        </w:tc>
        <w:tc>
          <w:tcPr>
            <w:tcW w:type="dxa" w:w="3168"/>
            <w:vAlign w:val="center"/>
          </w:tcPr>
          <w:p>
            <w:pPr>
              <w:spacing w:after="0"/>
            </w:pPr>
            <w:r>
              <w:rPr>
                <w:sz w:val="18"/>
              </w:rPr>
            </w:r>
            <w:r>
              <w:rPr>
                <w:b w:val="0"/>
                <w:sz w:val="18"/>
              </w:rPr>
              <w:t>Failed locally: slither: command not found. CI uses crytic/slither-action.</w:t>
            </w:r>
          </w:p>
        </w:tc>
        <w:tc>
          <w:tcPr>
            <w:tcW w:type="dxa" w:w="2520"/>
            <w:vAlign w:val="center"/>
          </w:tcPr>
          <w:p>
            <w:pPr>
              <w:spacing w:after="0"/>
            </w:pPr>
            <w:r>
              <w:rPr>
                <w:sz w:val="18"/>
              </w:rPr>
            </w:r>
            <w:r>
              <w:rPr>
                <w:b w:val="0"/>
                <w:sz w:val="18"/>
              </w:rPr>
              <w:t>Do not claim completed Slither findings from local run.</w:t>
            </w:r>
          </w:p>
        </w:tc>
      </w:tr>
      <w:tr>
        <w:tc>
          <w:tcPr>
            <w:tcW w:type="dxa" w:w="1728"/>
            <w:vAlign w:val="center"/>
          </w:tcPr>
          <w:p>
            <w:pPr>
              <w:spacing w:after="0"/>
            </w:pPr>
            <w:r>
              <w:rPr>
                <w:sz w:val="18"/>
              </w:rPr>
            </w:r>
            <w:r>
              <w:rPr>
                <w:b w:val="0"/>
                <w:sz w:val="18"/>
              </w:rPr>
              <w:t>Coverage</w:t>
            </w:r>
          </w:p>
        </w:tc>
        <w:tc>
          <w:tcPr>
            <w:tcW w:type="dxa" w:w="2520"/>
            <w:vAlign w:val="center"/>
          </w:tcPr>
          <w:p>
            <w:pPr>
              <w:spacing w:after="0"/>
            </w:pPr>
            <w:r>
              <w:rPr>
                <w:sz w:val="18"/>
              </w:rPr>
            </w:r>
            <w:r>
              <w:rPr>
                <w:b w:val="0"/>
                <w:sz w:val="18"/>
              </w:rPr>
              <w:t>npm run coverage</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87 passing, 4 pending; 77.66% statement coverage.</w:t>
            </w:r>
          </w:p>
        </w:tc>
        <w:tc>
          <w:tcPr>
            <w:tcW w:type="dxa" w:w="2520"/>
            <w:vAlign w:val="center"/>
          </w:tcPr>
          <w:p>
            <w:pPr>
              <w:spacing w:after="0"/>
            </w:pPr>
            <w:r>
              <w:rPr>
                <w:sz w:val="18"/>
              </w:rPr>
            </w:r>
            <w:r>
              <w:rPr>
                <w:b w:val="0"/>
                <w:sz w:val="18"/>
              </w:rPr>
              <w:t>Can report coverage evidence.</w:t>
            </w:r>
          </w:p>
        </w:tc>
      </w:tr>
      <w:tr>
        <w:tc>
          <w:tcPr>
            <w:tcW w:type="dxa" w:w="1728"/>
            <w:vAlign w:val="center"/>
          </w:tcPr>
          <w:p>
            <w:pPr>
              <w:spacing w:after="0"/>
            </w:pPr>
            <w:r>
              <w:rPr>
                <w:sz w:val="18"/>
              </w:rPr>
            </w:r>
            <w:r>
              <w:rPr>
                <w:b w:val="0"/>
                <w:sz w:val="18"/>
              </w:rPr>
              <w:t>Gas report</w:t>
            </w:r>
          </w:p>
        </w:tc>
        <w:tc>
          <w:tcPr>
            <w:tcW w:type="dxa" w:w="2520"/>
            <w:vAlign w:val="center"/>
          </w:tcPr>
          <w:p>
            <w:pPr>
              <w:spacing w:after="0"/>
            </w:pPr>
            <w:r>
              <w:rPr>
                <w:sz w:val="18"/>
              </w:rPr>
            </w:r>
            <w:r>
              <w:rPr>
                <w:b w:val="0"/>
                <w:sz w:val="18"/>
              </w:rPr>
              <w:t>npm run gas</w:t>
            </w:r>
          </w:p>
        </w:tc>
        <w:tc>
          <w:tcPr>
            <w:tcW w:type="dxa" w:w="1944"/>
            <w:vAlign w:val="center"/>
          </w:tcPr>
          <w:p>
            <w:pPr>
              <w:spacing w:after="0"/>
            </w:pPr>
            <w:r>
              <w:rPr>
                <w:sz w:val="18"/>
              </w:rPr>
            </w:r>
            <w:r>
              <w:rPr>
                <w:b w:val="0"/>
                <w:sz w:val="18"/>
              </w:rPr>
              <w:t>Executed: pass</w:t>
            </w:r>
          </w:p>
        </w:tc>
        <w:tc>
          <w:tcPr>
            <w:tcW w:type="dxa" w:w="3168"/>
            <w:vAlign w:val="center"/>
          </w:tcPr>
          <w:p>
            <w:pPr>
              <w:spacing w:after="0"/>
            </w:pPr>
            <w:r>
              <w:rPr>
                <w:sz w:val="18"/>
              </w:rPr>
            </w:r>
            <w:r>
              <w:rPr>
                <w:b w:val="0"/>
                <w:sz w:val="18"/>
              </w:rPr>
              <w:t>6 VCEM tests passing with gas report.</w:t>
            </w:r>
          </w:p>
        </w:tc>
        <w:tc>
          <w:tcPr>
            <w:tcW w:type="dxa" w:w="2520"/>
            <w:vAlign w:val="center"/>
          </w:tcPr>
          <w:p>
            <w:pPr>
              <w:spacing w:after="0"/>
            </w:pPr>
            <w:r>
              <w:rPr>
                <w:sz w:val="18"/>
              </w:rPr>
            </w:r>
            <w:r>
              <w:rPr>
                <w:b w:val="0"/>
                <w:sz w:val="18"/>
              </w:rPr>
              <w:t>Can report gas profiling was executed.</w:t>
            </w:r>
          </w:p>
        </w:tc>
      </w:tr>
      <w:tr>
        <w:tc>
          <w:tcPr>
            <w:tcW w:type="dxa" w:w="1728"/>
            <w:vAlign w:val="center"/>
          </w:tcPr>
          <w:p>
            <w:pPr>
              <w:spacing w:after="0"/>
            </w:pPr>
            <w:r>
              <w:rPr>
                <w:sz w:val="18"/>
              </w:rPr>
            </w:r>
            <w:r>
              <w:rPr>
                <w:b w:val="0"/>
                <w:sz w:val="18"/>
              </w:rPr>
              <w:t>Dependency audit</w:t>
            </w:r>
          </w:p>
        </w:tc>
        <w:tc>
          <w:tcPr>
            <w:tcW w:type="dxa" w:w="2520"/>
            <w:vAlign w:val="center"/>
          </w:tcPr>
          <w:p>
            <w:pPr>
              <w:spacing w:after="0"/>
            </w:pPr>
            <w:r>
              <w:rPr>
                <w:sz w:val="18"/>
              </w:rPr>
            </w:r>
            <w:r>
              <w:rPr>
                <w:b w:val="0"/>
                <w:sz w:val="18"/>
              </w:rPr>
              <w:t>npm run security:audit</w:t>
            </w:r>
          </w:p>
        </w:tc>
        <w:tc>
          <w:tcPr>
            <w:tcW w:type="dxa" w:w="1944"/>
            <w:vAlign w:val="center"/>
          </w:tcPr>
          <w:p>
            <w:pPr>
              <w:spacing w:after="0"/>
            </w:pPr>
            <w:r>
              <w:rPr>
                <w:sz w:val="18"/>
              </w:rPr>
            </w:r>
            <w:r>
              <w:rPr>
                <w:b w:val="0"/>
                <w:sz w:val="18"/>
              </w:rPr>
              <w:t>Executed: fail</w:t>
            </w:r>
          </w:p>
        </w:tc>
        <w:tc>
          <w:tcPr>
            <w:tcW w:type="dxa" w:w="3168"/>
            <w:vAlign w:val="center"/>
          </w:tcPr>
          <w:p>
            <w:pPr>
              <w:spacing w:after="0"/>
            </w:pPr>
            <w:r>
              <w:rPr>
                <w:sz w:val="18"/>
              </w:rPr>
            </w:r>
            <w:r>
              <w:rPr>
                <w:b w:val="0"/>
                <w:sz w:val="18"/>
              </w:rPr>
              <w:t>54 vulnerabilities: 19 low, 21 moderate, 11 high, 3 critical.</w:t>
            </w:r>
          </w:p>
        </w:tc>
        <w:tc>
          <w:tcPr>
            <w:tcW w:type="dxa" w:w="2520"/>
            <w:vAlign w:val="center"/>
          </w:tcPr>
          <w:p>
            <w:pPr>
              <w:spacing w:after="0"/>
            </w:pPr>
            <w:r>
              <w:rPr>
                <w:sz w:val="18"/>
              </w:rPr>
            </w:r>
            <w:r>
              <w:rPr>
                <w:b w:val="0"/>
                <w:sz w:val="18"/>
              </w:rPr>
              <w:t>Report as unresolved dependency risk, not clean security sign-off.</w:t>
            </w:r>
          </w:p>
        </w:tc>
      </w:tr>
      <w:tr>
        <w:tc>
          <w:tcPr>
            <w:tcW w:type="dxa" w:w="1728"/>
            <w:vAlign w:val="center"/>
          </w:tcPr>
          <w:p>
            <w:pPr>
              <w:spacing w:after="0"/>
            </w:pPr>
            <w:r>
              <w:rPr>
                <w:sz w:val="18"/>
              </w:rPr>
            </w:r>
            <w:r>
              <w:rPr>
                <w:b w:val="0"/>
                <w:sz w:val="18"/>
              </w:rPr>
              <w:t>Bytecode verifier</w:t>
            </w:r>
          </w:p>
        </w:tc>
        <w:tc>
          <w:tcPr>
            <w:tcW w:type="dxa" w:w="2520"/>
            <w:vAlign w:val="center"/>
          </w:tcPr>
          <w:p>
            <w:pPr>
              <w:spacing w:after="0"/>
            </w:pPr>
            <w:r>
              <w:rPr>
                <w:sz w:val="18"/>
              </w:rPr>
            </w:r>
            <w:r>
              <w:rPr>
                <w:b w:val="0"/>
                <w:sz w:val="18"/>
              </w:rPr>
              <w:t>npm run audit:verify-bytecode</w:t>
            </w:r>
          </w:p>
        </w:tc>
        <w:tc>
          <w:tcPr>
            <w:tcW w:type="dxa" w:w="1944"/>
            <w:vAlign w:val="center"/>
          </w:tcPr>
          <w:p>
            <w:pPr>
              <w:spacing w:after="0"/>
            </w:pPr>
            <w:r>
              <w:rPr>
                <w:sz w:val="18"/>
              </w:rPr>
            </w:r>
            <w:r>
              <w:rPr>
                <w:b w:val="0"/>
                <w:sz w:val="18"/>
              </w:rPr>
              <w:t>Implemented, deployment-dependent</w:t>
            </w:r>
          </w:p>
        </w:tc>
        <w:tc>
          <w:tcPr>
            <w:tcW w:type="dxa" w:w="3168"/>
            <w:vAlign w:val="center"/>
          </w:tcPr>
          <w:p>
            <w:pPr>
              <w:spacing w:after="0"/>
            </w:pPr>
            <w:r>
              <w:rPr>
                <w:sz w:val="18"/>
              </w:rPr>
            </w:r>
            <w:r>
              <w:rPr>
                <w:b w:val="0"/>
                <w:sz w:val="18"/>
              </w:rPr>
              <w:t>Verifier exists; needs deployed manifest/RPC for live run.</w:t>
            </w:r>
          </w:p>
        </w:tc>
        <w:tc>
          <w:tcPr>
            <w:tcW w:type="dxa" w:w="2520"/>
            <w:vAlign w:val="center"/>
          </w:tcPr>
          <w:p>
            <w:pPr>
              <w:spacing w:after="0"/>
            </w:pPr>
            <w:r>
              <w:rPr>
                <w:sz w:val="18"/>
              </w:rPr>
            </w:r>
            <w:r>
              <w:rPr>
                <w:b w:val="0"/>
                <w:sz w:val="18"/>
              </w:rPr>
              <w:t>Do not claim live deployed bytecode verification unless run after Besu deployment.</w:t>
            </w:r>
          </w:p>
        </w:tc>
      </w:tr>
      <w:tr>
        <w:tc>
          <w:tcPr>
            <w:tcW w:type="dxa" w:w="1728"/>
            <w:vAlign w:val="center"/>
          </w:tcPr>
          <w:p>
            <w:pPr>
              <w:spacing w:after="0"/>
            </w:pPr>
            <w:r>
              <w:rPr>
                <w:sz w:val="18"/>
              </w:rPr>
            </w:r>
            <w:r>
              <w:rPr>
                <w:b w:val="0"/>
                <w:sz w:val="18"/>
              </w:rPr>
              <w:t>Formal verification</w:t>
            </w:r>
          </w:p>
        </w:tc>
        <w:tc>
          <w:tcPr>
            <w:tcW w:type="dxa" w:w="2520"/>
            <w:vAlign w:val="center"/>
          </w:tcPr>
          <w:p>
            <w:pPr>
              <w:spacing w:after="0"/>
            </w:pPr>
            <w:r>
              <w:rPr>
                <w:sz w:val="18"/>
              </w:rPr>
            </w:r>
            <w:r>
              <w:rPr>
                <w:b w:val="0"/>
                <w:sz w:val="18"/>
              </w:rPr>
              <w:t>Certora / SMTChecker / Scribble / Echidna / Foundry invariants</w:t>
            </w:r>
          </w:p>
        </w:tc>
        <w:tc>
          <w:tcPr>
            <w:tcW w:type="dxa" w:w="1944"/>
            <w:vAlign w:val="center"/>
          </w:tcPr>
          <w:p>
            <w:pPr>
              <w:spacing w:after="0"/>
            </w:pPr>
            <w:r>
              <w:rPr>
                <w:sz w:val="18"/>
              </w:rPr>
            </w:r>
            <w:r>
              <w:rPr>
                <w:b w:val="0"/>
                <w:sz w:val="18"/>
              </w:rPr>
              <w:t>Not implemented as completed proof</w:t>
            </w:r>
          </w:p>
        </w:tc>
        <w:tc>
          <w:tcPr>
            <w:tcW w:type="dxa" w:w="3168"/>
            <w:vAlign w:val="center"/>
          </w:tcPr>
          <w:p>
            <w:pPr>
              <w:spacing w:after="0"/>
            </w:pPr>
            <w:r>
              <w:rPr>
                <w:sz w:val="18"/>
              </w:rPr>
            </w:r>
            <w:r>
              <w:rPr>
                <w:b w:val="0"/>
                <w:sz w:val="18"/>
              </w:rPr>
              <w:t>No formal proof artifacts found.</w:t>
            </w:r>
          </w:p>
        </w:tc>
        <w:tc>
          <w:tcPr>
            <w:tcW w:type="dxa" w:w="2520"/>
            <w:vAlign w:val="center"/>
          </w:tcPr>
          <w:p>
            <w:pPr>
              <w:spacing w:after="0"/>
            </w:pPr>
            <w:r>
              <w:rPr>
                <w:sz w:val="18"/>
              </w:rPr>
            </w:r>
            <w:r>
              <w:rPr>
                <w:b w:val="0"/>
                <w:sz w:val="18"/>
              </w:rPr>
              <w:t>Must be reported as future work or limitation.</w:t>
            </w:r>
          </w:p>
        </w:tc>
      </w:tr>
    </w:tbl>
    <w:p>
      <w:pPr>
        <w:pStyle w:val="Heading1"/>
      </w:pPr>
      <w:r>
        <w:t>Static Analysis Evidence</w:t>
      </w:r>
    </w:p>
    <w:p>
      <w:pPr>
        <w:pStyle w:val="ListBullet"/>
        <w:spacing w:after="60"/>
      </w:pPr>
      <w:r>
        <w:t>Solhint is installed and configured through .solhint.json and package.json script npm run solhint.</w:t>
      </w:r>
    </w:p>
    <w:p>
      <w:pPr>
        <w:pStyle w:val="ListBullet"/>
        <w:spacing w:after="60"/>
      </w:pPr>
      <w:r>
        <w:t>Solhint was executed and exited successfully, but emitted warnings. The warning set is primarily documentation and gas-style guidance across retained legacy contracts and VCEM contracts.</w:t>
      </w:r>
    </w:p>
    <w:p>
      <w:pPr>
        <w:pStyle w:val="ListBullet"/>
        <w:spacing w:after="60"/>
      </w:pPr>
      <w:r>
        <w:t>Slither is configured through package.json and slither.config.json, and GitHub Actions includes crytic/slither-action@v0.4.1.</w:t>
      </w:r>
    </w:p>
    <w:p>
      <w:pPr>
        <w:pStyle w:val="ListBullet"/>
        <w:spacing w:after="60"/>
      </w:pPr>
      <w:r>
        <w:t>Local Slither execution was attempted through npm run slither and failed because the slither binary was not installed in the local environment.</w:t>
      </w:r>
    </w:p>
    <w:p>
      <w:pPr>
        <w:pStyle w:val="Heading1"/>
      </w:pPr>
      <w:r>
        <w:t>Formal Verification Status</w:t>
      </w:r>
    </w:p>
    <w:p>
      <w:pPr>
        <w:pStyle w:val="ListBullet"/>
        <w:spacing w:after="60"/>
      </w:pPr>
      <w:r>
        <w:t>No completed formal verification evidence exists in the current repository.</w:t>
      </w:r>
    </w:p>
    <w:p>
      <w:pPr>
        <w:pStyle w:val="ListBullet"/>
        <w:spacing w:after="60"/>
      </w:pPr>
      <w:r>
        <w:t>No Certora specification, Scribble annotations, Echidna campaign, Foundry invariant test suite, or SMTChecker proof report was found.</w:t>
      </w:r>
    </w:p>
    <w:p>
      <w:pPr>
        <w:pStyle w:val="ListBullet"/>
        <w:spacing w:after="60"/>
      </w:pPr>
      <w:r>
        <w:t>The current property tests are useful validation, but they are not a substitute for formal verification.</w:t>
      </w:r>
    </w:p>
    <w:p>
      <w:pPr>
        <w:pStyle w:val="ListBullet"/>
        <w:spacing w:after="60"/>
      </w:pPr>
      <w:r>
        <w:t>The manuscript should not state that formal verification has been completed unless a new formal verification workflow is implemented, executed, and archived.</w:t>
      </w:r>
    </w:p>
    <w:p>
      <w:pPr>
        <w:pStyle w:val="Heading1"/>
      </w:pPr>
      <w:r>
        <w:t>Smart Contract Verification vs. Audit Verification</w:t>
      </w:r>
    </w:p>
    <w:p>
      <w:r>
        <w:rPr>
          <w:b/>
        </w:rPr>
        <w:t xml:space="preserve">Important distinction: </w:t>
      </w:r>
      <w:r>
        <w:t>the repository contains an independent audit verifier for VCEM compliance from blockchain evidence. That verifier is not the same as formal smart contract verification. It reconstructs consent/access evidence, checks signatures and consent-state binding, and has a tamper-detection test suite.</w:t>
      </w:r>
    </w:p>
    <w:p>
      <w:r>
        <w:br w:type="page"/>
      </w:r>
    </w:p>
    <w:p>
      <w:pPr>
        <w:pStyle w:val="Heading1"/>
      </w:pPr>
      <w:r>
        <w:t>Evidence Files and Commands</w:t>
      </w:r>
    </w:p>
    <w:tbl>
      <w:tblPr>
        <w:tblW w:type="auto" w:w="0"/>
        <w:jc w:val="center"/>
        <w:tblLayout w:type="fixed"/>
        <w:tblLook w:firstColumn="1" w:firstRow="1" w:lastColumn="0" w:lastRow="0" w:noHBand="0" w:noVBand="1" w:val="04A0"/>
      </w:tblPr>
      <w:tblGrid>
        <w:gridCol w:w="4968"/>
        <w:gridCol w:w="4968"/>
      </w:tblGrid>
      <w:tr>
        <w:tc>
          <w:tcPr>
            <w:tcW w:type="dxa" w:w="3240"/>
            <w:vAlign w:val="center"/>
            <w:shd w:fill="E8EEF5"/>
          </w:tcPr>
          <w:p>
            <w:pPr>
              <w:spacing w:after="0"/>
            </w:pPr>
            <w:r>
              <w:rPr>
                <w:b/>
                <w:sz w:val="18"/>
              </w:rPr>
            </w:r>
            <w:r>
              <w:rPr>
                <w:b/>
                <w:sz w:val="18"/>
              </w:rPr>
              <w:t>Evidence item</w:t>
            </w:r>
          </w:p>
        </w:tc>
        <w:tc>
          <w:tcPr>
            <w:tcW w:type="dxa" w:w="8280"/>
            <w:vAlign w:val="center"/>
            <w:shd w:fill="E8EEF5"/>
          </w:tcPr>
          <w:p>
            <w:pPr>
              <w:spacing w:after="0"/>
            </w:pPr>
            <w:r>
              <w:rPr>
                <w:b/>
                <w:sz w:val="18"/>
              </w:rPr>
            </w:r>
            <w:r>
              <w:rPr>
                <w:b/>
                <w:sz w:val="18"/>
              </w:rPr>
              <w:t>Path / command</w:t>
            </w:r>
          </w:p>
        </w:tc>
      </w:tr>
      <w:tr>
        <w:tc>
          <w:tcPr>
            <w:tcW w:type="dxa" w:w="3240"/>
            <w:vAlign w:val="center"/>
          </w:tcPr>
          <w:p>
            <w:pPr>
              <w:spacing w:after="0"/>
            </w:pPr>
            <w:r>
              <w:rPr>
                <w:sz w:val="18"/>
              </w:rPr>
            </w:r>
            <w:r>
              <w:rPr>
                <w:b w:val="0"/>
                <w:sz w:val="18"/>
              </w:rPr>
              <w:t>Solhint config</w:t>
            </w:r>
          </w:p>
        </w:tc>
        <w:tc>
          <w:tcPr>
            <w:tcW w:type="dxa" w:w="8280"/>
            <w:vAlign w:val="center"/>
          </w:tcPr>
          <w:p>
            <w:pPr>
              <w:spacing w:after="0"/>
            </w:pPr>
            <w:r>
              <w:rPr>
                <w:sz w:val="18"/>
              </w:rPr>
            </w:r>
            <w:r>
              <w:rPr>
                <w:b w:val="0"/>
                <w:sz w:val="18"/>
              </w:rPr>
              <w:t>.solhint.json</w:t>
            </w:r>
          </w:p>
        </w:tc>
      </w:tr>
      <w:tr>
        <w:tc>
          <w:tcPr>
            <w:tcW w:type="dxa" w:w="3240"/>
            <w:vAlign w:val="center"/>
          </w:tcPr>
          <w:p>
            <w:pPr>
              <w:spacing w:after="0"/>
            </w:pPr>
            <w:r>
              <w:rPr>
                <w:sz w:val="18"/>
              </w:rPr>
            </w:r>
            <w:r>
              <w:rPr>
                <w:b w:val="0"/>
                <w:sz w:val="18"/>
              </w:rPr>
              <w:t>Slither config</w:t>
            </w:r>
          </w:p>
        </w:tc>
        <w:tc>
          <w:tcPr>
            <w:tcW w:type="dxa" w:w="8280"/>
            <w:vAlign w:val="center"/>
          </w:tcPr>
          <w:p>
            <w:pPr>
              <w:spacing w:after="0"/>
            </w:pPr>
            <w:r>
              <w:rPr>
                <w:sz w:val="18"/>
              </w:rPr>
            </w:r>
            <w:r>
              <w:rPr>
                <w:b w:val="0"/>
                <w:sz w:val="18"/>
              </w:rPr>
              <w:t>slither.config.json</w:t>
            </w:r>
          </w:p>
        </w:tc>
      </w:tr>
      <w:tr>
        <w:tc>
          <w:tcPr>
            <w:tcW w:type="dxa" w:w="3240"/>
            <w:vAlign w:val="center"/>
          </w:tcPr>
          <w:p>
            <w:pPr>
              <w:spacing w:after="0"/>
            </w:pPr>
            <w:r>
              <w:rPr>
                <w:sz w:val="18"/>
              </w:rPr>
            </w:r>
            <w:r>
              <w:rPr>
                <w:b w:val="0"/>
                <w:sz w:val="18"/>
              </w:rPr>
              <w:t>CI static-analysis hook</w:t>
            </w:r>
          </w:p>
        </w:tc>
        <w:tc>
          <w:tcPr>
            <w:tcW w:type="dxa" w:w="8280"/>
            <w:vAlign w:val="center"/>
          </w:tcPr>
          <w:p>
            <w:pPr>
              <w:spacing w:after="0"/>
            </w:pPr>
            <w:r>
              <w:rPr>
                <w:sz w:val="18"/>
              </w:rPr>
            </w:r>
            <w:r>
              <w:rPr>
                <w:b w:val="0"/>
                <w:sz w:val="18"/>
              </w:rPr>
              <w:t>.github/workflows/vcem-ci.yml</w:t>
            </w:r>
          </w:p>
        </w:tc>
      </w:tr>
      <w:tr>
        <w:tc>
          <w:tcPr>
            <w:tcW w:type="dxa" w:w="3240"/>
            <w:vAlign w:val="center"/>
          </w:tcPr>
          <w:p>
            <w:pPr>
              <w:spacing w:after="0"/>
            </w:pPr>
            <w:r>
              <w:rPr>
                <w:sz w:val="18"/>
              </w:rPr>
            </w:r>
            <w:r>
              <w:rPr>
                <w:b w:val="0"/>
                <w:sz w:val="18"/>
              </w:rPr>
              <w:t>Coverage report</w:t>
            </w:r>
          </w:p>
        </w:tc>
        <w:tc>
          <w:tcPr>
            <w:tcW w:type="dxa" w:w="8280"/>
            <w:vAlign w:val="center"/>
          </w:tcPr>
          <w:p>
            <w:pPr>
              <w:spacing w:after="0"/>
            </w:pPr>
            <w:r>
              <w:rPr>
                <w:sz w:val="18"/>
              </w:rPr>
            </w:r>
            <w:r>
              <w:rPr>
                <w:b w:val="0"/>
                <w:sz w:val="18"/>
              </w:rPr>
              <w:t>coverage/index.html, coverage/lcov.info, coverage.json</w:t>
            </w:r>
          </w:p>
        </w:tc>
      </w:tr>
      <w:tr>
        <w:tc>
          <w:tcPr>
            <w:tcW w:type="dxa" w:w="3240"/>
            <w:vAlign w:val="center"/>
          </w:tcPr>
          <w:p>
            <w:pPr>
              <w:spacing w:after="0"/>
            </w:pPr>
            <w:r>
              <w:rPr>
                <w:sz w:val="18"/>
              </w:rPr>
            </w:r>
            <w:r>
              <w:rPr>
                <w:b w:val="0"/>
                <w:sz w:val="18"/>
              </w:rPr>
              <w:t>Gas report command</w:t>
            </w:r>
          </w:p>
        </w:tc>
        <w:tc>
          <w:tcPr>
            <w:tcW w:type="dxa" w:w="8280"/>
            <w:vAlign w:val="center"/>
          </w:tcPr>
          <w:p>
            <w:pPr>
              <w:spacing w:after="0"/>
            </w:pPr>
            <w:r>
              <w:rPr>
                <w:sz w:val="18"/>
              </w:rPr>
            </w:r>
            <w:r>
              <w:rPr>
                <w:b w:val="0"/>
                <w:sz w:val="18"/>
              </w:rPr>
              <w:t>npm run gas</w:t>
            </w:r>
          </w:p>
        </w:tc>
      </w:tr>
      <w:tr>
        <w:tc>
          <w:tcPr>
            <w:tcW w:type="dxa" w:w="3240"/>
            <w:vAlign w:val="center"/>
          </w:tcPr>
          <w:p>
            <w:pPr>
              <w:spacing w:after="0"/>
            </w:pPr>
            <w:r>
              <w:rPr>
                <w:sz w:val="18"/>
              </w:rPr>
            </w:r>
            <w:r>
              <w:rPr>
                <w:b w:val="0"/>
                <w:sz w:val="18"/>
              </w:rPr>
              <w:t>Audit verifier</w:t>
            </w:r>
          </w:p>
        </w:tc>
        <w:tc>
          <w:tcPr>
            <w:tcW w:type="dxa" w:w="8280"/>
            <w:vAlign w:val="center"/>
          </w:tcPr>
          <w:p>
            <w:pPr>
              <w:spacing w:after="0"/>
            </w:pPr>
            <w:r>
              <w:rPr>
                <w:sz w:val="18"/>
              </w:rPr>
            </w:r>
            <w:r>
              <w:rPr>
                <w:b w:val="0"/>
                <w:sz w:val="18"/>
              </w:rPr>
              <w:t>scripts/auditVerify.ts</w:t>
            </w:r>
          </w:p>
        </w:tc>
      </w:tr>
      <w:tr>
        <w:tc>
          <w:tcPr>
            <w:tcW w:type="dxa" w:w="3240"/>
            <w:vAlign w:val="center"/>
          </w:tcPr>
          <w:p>
            <w:pPr>
              <w:spacing w:after="0"/>
            </w:pPr>
            <w:r>
              <w:rPr>
                <w:sz w:val="18"/>
              </w:rPr>
            </w:r>
            <w:r>
              <w:rPr>
                <w:b w:val="0"/>
                <w:sz w:val="18"/>
              </w:rPr>
              <w:t>Audit verifier tests</w:t>
            </w:r>
          </w:p>
        </w:tc>
        <w:tc>
          <w:tcPr>
            <w:tcW w:type="dxa" w:w="8280"/>
            <w:vAlign w:val="center"/>
          </w:tcPr>
          <w:p>
            <w:pPr>
              <w:spacing w:after="0"/>
            </w:pPr>
            <w:r>
              <w:rPr>
                <w:sz w:val="18"/>
              </w:rPr>
            </w:r>
            <w:r>
              <w:rPr>
                <w:b w:val="0"/>
                <w:sz w:val="18"/>
              </w:rPr>
              <w:t>test/AuditVerifier.ts</w:t>
            </w:r>
          </w:p>
        </w:tc>
      </w:tr>
      <w:tr>
        <w:tc>
          <w:tcPr>
            <w:tcW w:type="dxa" w:w="3240"/>
            <w:vAlign w:val="center"/>
          </w:tcPr>
          <w:p>
            <w:pPr>
              <w:spacing w:after="0"/>
            </w:pPr>
            <w:r>
              <w:rPr>
                <w:sz w:val="18"/>
              </w:rPr>
            </w:r>
            <w:r>
              <w:rPr>
                <w:b w:val="0"/>
                <w:sz w:val="18"/>
              </w:rPr>
              <w:t>VCEM contracts</w:t>
            </w:r>
          </w:p>
        </w:tc>
        <w:tc>
          <w:tcPr>
            <w:tcW w:type="dxa" w:w="8280"/>
            <w:vAlign w:val="center"/>
          </w:tcPr>
          <w:p>
            <w:pPr>
              <w:spacing w:after="0"/>
            </w:pPr>
            <w:r>
              <w:rPr>
                <w:sz w:val="18"/>
              </w:rPr>
            </w:r>
            <w:r>
              <w:rPr>
                <w:b w:val="0"/>
                <w:sz w:val="18"/>
              </w:rPr>
              <w:t>contracts/vcem/VCEMRegistry.sol, VCEMConsent.sol, VCEMAudit.sol</w:t>
            </w:r>
          </w:p>
        </w:tc>
      </w:tr>
      <w:tr>
        <w:tc>
          <w:tcPr>
            <w:tcW w:type="dxa" w:w="3240"/>
            <w:vAlign w:val="center"/>
          </w:tcPr>
          <w:p>
            <w:pPr>
              <w:spacing w:after="0"/>
            </w:pPr>
            <w:r>
              <w:rPr>
                <w:sz w:val="18"/>
              </w:rPr>
            </w:r>
            <w:r>
              <w:rPr>
                <w:b w:val="0"/>
                <w:sz w:val="18"/>
              </w:rPr>
              <w:t>Dependency risk register</w:t>
            </w:r>
          </w:p>
        </w:tc>
        <w:tc>
          <w:tcPr>
            <w:tcW w:type="dxa" w:w="8280"/>
            <w:vAlign w:val="center"/>
          </w:tcPr>
          <w:p>
            <w:pPr>
              <w:spacing w:after="0"/>
            </w:pPr>
            <w:r>
              <w:rPr>
                <w:sz w:val="18"/>
              </w:rPr>
            </w:r>
            <w:r>
              <w:rPr>
                <w:b w:val="0"/>
                <w:sz w:val="18"/>
              </w:rPr>
              <w:t>docs/dependency-risk-register.md</w:t>
            </w:r>
          </w:p>
        </w:tc>
      </w:tr>
    </w:tbl>
    <w:p>
      <w:pPr>
        <w:pStyle w:val="Heading1"/>
      </w:pPr>
      <w:r>
        <w:t>Recommended Reviewer #2 Response</w:t>
      </w:r>
    </w:p>
    <w:p>
      <w:r>
        <w:t>We agree with the reviewer that static analysis and formal verification should be clearly distinguished. In the revised artifact, static analysis is represented by Solhint execution and Slither CI configuration. Formal verification is not claimed as completed. We now report the implemented VCEM evidence as automated testing, independent audit-verifier validation, coverage/gas profiling, and configured static-analysis tooling, while identifying full formal verification as future work.</w:t>
      </w:r>
    </w:p>
    <w:p>
      <w:pPr>
        <w:pStyle w:val="Heading1"/>
      </w:pPr>
      <w:r>
        <w:t>Limitations to State Explicitly</w:t>
      </w:r>
    </w:p>
    <w:p>
      <w:pPr>
        <w:pStyle w:val="ListBullet"/>
        <w:spacing w:after="60"/>
      </w:pPr>
      <w:r>
        <w:t>No completed Slither local result is available from this execution.</w:t>
      </w:r>
    </w:p>
    <w:p>
      <w:pPr>
        <w:pStyle w:val="ListBullet"/>
        <w:spacing w:after="60"/>
      </w:pPr>
      <w:r>
        <w:t>No formal verification proof artifacts are available.</w:t>
      </w:r>
    </w:p>
    <w:p>
      <w:pPr>
        <w:pStyle w:val="ListBullet"/>
        <w:spacing w:after="60"/>
      </w:pPr>
      <w:r>
        <w:t>Dependency audit currently fails and should be disclosed as unresolved dependency risk.</w:t>
      </w:r>
    </w:p>
    <w:p>
      <w:pPr>
        <w:pStyle w:val="ListBullet"/>
        <w:spacing w:after="60"/>
      </w:pPr>
      <w:r>
        <w:t>Bytecode verification is implemented but requires a deployed Besu network, manifest, and RPC endpoint for live execution evidence.</w:t>
      </w:r>
    </w:p>
    <w:p>
      <w:pPr>
        <w:pStyle w:val="ListBullet"/>
        <w:spacing w:after="60"/>
      </w:pPr>
      <w:r>
        <w:t>Legacy ZKP tests are experimental and are not evidence of VCEM authorization proof.</w:t>
      </w:r>
    </w:p>
    <w:p>
      <w:pPr>
        <w:pStyle w:val="Heading1"/>
      </w:pPr>
      <w:r>
        <w:t>Conclusion</w:t>
      </w:r>
    </w:p>
    <w:p>
      <w:r>
        <w:rPr>
          <w:b/>
        </w:rPr>
        <w:t xml:space="preserve">For the final paper: </w:t>
      </w:r>
      <w:r>
        <w:t>state that the implementation was validated with automated contract tests, VCEM authorization matrix tests, audit-verifier tamper tests, Solhint static analysis, coverage, gas profiling, and dependency audit. Do not state that formal verification was completed. If Reviewer #2 requires formal verification, the next implementation step should add a dedicated formal-verification workflow and archive its outputs.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