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9A041" w14:textId="77777777" w:rsidR="008168ED" w:rsidRDefault="00000000">
      <w:pPr>
        <w:pBdr>
          <w:bottom w:val="single" w:sz="18" w:space="1" w:color="C6A15B"/>
        </w:pBdr>
        <w:spacing w:after="20" w:line="240" w:lineRule="auto"/>
      </w:pPr>
      <w:r>
        <w:rPr>
          <w:rFonts w:eastAsia="Aptos"/>
          <w:b/>
          <w:color w:val="5B0D1C"/>
          <w:sz w:val="22"/>
        </w:rPr>
        <w:t>UC SMART CONTRACTS IN BLOCKCHAIN</w:t>
      </w:r>
    </w:p>
    <w:p w14:paraId="6F35A0AC" w14:textId="77777777" w:rsidR="008168ED" w:rsidRDefault="00000000">
      <w:pPr>
        <w:spacing w:before="860" w:after="120" w:line="240" w:lineRule="auto"/>
      </w:pPr>
      <w:r>
        <w:rPr>
          <w:rFonts w:ascii="Aptos Display" w:eastAsia="Aptos Display" w:hAnsi="Aptos Display"/>
          <w:b/>
          <w:color w:val="3C0812"/>
          <w:sz w:val="54"/>
        </w:rPr>
        <w:t>Port Wine Traceability</w:t>
      </w:r>
    </w:p>
    <w:p w14:paraId="7761D620" w14:textId="77777777" w:rsidR="008168ED" w:rsidRDefault="00000000">
      <w:pPr>
        <w:spacing w:after="280" w:line="240" w:lineRule="auto"/>
      </w:pPr>
      <w:r>
        <w:rPr>
          <w:rFonts w:eastAsia="Aptos"/>
          <w:color w:val="222222"/>
          <w:sz w:val="31"/>
        </w:rPr>
        <w:t>DAML smart contracts and Canton architecture for provenance, certification, and recall</w:t>
      </w:r>
    </w:p>
    <w:tbl>
      <w:tblPr>
        <w:tblW w:w="0" w:type="auto"/>
        <w:jc w:val="center"/>
        <w:tblLook w:val="04A0" w:firstRow="1" w:lastRow="0" w:firstColumn="1" w:lastColumn="0" w:noHBand="0" w:noVBand="1"/>
      </w:tblPr>
      <w:tblGrid>
        <w:gridCol w:w="10200"/>
      </w:tblGrid>
      <w:tr w:rsidR="008168ED" w14:paraId="35B11A78" w14:textId="77777777">
        <w:trPr>
          <w:jc w:val="center"/>
        </w:trPr>
        <w:tc>
          <w:tcPr>
            <w:tcW w:w="10200" w:type="dxa"/>
            <w:tcBorders>
              <w:top w:val="single" w:sz="5" w:space="0" w:color="5B0D1C"/>
              <w:left w:val="single" w:sz="5" w:space="0" w:color="5B0D1C"/>
              <w:bottom w:val="single" w:sz="5" w:space="0" w:color="5B0D1C"/>
              <w:right w:val="single" w:sz="5" w:space="0" w:color="5B0D1C"/>
            </w:tcBorders>
            <w:shd w:val="clear" w:color="auto" w:fill="5B0D1C"/>
            <w:tcMar>
              <w:top w:w="190" w:type="dxa"/>
              <w:left w:w="220" w:type="dxa"/>
              <w:bottom w:w="190" w:type="dxa"/>
              <w:right w:w="220" w:type="dxa"/>
            </w:tcMar>
          </w:tcPr>
          <w:p w14:paraId="7F608A93" w14:textId="77777777" w:rsidR="008168ED" w:rsidRDefault="00000000">
            <w:pPr>
              <w:spacing w:after="0" w:line="240" w:lineRule="auto"/>
              <w:jc w:val="center"/>
            </w:pPr>
            <w:r>
              <w:rPr>
                <w:rFonts w:eastAsia="Aptos"/>
                <w:b/>
                <w:color w:val="FFFFFF"/>
              </w:rPr>
              <w:t>Permissioned supply chain: Quinta do Vale  -&gt;  Sandeman Winery  -&gt;  IVDP  -&gt;  LogisTrans  -&gt;  ViniShop Oslo  -&gt;  Consumer</w:t>
            </w:r>
          </w:p>
        </w:tc>
      </w:tr>
    </w:tbl>
    <w:p w14:paraId="66514B2D" w14:textId="77777777" w:rsidR="008168ED" w:rsidRDefault="008168ED">
      <w:pPr>
        <w:spacing w:after="0"/>
      </w:pPr>
    </w:p>
    <w:tbl>
      <w:tblPr>
        <w:tblW w:w="0" w:type="auto"/>
        <w:jc w:val="center"/>
        <w:tblLayout w:type="fixed"/>
        <w:tblLook w:val="04A0" w:firstRow="1" w:lastRow="0" w:firstColumn="1" w:lastColumn="0" w:noHBand="0" w:noVBand="1"/>
      </w:tblPr>
      <w:tblGrid>
        <w:gridCol w:w="2268"/>
        <w:gridCol w:w="6747"/>
      </w:tblGrid>
      <w:tr w:rsidR="008168ED" w14:paraId="0EF702E9" w14:textId="77777777">
        <w:trPr>
          <w:jc w:val="center"/>
        </w:trPr>
        <w:tc>
          <w:tcPr>
            <w:tcW w:w="2268" w:type="dxa"/>
            <w:tcBorders>
              <w:top w:val="single" w:sz="4" w:space="0" w:color="DDDDDD"/>
              <w:left w:val="single" w:sz="4" w:space="0" w:color="DDDDDD"/>
              <w:bottom w:val="single" w:sz="4" w:space="0" w:color="DDDDDD"/>
              <w:right w:val="single" w:sz="4" w:space="0" w:color="DDDDDD"/>
            </w:tcBorders>
            <w:shd w:val="clear" w:color="auto" w:fill="F5EBDD"/>
            <w:tcMar>
              <w:top w:w="115" w:type="dxa"/>
              <w:left w:w="140" w:type="dxa"/>
              <w:bottom w:w="115" w:type="dxa"/>
              <w:right w:w="140" w:type="dxa"/>
            </w:tcMar>
          </w:tcPr>
          <w:p w14:paraId="57BDF887" w14:textId="77777777" w:rsidR="008168ED" w:rsidRDefault="00000000">
            <w:pPr>
              <w:spacing w:after="0" w:line="240" w:lineRule="auto"/>
            </w:pPr>
            <w:r>
              <w:rPr>
                <w:rFonts w:eastAsia="Aptos"/>
                <w:b/>
                <w:color w:val="5B0D1C"/>
                <w:sz w:val="18"/>
              </w:rPr>
              <w:t>Student</w:t>
            </w:r>
          </w:p>
        </w:tc>
        <w:tc>
          <w:tcPr>
            <w:tcW w:w="6747" w:type="dxa"/>
            <w:tcBorders>
              <w:top w:val="single" w:sz="4" w:space="0" w:color="DDDDDD"/>
              <w:left w:val="single" w:sz="4" w:space="0" w:color="DDDDDD"/>
              <w:bottom w:val="single" w:sz="4" w:space="0" w:color="DDDDDD"/>
              <w:right w:val="single" w:sz="4" w:space="0" w:color="DDDDDD"/>
            </w:tcBorders>
            <w:shd w:val="clear" w:color="auto" w:fill="FFFFFF"/>
            <w:tcMar>
              <w:top w:w="115" w:type="dxa"/>
              <w:left w:w="140" w:type="dxa"/>
              <w:bottom w:w="115" w:type="dxa"/>
              <w:right w:w="140" w:type="dxa"/>
            </w:tcMar>
          </w:tcPr>
          <w:p w14:paraId="2DF44490" w14:textId="77777777" w:rsidR="008168ED" w:rsidRDefault="00000000">
            <w:pPr>
              <w:spacing w:after="0" w:line="240" w:lineRule="auto"/>
            </w:pPr>
            <w:r>
              <w:rPr>
                <w:rFonts w:eastAsia="Aptos"/>
                <w:color w:val="222222"/>
                <w:sz w:val="18"/>
              </w:rPr>
              <w:t>Sudip Phuyal</w:t>
            </w:r>
          </w:p>
        </w:tc>
      </w:tr>
      <w:tr w:rsidR="008168ED" w14:paraId="4E85B9CF" w14:textId="77777777">
        <w:trPr>
          <w:jc w:val="center"/>
        </w:trPr>
        <w:tc>
          <w:tcPr>
            <w:tcW w:w="2268" w:type="dxa"/>
            <w:tcBorders>
              <w:top w:val="single" w:sz="4" w:space="0" w:color="DDDDDD"/>
              <w:left w:val="single" w:sz="4" w:space="0" w:color="DDDDDD"/>
              <w:bottom w:val="single" w:sz="4" w:space="0" w:color="DDDDDD"/>
              <w:right w:val="single" w:sz="4" w:space="0" w:color="DDDDDD"/>
            </w:tcBorders>
            <w:shd w:val="clear" w:color="auto" w:fill="F5EBDD"/>
            <w:tcMar>
              <w:top w:w="115" w:type="dxa"/>
              <w:left w:w="140" w:type="dxa"/>
              <w:bottom w:w="115" w:type="dxa"/>
              <w:right w:w="140" w:type="dxa"/>
            </w:tcMar>
          </w:tcPr>
          <w:p w14:paraId="353759C5" w14:textId="77777777" w:rsidR="008168ED" w:rsidRDefault="00000000">
            <w:pPr>
              <w:spacing w:after="0" w:line="240" w:lineRule="auto"/>
            </w:pPr>
            <w:r>
              <w:rPr>
                <w:rFonts w:eastAsia="Aptos"/>
                <w:b/>
                <w:color w:val="5B0D1C"/>
                <w:sz w:val="18"/>
              </w:rPr>
              <w:t>Platform</w:t>
            </w:r>
          </w:p>
        </w:tc>
        <w:tc>
          <w:tcPr>
            <w:tcW w:w="6747" w:type="dxa"/>
            <w:tcBorders>
              <w:top w:val="single" w:sz="4" w:space="0" w:color="DDDDDD"/>
              <w:left w:val="single" w:sz="4" w:space="0" w:color="DDDDDD"/>
              <w:bottom w:val="single" w:sz="4" w:space="0" w:color="DDDDDD"/>
              <w:right w:val="single" w:sz="4" w:space="0" w:color="DDDDDD"/>
            </w:tcBorders>
            <w:shd w:val="clear" w:color="auto" w:fill="FFFFFF"/>
            <w:tcMar>
              <w:top w:w="115" w:type="dxa"/>
              <w:left w:w="140" w:type="dxa"/>
              <w:bottom w:w="115" w:type="dxa"/>
              <w:right w:w="140" w:type="dxa"/>
            </w:tcMar>
          </w:tcPr>
          <w:p w14:paraId="277BAC17" w14:textId="77777777" w:rsidR="008168ED" w:rsidRDefault="00000000">
            <w:pPr>
              <w:spacing w:after="0" w:line="240" w:lineRule="auto"/>
            </w:pPr>
            <w:r>
              <w:rPr>
                <w:rFonts w:eastAsia="Aptos"/>
                <w:color w:val="222222"/>
                <w:sz w:val="18"/>
              </w:rPr>
              <w:t>DAML SDK 3.5.2 + Canton (Domain / Synchronizer)</w:t>
            </w:r>
          </w:p>
        </w:tc>
      </w:tr>
      <w:tr w:rsidR="008168ED" w14:paraId="432B0DB8" w14:textId="77777777">
        <w:trPr>
          <w:jc w:val="center"/>
        </w:trPr>
        <w:tc>
          <w:tcPr>
            <w:tcW w:w="2268" w:type="dxa"/>
            <w:tcBorders>
              <w:top w:val="single" w:sz="4" w:space="0" w:color="DDDDDD"/>
              <w:left w:val="single" w:sz="4" w:space="0" w:color="DDDDDD"/>
              <w:bottom w:val="single" w:sz="4" w:space="0" w:color="DDDDDD"/>
              <w:right w:val="single" w:sz="4" w:space="0" w:color="DDDDDD"/>
            </w:tcBorders>
            <w:shd w:val="clear" w:color="auto" w:fill="F5EBDD"/>
            <w:tcMar>
              <w:top w:w="115" w:type="dxa"/>
              <w:left w:w="140" w:type="dxa"/>
              <w:bottom w:w="115" w:type="dxa"/>
              <w:right w:w="140" w:type="dxa"/>
            </w:tcMar>
          </w:tcPr>
          <w:p w14:paraId="7B3610AA" w14:textId="77777777" w:rsidR="008168ED" w:rsidRDefault="00000000">
            <w:pPr>
              <w:spacing w:after="0" w:line="240" w:lineRule="auto"/>
            </w:pPr>
            <w:r>
              <w:rPr>
                <w:rFonts w:eastAsia="Aptos"/>
                <w:b/>
                <w:color w:val="5B0D1C"/>
                <w:sz w:val="18"/>
              </w:rPr>
              <w:t>Public Git repository</w:t>
            </w:r>
          </w:p>
        </w:tc>
        <w:tc>
          <w:tcPr>
            <w:tcW w:w="6747" w:type="dxa"/>
            <w:tcBorders>
              <w:top w:val="single" w:sz="4" w:space="0" w:color="DDDDDD"/>
              <w:left w:val="single" w:sz="4" w:space="0" w:color="DDDDDD"/>
              <w:bottom w:val="single" w:sz="4" w:space="0" w:color="DDDDDD"/>
              <w:right w:val="single" w:sz="4" w:space="0" w:color="DDDDDD"/>
            </w:tcBorders>
            <w:shd w:val="clear" w:color="auto" w:fill="FFFFFF"/>
            <w:tcMar>
              <w:top w:w="115" w:type="dxa"/>
              <w:left w:w="140" w:type="dxa"/>
              <w:bottom w:w="115" w:type="dxa"/>
              <w:right w:w="140" w:type="dxa"/>
            </w:tcMar>
          </w:tcPr>
          <w:p w14:paraId="642A3B1F" w14:textId="77777777" w:rsidR="008168ED" w:rsidRDefault="00000000">
            <w:pPr>
              <w:spacing w:after="0" w:line="240" w:lineRule="auto"/>
            </w:pPr>
            <w:hyperlink r:id="rId8">
              <w:r>
                <w:rPr>
                  <w:color w:val="0563C1"/>
                  <w:u w:val="single"/>
                </w:rPr>
                <w:t>github.com/</w:t>
              </w:r>
              <w:proofErr w:type="spellStart"/>
              <w:r>
                <w:rPr>
                  <w:color w:val="0563C1"/>
                  <w:u w:val="single"/>
                </w:rPr>
                <w:t>sudipphuyal</w:t>
              </w:r>
              <w:proofErr w:type="spellEnd"/>
              <w:r>
                <w:rPr>
                  <w:color w:val="0563C1"/>
                  <w:u w:val="single"/>
                </w:rPr>
                <w:t>/</w:t>
              </w:r>
              <w:proofErr w:type="spellStart"/>
              <w:r>
                <w:rPr>
                  <w:color w:val="0563C1"/>
                  <w:u w:val="single"/>
                </w:rPr>
                <w:t>porto</w:t>
              </w:r>
              <w:proofErr w:type="spellEnd"/>
              <w:r>
                <w:rPr>
                  <w:color w:val="0563C1"/>
                  <w:u w:val="single"/>
                </w:rPr>
                <w:t>-wine-</w:t>
              </w:r>
              <w:proofErr w:type="spellStart"/>
              <w:r>
                <w:rPr>
                  <w:color w:val="0563C1"/>
                  <w:u w:val="single"/>
                </w:rPr>
                <w:t>traceabilty</w:t>
              </w:r>
              <w:proofErr w:type="spellEnd"/>
            </w:hyperlink>
          </w:p>
        </w:tc>
      </w:tr>
      <w:tr w:rsidR="008168ED" w14:paraId="174267AE" w14:textId="77777777">
        <w:trPr>
          <w:jc w:val="center"/>
        </w:trPr>
        <w:tc>
          <w:tcPr>
            <w:tcW w:w="2268" w:type="dxa"/>
            <w:tcBorders>
              <w:top w:val="single" w:sz="4" w:space="0" w:color="DDDDDD"/>
              <w:left w:val="single" w:sz="4" w:space="0" w:color="DDDDDD"/>
              <w:bottom w:val="single" w:sz="4" w:space="0" w:color="DDDDDD"/>
              <w:right w:val="single" w:sz="4" w:space="0" w:color="DDDDDD"/>
            </w:tcBorders>
            <w:shd w:val="clear" w:color="auto" w:fill="F5EBDD"/>
            <w:tcMar>
              <w:top w:w="115" w:type="dxa"/>
              <w:left w:w="140" w:type="dxa"/>
              <w:bottom w:w="115" w:type="dxa"/>
              <w:right w:w="140" w:type="dxa"/>
            </w:tcMar>
          </w:tcPr>
          <w:p w14:paraId="65BA368A" w14:textId="77777777" w:rsidR="008168ED" w:rsidRDefault="00000000">
            <w:pPr>
              <w:spacing w:after="0" w:line="240" w:lineRule="auto"/>
            </w:pPr>
            <w:r>
              <w:rPr>
                <w:rFonts w:eastAsia="Aptos"/>
                <w:b/>
                <w:color w:val="5B0D1C"/>
                <w:sz w:val="18"/>
              </w:rPr>
              <w:t>Date</w:t>
            </w:r>
          </w:p>
        </w:tc>
        <w:tc>
          <w:tcPr>
            <w:tcW w:w="6747" w:type="dxa"/>
            <w:tcBorders>
              <w:top w:val="single" w:sz="4" w:space="0" w:color="DDDDDD"/>
              <w:left w:val="single" w:sz="4" w:space="0" w:color="DDDDDD"/>
              <w:bottom w:val="single" w:sz="4" w:space="0" w:color="DDDDDD"/>
              <w:right w:val="single" w:sz="4" w:space="0" w:color="DDDDDD"/>
            </w:tcBorders>
            <w:shd w:val="clear" w:color="auto" w:fill="FFFFFF"/>
            <w:tcMar>
              <w:top w:w="115" w:type="dxa"/>
              <w:left w:w="140" w:type="dxa"/>
              <w:bottom w:w="115" w:type="dxa"/>
              <w:right w:w="140" w:type="dxa"/>
            </w:tcMar>
          </w:tcPr>
          <w:p w14:paraId="33CB3F26" w14:textId="77777777" w:rsidR="008168ED" w:rsidRDefault="00000000">
            <w:pPr>
              <w:spacing w:after="0" w:line="240" w:lineRule="auto"/>
            </w:pPr>
            <w:r>
              <w:rPr>
                <w:rFonts w:eastAsia="Aptos"/>
                <w:color w:val="222222"/>
                <w:sz w:val="18"/>
              </w:rPr>
              <w:t>7 July 2026</w:t>
            </w:r>
          </w:p>
        </w:tc>
      </w:tr>
    </w:tbl>
    <w:p w14:paraId="69902DA3" w14:textId="77777777" w:rsidR="008168ED" w:rsidRDefault="008168ED">
      <w:pPr>
        <w:spacing w:after="0"/>
      </w:pPr>
    </w:p>
    <w:tbl>
      <w:tblPr>
        <w:tblW w:w="0" w:type="auto"/>
        <w:jc w:val="center"/>
        <w:tblLayout w:type="fixed"/>
        <w:tblLook w:val="04A0" w:firstRow="1" w:lastRow="0" w:firstColumn="1" w:lastColumn="0" w:noHBand="0" w:noVBand="1"/>
      </w:tblPr>
      <w:tblGrid>
        <w:gridCol w:w="1814"/>
        <w:gridCol w:w="7200"/>
      </w:tblGrid>
      <w:tr w:rsidR="008168ED" w14:paraId="0EC6C917" w14:textId="77777777">
        <w:trPr>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2E6B4D"/>
            <w:tcMar>
              <w:top w:w="100" w:type="dxa"/>
              <w:left w:w="130" w:type="dxa"/>
              <w:bottom w:w="100" w:type="dxa"/>
              <w:right w:w="130" w:type="dxa"/>
            </w:tcMar>
            <w:vAlign w:val="center"/>
          </w:tcPr>
          <w:p w14:paraId="5B33C597" w14:textId="77777777" w:rsidR="008168ED" w:rsidRDefault="00000000">
            <w:pPr>
              <w:spacing w:after="0" w:line="240" w:lineRule="auto"/>
              <w:jc w:val="center"/>
            </w:pPr>
            <w:r>
              <w:rPr>
                <w:rFonts w:eastAsia="Aptos"/>
                <w:b/>
                <w:color w:val="FFFFFF"/>
                <w:sz w:val="18"/>
              </w:rPr>
              <w:t>EVIDENCE</w:t>
            </w:r>
          </w:p>
        </w:tc>
        <w:tc>
          <w:tcPr>
            <w:tcW w:w="7200" w:type="dxa"/>
            <w:tcBorders>
              <w:top w:val="single" w:sz="5" w:space="0" w:color="D9D9D9"/>
              <w:left w:val="single" w:sz="5" w:space="0" w:color="D9D9D9"/>
              <w:bottom w:val="single" w:sz="5" w:space="0" w:color="D9D9D9"/>
              <w:right w:val="single" w:sz="5" w:space="0" w:color="D9D9D9"/>
            </w:tcBorders>
            <w:shd w:val="clear" w:color="auto" w:fill="F7F7F7"/>
            <w:tcMar>
              <w:top w:w="100" w:type="dxa"/>
              <w:left w:w="130" w:type="dxa"/>
              <w:bottom w:w="100" w:type="dxa"/>
              <w:right w:w="130" w:type="dxa"/>
            </w:tcMar>
            <w:vAlign w:val="center"/>
          </w:tcPr>
          <w:p w14:paraId="6C3029F7" w14:textId="77777777" w:rsidR="008168ED" w:rsidRDefault="00000000">
            <w:pPr>
              <w:spacing w:after="0" w:line="240" w:lineRule="auto"/>
            </w:pPr>
            <w:r>
              <w:rPr>
                <w:rFonts w:eastAsia="Aptos"/>
                <w:color w:val="222222"/>
                <w:sz w:val="18"/>
              </w:rPr>
              <w:t>Daml Script endToEnd, recallScenario, and negativeTests were recorded as SUCCESS in the 2026-07-07T18:12:10Z log.</w:t>
            </w:r>
          </w:p>
        </w:tc>
      </w:tr>
    </w:tbl>
    <w:p w14:paraId="7B1D4175" w14:textId="77777777" w:rsidR="008168ED" w:rsidRDefault="008168ED">
      <w:pPr>
        <w:spacing w:after="0"/>
      </w:pPr>
    </w:p>
    <w:tbl>
      <w:tblPr>
        <w:tblW w:w="0" w:type="auto"/>
        <w:jc w:val="center"/>
        <w:tblLayout w:type="fixed"/>
        <w:tblLook w:val="04A0" w:firstRow="1" w:lastRow="0" w:firstColumn="1" w:lastColumn="0" w:noHBand="0" w:noVBand="1"/>
      </w:tblPr>
      <w:tblGrid>
        <w:gridCol w:w="1814"/>
        <w:gridCol w:w="7200"/>
      </w:tblGrid>
      <w:tr w:rsidR="008168ED" w14:paraId="34CB16FF" w14:textId="77777777">
        <w:trPr>
          <w:jc w:val="center"/>
        </w:trPr>
        <w:tc>
          <w:tcPr>
            <w:tcW w:w="1814" w:type="dxa"/>
            <w:tcBorders>
              <w:top w:val="single" w:sz="5" w:space="0" w:color="D9D9D9"/>
              <w:left w:val="single" w:sz="5" w:space="0" w:color="D9D9D9"/>
              <w:bottom w:val="single" w:sz="5" w:space="0" w:color="D9D9D9"/>
              <w:right w:val="single" w:sz="5" w:space="0" w:color="D9D9D9"/>
            </w:tcBorders>
            <w:shd w:val="clear" w:color="auto" w:fill="9C1C1C"/>
            <w:tcMar>
              <w:top w:w="100" w:type="dxa"/>
              <w:left w:w="130" w:type="dxa"/>
              <w:bottom w:w="100" w:type="dxa"/>
              <w:right w:w="130" w:type="dxa"/>
            </w:tcMar>
            <w:vAlign w:val="center"/>
          </w:tcPr>
          <w:p w14:paraId="2C6517FF" w14:textId="77777777" w:rsidR="008168ED" w:rsidRDefault="00000000">
            <w:pPr>
              <w:spacing w:after="0" w:line="240" w:lineRule="auto"/>
              <w:jc w:val="center"/>
            </w:pPr>
            <w:r>
              <w:rPr>
                <w:rFonts w:eastAsia="Aptos"/>
                <w:b/>
                <w:color w:val="FFFFFF"/>
                <w:sz w:val="18"/>
              </w:rPr>
              <w:t>LIMITATION</w:t>
            </w:r>
          </w:p>
        </w:tc>
        <w:tc>
          <w:tcPr>
            <w:tcW w:w="7200" w:type="dxa"/>
            <w:tcBorders>
              <w:top w:val="single" w:sz="5" w:space="0" w:color="D9D9D9"/>
              <w:left w:val="single" w:sz="5" w:space="0" w:color="D9D9D9"/>
              <w:bottom w:val="single" w:sz="5" w:space="0" w:color="D9D9D9"/>
              <w:right w:val="single" w:sz="5" w:space="0" w:color="D9D9D9"/>
            </w:tcBorders>
            <w:shd w:val="clear" w:color="auto" w:fill="F7F7F7"/>
            <w:tcMar>
              <w:top w:w="100" w:type="dxa"/>
              <w:left w:w="130" w:type="dxa"/>
              <w:bottom w:w="100" w:type="dxa"/>
              <w:right w:w="130" w:type="dxa"/>
            </w:tcMar>
            <w:vAlign w:val="center"/>
          </w:tcPr>
          <w:p w14:paraId="3D565A18" w14:textId="77777777" w:rsidR="008168ED" w:rsidRDefault="00000000">
            <w:pPr>
              <w:spacing w:after="0" w:line="240" w:lineRule="auto"/>
            </w:pPr>
            <w:r>
              <w:rPr>
                <w:rFonts w:eastAsia="Aptos"/>
                <w:color w:val="222222"/>
                <w:sz w:val="18"/>
              </w:rPr>
              <w:t>Evidence of a transaction against a standalone Canton Domain / Synchronizer must still be captured before final submission; this report distinguishes it from IDE-ledger execution.</w:t>
            </w:r>
          </w:p>
        </w:tc>
      </w:tr>
    </w:tbl>
    <w:p w14:paraId="6E3E0B07" w14:textId="77777777" w:rsidR="008168ED" w:rsidRDefault="008168ED">
      <w:pPr>
        <w:spacing w:after="0"/>
      </w:pPr>
    </w:p>
    <w:p w14:paraId="5D39F5F1" w14:textId="38E631A8" w:rsidR="008168ED" w:rsidRDefault="008168ED">
      <w:pPr>
        <w:spacing w:before="560" w:after="0" w:line="240" w:lineRule="auto"/>
        <w:jc w:val="center"/>
        <w:rPr>
          <w:rFonts w:eastAsia="Aptos"/>
          <w:i/>
          <w:color w:val="666666"/>
        </w:rPr>
      </w:pPr>
    </w:p>
    <w:p w14:paraId="06569619" w14:textId="77777777" w:rsidR="00EA28D1" w:rsidRDefault="00EA28D1">
      <w:pPr>
        <w:spacing w:before="560" w:after="0" w:line="240" w:lineRule="auto"/>
        <w:jc w:val="center"/>
        <w:rPr>
          <w:rFonts w:eastAsia="Aptos"/>
          <w:i/>
          <w:color w:val="666666"/>
        </w:rPr>
      </w:pPr>
    </w:p>
    <w:p w14:paraId="3293462E" w14:textId="024BA542" w:rsidR="00EA28D1" w:rsidRDefault="00EA28D1" w:rsidP="00EA28D1">
      <w:pPr>
        <w:spacing w:after="0" w:line="240" w:lineRule="auto"/>
        <w:jc w:val="center"/>
        <w:rPr>
          <w:rFonts w:eastAsia="Aptos"/>
          <w:i/>
          <w:color w:val="666666"/>
        </w:rPr>
      </w:pPr>
      <w:r>
        <w:rPr>
          <w:rFonts w:eastAsia="Aptos"/>
          <w:i/>
          <w:color w:val="666666"/>
        </w:rPr>
        <w:t>Submitted by:</w:t>
      </w:r>
    </w:p>
    <w:p w14:paraId="0DB35EAA" w14:textId="4B26B885" w:rsidR="00EA28D1" w:rsidRDefault="00EA28D1" w:rsidP="00EA28D1">
      <w:pPr>
        <w:spacing w:after="0" w:line="240" w:lineRule="auto"/>
        <w:jc w:val="center"/>
      </w:pPr>
      <w:r w:rsidRPr="00EA28D1">
        <w:rPr>
          <w:rFonts w:eastAsia="Aptos"/>
          <w:i/>
          <w:color w:val="000000" w:themeColor="text1"/>
          <w:sz w:val="32"/>
          <w:szCs w:val="40"/>
        </w:rPr>
        <w:t>Sudip Phuyal</w:t>
      </w:r>
    </w:p>
    <w:p w14:paraId="139CF5B2" w14:textId="77777777" w:rsidR="008168ED" w:rsidRDefault="00000000">
      <w:pPr>
        <w:spacing w:after="0"/>
      </w:pPr>
      <w:r>
        <w:br w:type="page"/>
      </w:r>
    </w:p>
    <w:p w14:paraId="078A6AA9" w14:textId="77777777" w:rsidR="008168ED" w:rsidRDefault="00000000">
      <w:pPr>
        <w:pStyle w:val="Heading1"/>
        <w:pBdr>
          <w:bottom w:val="single" w:sz="10" w:space="1" w:color="C6A15B"/>
        </w:pBdr>
        <w:spacing w:before="200" w:after="80" w:line="240" w:lineRule="auto"/>
      </w:pPr>
      <w:r>
        <w:rPr>
          <w:rFonts w:ascii="Aptos" w:eastAsia="Aptos" w:hAnsi="Aptos"/>
        </w:rPr>
        <w:lastRenderedPageBreak/>
        <w:t>Executive summary</w:t>
      </w:r>
    </w:p>
    <w:p w14:paraId="642A8353" w14:textId="77777777" w:rsidR="008168ED" w:rsidRDefault="00000000">
      <w:pPr>
        <w:keepLines/>
      </w:pPr>
      <w:r>
        <w:rPr>
          <w:rFonts w:eastAsia="Aptos"/>
          <w:color w:val="222222"/>
        </w:rPr>
        <w:t>This report presents the design and implementation of a traceability solution for PDO Port wine, developed in DAML and prepared for execution on Canton. The artifact represents the chain from Quinta do Vale to the final consumer, including private custody, production recording, IVDP certification request and issuance, logistics transfer, publication of a public view, and batch recall. The central WineBatch contract maintains private state through consuming transitions, while PublicProvenance gives the consumer only sanitised information through a QR-code verification workflow.</w:t>
      </w:r>
    </w:p>
    <w:p w14:paraId="4DFCEE41" w14:textId="77777777" w:rsidR="008168ED" w:rsidRDefault="00000000">
      <w:pPr>
        <w:keepLines/>
      </w:pPr>
      <w:r>
        <w:rPr>
          <w:rFonts w:eastAsia="Aptos"/>
          <w:color w:val="222222"/>
        </w:rPr>
        <w:t>The implementation includes validations for batch identifier, harvest date, and grape variety; role-based authorisation; and Daml Script scenarios for the complete flow, recall, and expected failures. The file evidence/run-2026-07-07T18:12:10Z.log records successful execution of all three scenarios with DPM 1.0.21 and Daml SDK 3.5.2. This evidence concerns the IDE ledger used by the scripts. A standalone Canton configuration is included in the repository, but the final demonstration should still include a real Canton session with a startup trace and transaction identifier, as addressed in Section 6.</w:t>
      </w:r>
    </w:p>
    <w:p w14:paraId="7B4D0B0D" w14:textId="77777777" w:rsidR="008168ED" w:rsidRDefault="00000000">
      <w:pPr>
        <w:pStyle w:val="Heading2"/>
        <w:spacing w:before="140" w:after="80" w:line="240" w:lineRule="auto"/>
      </w:pPr>
      <w:r>
        <w:rPr>
          <w:rFonts w:ascii="Aptos" w:eastAsia="Aptos" w:hAnsi="Aptos"/>
        </w:rPr>
        <w:t>Report overview</w:t>
      </w:r>
    </w:p>
    <w:tbl>
      <w:tblPr>
        <w:tblStyle w:val="TableGrid"/>
        <w:tblW w:w="0" w:type="auto"/>
        <w:jc w:val="center"/>
        <w:tblLayout w:type="fixed"/>
        <w:tblLook w:val="04A0" w:firstRow="1" w:lastRow="0" w:firstColumn="1" w:lastColumn="0" w:noHBand="0" w:noVBand="1"/>
      </w:tblPr>
      <w:tblGrid>
        <w:gridCol w:w="1190"/>
        <w:gridCol w:w="7824"/>
      </w:tblGrid>
      <w:tr w:rsidR="008168ED" w14:paraId="0E431861" w14:textId="77777777">
        <w:trPr>
          <w:tblHeader/>
          <w:jc w:val="center"/>
        </w:trPr>
        <w:tc>
          <w:tcPr>
            <w:tcW w:w="1190"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55ADF0F3" w14:textId="77777777" w:rsidR="008168ED" w:rsidRDefault="00000000">
            <w:pPr>
              <w:spacing w:after="0" w:line="240" w:lineRule="auto"/>
              <w:jc w:val="center"/>
            </w:pPr>
            <w:r>
              <w:rPr>
                <w:rFonts w:eastAsia="Aptos"/>
                <w:b/>
                <w:color w:val="FFFFFF"/>
                <w:sz w:val="18"/>
              </w:rPr>
              <w:t>Section</w:t>
            </w:r>
          </w:p>
        </w:tc>
        <w:tc>
          <w:tcPr>
            <w:tcW w:w="7824"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0D018474" w14:textId="77777777" w:rsidR="008168ED" w:rsidRDefault="00000000">
            <w:pPr>
              <w:spacing w:after="0" w:line="240" w:lineRule="auto"/>
              <w:jc w:val="center"/>
            </w:pPr>
            <w:r>
              <w:rPr>
                <w:rFonts w:eastAsia="Aptos"/>
                <w:b/>
                <w:color w:val="FFFFFF"/>
                <w:sz w:val="18"/>
              </w:rPr>
              <w:t>Content</w:t>
            </w:r>
          </w:p>
        </w:tc>
      </w:tr>
      <w:tr w:rsidR="008168ED" w14:paraId="5BF393A1" w14:textId="77777777">
        <w:trPr>
          <w:jc w:val="center"/>
        </w:trPr>
        <w:tc>
          <w:tcPr>
            <w:tcW w:w="1190"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3F0B0A98" w14:textId="77777777" w:rsidR="008168ED" w:rsidRDefault="00000000">
            <w:pPr>
              <w:spacing w:after="0" w:line="240" w:lineRule="auto"/>
            </w:pPr>
            <w:r>
              <w:rPr>
                <w:rFonts w:eastAsia="Aptos"/>
                <w:color w:val="222222"/>
                <w:sz w:val="18"/>
              </w:rPr>
              <w:t>1</w:t>
            </w:r>
          </w:p>
        </w:tc>
        <w:tc>
          <w:tcPr>
            <w:tcW w:w="782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5A23C64" w14:textId="77777777" w:rsidR="008168ED" w:rsidRDefault="00000000">
            <w:pPr>
              <w:spacing w:after="0" w:line="240" w:lineRule="auto"/>
            </w:pPr>
            <w:r>
              <w:rPr>
                <w:rFonts w:eastAsia="Aptos"/>
                <w:color w:val="222222"/>
                <w:sz w:val="18"/>
              </w:rPr>
              <w:t>Objective and use-case scope</w:t>
            </w:r>
          </w:p>
        </w:tc>
      </w:tr>
      <w:tr w:rsidR="008168ED" w14:paraId="263D371B" w14:textId="77777777">
        <w:trPr>
          <w:jc w:val="center"/>
        </w:trPr>
        <w:tc>
          <w:tcPr>
            <w:tcW w:w="1190"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A737662" w14:textId="77777777" w:rsidR="008168ED" w:rsidRDefault="00000000">
            <w:pPr>
              <w:spacing w:after="0" w:line="240" w:lineRule="auto"/>
            </w:pPr>
            <w:r>
              <w:rPr>
                <w:rFonts w:eastAsia="Aptos"/>
                <w:color w:val="222222"/>
                <w:sz w:val="18"/>
              </w:rPr>
              <w:t>2</w:t>
            </w:r>
          </w:p>
        </w:tc>
        <w:tc>
          <w:tcPr>
            <w:tcW w:w="7824"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A9160D9" w14:textId="77777777" w:rsidR="008168ED" w:rsidRDefault="00000000">
            <w:pPr>
              <w:spacing w:after="0" w:line="240" w:lineRule="auto"/>
            </w:pPr>
            <w:r>
              <w:rPr>
                <w:rFonts w:eastAsia="Aptos"/>
                <w:color w:val="222222"/>
                <w:sz w:val="18"/>
              </w:rPr>
              <w:t>Permissioned architecture and onboarding</w:t>
            </w:r>
          </w:p>
        </w:tc>
      </w:tr>
      <w:tr w:rsidR="008168ED" w14:paraId="58FE307B" w14:textId="77777777">
        <w:trPr>
          <w:jc w:val="center"/>
        </w:trPr>
        <w:tc>
          <w:tcPr>
            <w:tcW w:w="1190"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577CB39" w14:textId="77777777" w:rsidR="008168ED" w:rsidRDefault="00000000">
            <w:pPr>
              <w:spacing w:after="0" w:line="240" w:lineRule="auto"/>
            </w:pPr>
            <w:r>
              <w:rPr>
                <w:rFonts w:eastAsia="Aptos"/>
                <w:color w:val="222222"/>
                <w:sz w:val="18"/>
              </w:rPr>
              <w:t>3</w:t>
            </w:r>
          </w:p>
        </w:tc>
        <w:tc>
          <w:tcPr>
            <w:tcW w:w="782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FBBF6F7" w14:textId="77777777" w:rsidR="008168ED" w:rsidRDefault="00000000">
            <w:pPr>
              <w:spacing w:after="0" w:line="240" w:lineRule="auto"/>
            </w:pPr>
            <w:r>
              <w:rPr>
                <w:rFonts w:eastAsia="Aptos"/>
                <w:color w:val="222222"/>
                <w:sz w:val="18"/>
              </w:rPr>
              <w:t>Data placement, privacy, and state model</w:t>
            </w:r>
          </w:p>
        </w:tc>
      </w:tr>
      <w:tr w:rsidR="008168ED" w14:paraId="3AE61771" w14:textId="77777777">
        <w:trPr>
          <w:jc w:val="center"/>
        </w:trPr>
        <w:tc>
          <w:tcPr>
            <w:tcW w:w="1190"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A96B4DA" w14:textId="77777777" w:rsidR="008168ED" w:rsidRDefault="00000000">
            <w:pPr>
              <w:spacing w:after="0" w:line="240" w:lineRule="auto"/>
            </w:pPr>
            <w:r>
              <w:rPr>
                <w:rFonts w:eastAsia="Aptos"/>
                <w:color w:val="222222"/>
                <w:sz w:val="18"/>
              </w:rPr>
              <w:t>4</w:t>
            </w:r>
          </w:p>
        </w:tc>
        <w:tc>
          <w:tcPr>
            <w:tcW w:w="7824"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2A4E4B0" w14:textId="77777777" w:rsidR="008168ED" w:rsidRDefault="00000000">
            <w:pPr>
              <w:spacing w:after="0" w:line="240" w:lineRule="auto"/>
            </w:pPr>
            <w:r>
              <w:rPr>
                <w:rFonts w:eastAsia="Aptos"/>
                <w:color w:val="222222"/>
                <w:sz w:val="18"/>
              </w:rPr>
              <w:t>Smart-contract implementation</w:t>
            </w:r>
          </w:p>
        </w:tc>
      </w:tr>
      <w:tr w:rsidR="008168ED" w14:paraId="0FE862A6" w14:textId="77777777">
        <w:trPr>
          <w:jc w:val="center"/>
        </w:trPr>
        <w:tc>
          <w:tcPr>
            <w:tcW w:w="1190"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81E2C49" w14:textId="77777777" w:rsidR="008168ED" w:rsidRDefault="00000000">
            <w:pPr>
              <w:spacing w:after="0" w:line="240" w:lineRule="auto"/>
            </w:pPr>
            <w:r>
              <w:rPr>
                <w:rFonts w:eastAsia="Aptos"/>
                <w:color w:val="222222"/>
                <w:sz w:val="18"/>
              </w:rPr>
              <w:t>5</w:t>
            </w:r>
          </w:p>
        </w:tc>
        <w:tc>
          <w:tcPr>
            <w:tcW w:w="782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895A504" w14:textId="77777777" w:rsidR="008168ED" w:rsidRDefault="00000000">
            <w:pPr>
              <w:spacing w:after="0" w:line="240" w:lineRule="auto"/>
            </w:pPr>
            <w:r>
              <w:rPr>
                <w:rFonts w:eastAsia="Aptos"/>
                <w:color w:val="222222"/>
                <w:sz w:val="18"/>
              </w:rPr>
              <w:t>Consensus, finality, and Canton infrastructure</w:t>
            </w:r>
          </w:p>
        </w:tc>
      </w:tr>
      <w:tr w:rsidR="008168ED" w14:paraId="1953E49B" w14:textId="77777777">
        <w:trPr>
          <w:jc w:val="center"/>
        </w:trPr>
        <w:tc>
          <w:tcPr>
            <w:tcW w:w="1190"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611D25C3" w14:textId="77777777" w:rsidR="008168ED" w:rsidRDefault="00000000">
            <w:pPr>
              <w:spacing w:after="0" w:line="240" w:lineRule="auto"/>
            </w:pPr>
            <w:r>
              <w:rPr>
                <w:rFonts w:eastAsia="Aptos"/>
                <w:color w:val="222222"/>
                <w:sz w:val="18"/>
              </w:rPr>
              <w:t>6</w:t>
            </w:r>
          </w:p>
        </w:tc>
        <w:tc>
          <w:tcPr>
            <w:tcW w:w="7824"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363E912B" w14:textId="77777777" w:rsidR="008168ED" w:rsidRDefault="00000000">
            <w:pPr>
              <w:spacing w:after="0" w:line="240" w:lineRule="auto"/>
            </w:pPr>
            <w:r>
              <w:rPr>
                <w:rFonts w:eastAsia="Aptos"/>
                <w:color w:val="222222"/>
                <w:sz w:val="18"/>
              </w:rPr>
              <w:t>Tests, evidence, and remaining work</w:t>
            </w:r>
          </w:p>
        </w:tc>
      </w:tr>
      <w:tr w:rsidR="008168ED" w14:paraId="5630402C" w14:textId="77777777">
        <w:trPr>
          <w:jc w:val="center"/>
        </w:trPr>
        <w:tc>
          <w:tcPr>
            <w:tcW w:w="1190"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4275DAD0" w14:textId="77777777" w:rsidR="008168ED" w:rsidRDefault="00000000">
            <w:pPr>
              <w:spacing w:after="0" w:line="240" w:lineRule="auto"/>
            </w:pPr>
            <w:r>
              <w:rPr>
                <w:rFonts w:eastAsia="Aptos"/>
                <w:color w:val="222222"/>
                <w:sz w:val="18"/>
              </w:rPr>
              <w:t>7</w:t>
            </w:r>
          </w:p>
        </w:tc>
        <w:tc>
          <w:tcPr>
            <w:tcW w:w="782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3E58227F" w14:textId="77777777" w:rsidR="008168ED" w:rsidRDefault="00000000">
            <w:pPr>
              <w:spacing w:after="0" w:line="240" w:lineRule="auto"/>
            </w:pPr>
            <w:r>
              <w:rPr>
                <w:rFonts w:eastAsia="Aptos"/>
                <w:color w:val="222222"/>
                <w:sz w:val="18"/>
              </w:rPr>
              <w:t>Conclusion, AI-use declaration, and references</w:t>
            </w:r>
          </w:p>
        </w:tc>
      </w:tr>
    </w:tbl>
    <w:p w14:paraId="141AB041" w14:textId="77777777" w:rsidR="008168ED" w:rsidRDefault="008168ED">
      <w:pPr>
        <w:spacing w:after="0"/>
      </w:pPr>
    </w:p>
    <w:p w14:paraId="5EE8600A" w14:textId="77777777" w:rsidR="008168ED" w:rsidRDefault="00000000">
      <w:pPr>
        <w:pStyle w:val="Heading1"/>
        <w:pBdr>
          <w:bottom w:val="single" w:sz="10" w:space="1" w:color="C6A15B"/>
        </w:pBdr>
        <w:spacing w:before="200" w:after="80" w:line="240" w:lineRule="auto"/>
      </w:pPr>
      <w:r>
        <w:rPr>
          <w:rFonts w:ascii="Aptos" w:eastAsia="Aptos" w:hAnsi="Aptos"/>
        </w:rPr>
        <w:t>1 Objective and scope</w:t>
      </w:r>
    </w:p>
    <w:p w14:paraId="13B942D7" w14:textId="77777777" w:rsidR="008168ED" w:rsidRDefault="00000000">
      <w:pPr>
        <w:keepLines/>
      </w:pPr>
      <w:r>
        <w:rPr>
          <w:rFonts w:eastAsia="Aptos"/>
          <w:color w:val="222222"/>
        </w:rPr>
        <w:t>The objective is to implement a permissioned traceability network that makes the history of a Port wine batch auditable without making production and commercial data public. The practical assignment requires a DAML/Canton or Corda 5 solution that covers node architecture, on-chain/off-chain decisions, privacy, consensus, a certification workflow, QR verification, and a recall mechanism [1]. This work selects DAML and treats consensus as Canton infrastructure responsibility; IVDP certification is implemented as a business rule, rather than as an artificial voting mechanism.</w:t>
      </w:r>
    </w:p>
    <w:p w14:paraId="4545F877" w14:textId="77777777" w:rsidR="008168ED" w:rsidRDefault="00000000">
      <w:pPr>
        <w:keepLines/>
      </w:pPr>
      <w:r>
        <w:rPr>
          <w:rFonts w:eastAsia="Aptos"/>
          <w:color w:val="222222"/>
        </w:rPr>
        <w:t>The reference scenario follows batch PW-2026-0042, made from Touriga Nacional grapes, from Quinta do Vale in the Douro region to ViniShop Oslo. The operational path is batch registration, transfer to the winery, production recording, certification request, IVDP certification, handover to LogisTrans, handover to the retailer, and public consumer verification.</w:t>
      </w:r>
    </w:p>
    <w:tbl>
      <w:tblPr>
        <w:tblW w:w="0" w:type="auto"/>
        <w:jc w:val="center"/>
        <w:tblLook w:val="04A0" w:firstRow="1" w:lastRow="0" w:firstColumn="1" w:lastColumn="0" w:noHBand="0" w:noVBand="1"/>
      </w:tblPr>
      <w:tblGrid>
        <w:gridCol w:w="10200"/>
      </w:tblGrid>
      <w:tr w:rsidR="008168ED" w14:paraId="14B00C50" w14:textId="77777777">
        <w:trPr>
          <w:jc w:val="center"/>
        </w:trPr>
        <w:tc>
          <w:tcPr>
            <w:tcW w:w="10200" w:type="dxa"/>
            <w:tcBorders>
              <w:top w:val="single" w:sz="7" w:space="0" w:color="C6A15B"/>
              <w:left w:val="single" w:sz="7" w:space="0" w:color="C6A15B"/>
              <w:bottom w:val="single" w:sz="7" w:space="0" w:color="C6A15B"/>
              <w:right w:val="single" w:sz="7" w:space="0" w:color="C6A15B"/>
            </w:tcBorders>
            <w:shd w:val="clear" w:color="auto" w:fill="F5EBDD"/>
            <w:tcMar>
              <w:top w:w="125" w:type="dxa"/>
              <w:left w:w="150" w:type="dxa"/>
              <w:bottom w:w="120" w:type="dxa"/>
              <w:right w:w="150" w:type="dxa"/>
            </w:tcMar>
          </w:tcPr>
          <w:p w14:paraId="2859B636" w14:textId="77777777" w:rsidR="008168ED" w:rsidRDefault="00000000">
            <w:pPr>
              <w:spacing w:after="40" w:line="250" w:lineRule="auto"/>
            </w:pPr>
            <w:r>
              <w:rPr>
                <w:rFonts w:eastAsia="Aptos"/>
                <w:b/>
                <w:color w:val="5B0D1C"/>
                <w:sz w:val="19"/>
              </w:rPr>
              <w:t xml:space="preserve">Prototype scope. </w:t>
            </w:r>
            <w:r>
              <w:rPr>
                <w:rFonts w:eastAsia="Aptos"/>
                <w:color w:val="222222"/>
                <w:sz w:val="19"/>
              </w:rPr>
              <w:t>The project is a smart-contract prototype with executable tests. The repository includes a web interface solely as a visual demonstrator and script launcher; the authoritative proof of the workflow is the Daml Script execution and, for the final infrastructure demonstration, the participant/Canton record.</w:t>
            </w:r>
          </w:p>
        </w:tc>
      </w:tr>
    </w:tbl>
    <w:p w14:paraId="40D5129C" w14:textId="77777777" w:rsidR="008168ED" w:rsidRDefault="008168ED">
      <w:pPr>
        <w:spacing w:after="0"/>
      </w:pPr>
    </w:p>
    <w:p w14:paraId="4937B154" w14:textId="77777777" w:rsidR="008168ED" w:rsidRDefault="00000000">
      <w:pPr>
        <w:pStyle w:val="Heading1"/>
        <w:pBdr>
          <w:bottom w:val="single" w:sz="10" w:space="1" w:color="C6A15B"/>
        </w:pBdr>
        <w:spacing w:before="200" w:after="80" w:line="240" w:lineRule="auto"/>
      </w:pPr>
      <w:r>
        <w:rPr>
          <w:rFonts w:ascii="Aptos" w:eastAsia="Aptos" w:hAnsi="Aptos"/>
        </w:rPr>
        <w:t>2 Network architecture and governance</w:t>
      </w:r>
    </w:p>
    <w:p w14:paraId="789AC85E" w14:textId="77777777" w:rsidR="008168ED" w:rsidRDefault="00000000">
      <w:pPr>
        <w:keepLines/>
      </w:pPr>
      <w:r>
        <w:rPr>
          <w:rFonts w:eastAsia="Aptos"/>
          <w:color w:val="222222"/>
        </w:rPr>
        <w:t>In production, each organisation should operate - or be hosted by - a separate Canton participant. The local test environment uses logical parties in the same development context to make the scenarios reproducible. This simplification is not equivalent to a production deployment with six independent nodes.</w:t>
      </w:r>
    </w:p>
    <w:tbl>
      <w:tblPr>
        <w:tblStyle w:val="TableGrid"/>
        <w:tblW w:w="0" w:type="auto"/>
        <w:jc w:val="center"/>
        <w:tblLayout w:type="fixed"/>
        <w:tblLook w:val="04A0" w:firstRow="1" w:lastRow="0" w:firstColumn="1" w:lastColumn="0" w:noHBand="0" w:noVBand="1"/>
      </w:tblPr>
      <w:tblGrid>
        <w:gridCol w:w="1530"/>
        <w:gridCol w:w="2409"/>
        <w:gridCol w:w="1871"/>
        <w:gridCol w:w="3203"/>
      </w:tblGrid>
      <w:tr w:rsidR="008168ED" w14:paraId="0C8AD1B4" w14:textId="77777777">
        <w:trPr>
          <w:tblHeader/>
          <w:jc w:val="center"/>
        </w:trPr>
        <w:tc>
          <w:tcPr>
            <w:tcW w:w="1530"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6505AAB8" w14:textId="77777777" w:rsidR="008168ED" w:rsidRDefault="00000000">
            <w:pPr>
              <w:spacing w:after="0" w:line="240" w:lineRule="auto"/>
              <w:jc w:val="center"/>
            </w:pPr>
            <w:r>
              <w:rPr>
                <w:rFonts w:eastAsia="Aptos"/>
                <w:b/>
                <w:color w:val="FFFFFF"/>
                <w:sz w:val="16"/>
              </w:rPr>
              <w:t>Entity</w:t>
            </w:r>
          </w:p>
        </w:tc>
        <w:tc>
          <w:tcPr>
            <w:tcW w:w="2409"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25733654" w14:textId="77777777" w:rsidR="008168ED" w:rsidRDefault="00000000">
            <w:pPr>
              <w:spacing w:after="0" w:line="240" w:lineRule="auto"/>
              <w:jc w:val="center"/>
            </w:pPr>
            <w:r>
              <w:rPr>
                <w:rFonts w:eastAsia="Aptos"/>
                <w:b/>
                <w:color w:val="FFFFFF"/>
                <w:sz w:val="16"/>
              </w:rPr>
              <w:t>DAML party / role</w:t>
            </w:r>
          </w:p>
        </w:tc>
        <w:tc>
          <w:tcPr>
            <w:tcW w:w="1871"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4FF7F40E" w14:textId="77777777" w:rsidR="008168ED" w:rsidRDefault="00000000">
            <w:pPr>
              <w:spacing w:after="0" w:line="240" w:lineRule="auto"/>
              <w:jc w:val="center"/>
            </w:pPr>
            <w:r>
              <w:rPr>
                <w:rFonts w:eastAsia="Aptos"/>
                <w:b/>
                <w:color w:val="FFFFFF"/>
                <w:sz w:val="16"/>
              </w:rPr>
              <w:t>Production type</w:t>
            </w:r>
          </w:p>
        </w:tc>
        <w:tc>
          <w:tcPr>
            <w:tcW w:w="3203"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765A981F" w14:textId="77777777" w:rsidR="008168ED" w:rsidRDefault="00000000">
            <w:pPr>
              <w:spacing w:after="0" w:line="240" w:lineRule="auto"/>
              <w:jc w:val="center"/>
            </w:pPr>
            <w:r>
              <w:rPr>
                <w:rFonts w:eastAsia="Aptos"/>
                <w:b/>
                <w:color w:val="FFFFFF"/>
                <w:sz w:val="16"/>
              </w:rPr>
              <w:t>Intended visibility</w:t>
            </w:r>
          </w:p>
        </w:tc>
      </w:tr>
      <w:tr w:rsidR="008168ED" w14:paraId="4BB957DC" w14:textId="77777777">
        <w:trPr>
          <w:jc w:val="center"/>
        </w:trPr>
        <w:tc>
          <w:tcPr>
            <w:tcW w:w="1530"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449BA435" w14:textId="77777777" w:rsidR="008168ED" w:rsidRDefault="00000000">
            <w:pPr>
              <w:spacing w:after="0" w:line="240" w:lineRule="auto"/>
            </w:pPr>
            <w:r>
              <w:rPr>
                <w:rFonts w:eastAsia="Aptos"/>
                <w:color w:val="222222"/>
                <w:sz w:val="15"/>
              </w:rPr>
              <w:lastRenderedPageBreak/>
              <w:t>Quinta do Vale</w:t>
            </w:r>
          </w:p>
        </w:tc>
        <w:tc>
          <w:tcPr>
            <w:tcW w:w="2409"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1F7597A" w14:textId="77777777" w:rsidR="008168ED" w:rsidRDefault="00000000">
            <w:pPr>
              <w:spacing w:after="0" w:line="240" w:lineRule="auto"/>
            </w:pPr>
            <w:r>
              <w:rPr>
                <w:rFonts w:eastAsia="Aptos"/>
                <w:color w:val="222222"/>
                <w:sz w:val="15"/>
              </w:rPr>
              <w:t>Producer; registers the batch and harvest origin</w:t>
            </w:r>
          </w:p>
        </w:tc>
        <w:tc>
          <w:tcPr>
            <w:tcW w:w="1871"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9305717" w14:textId="77777777" w:rsidR="008168ED" w:rsidRDefault="00000000">
            <w:pPr>
              <w:spacing w:after="0" w:line="240" w:lineRule="auto"/>
            </w:pPr>
            <w:r>
              <w:rPr>
                <w:rFonts w:eastAsia="Aptos"/>
                <w:color w:val="222222"/>
                <w:sz w:val="15"/>
              </w:rPr>
              <w:t>Permissioned participant</w:t>
            </w:r>
          </w:p>
        </w:tc>
        <w:tc>
          <w:tcPr>
            <w:tcW w:w="3203"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3E89E8EB" w14:textId="77777777" w:rsidR="008168ED" w:rsidRDefault="00000000">
            <w:pPr>
              <w:spacing w:after="0" w:line="240" w:lineRule="auto"/>
            </w:pPr>
            <w:r>
              <w:rPr>
                <w:rFonts w:eastAsia="Aptos"/>
                <w:color w:val="222222"/>
                <w:sz w:val="15"/>
              </w:rPr>
              <w:t>Sees contracts for batches where it is a stakeholder</w:t>
            </w:r>
          </w:p>
        </w:tc>
      </w:tr>
      <w:tr w:rsidR="008168ED" w14:paraId="56FA7FC1" w14:textId="77777777">
        <w:trPr>
          <w:jc w:val="center"/>
        </w:trPr>
        <w:tc>
          <w:tcPr>
            <w:tcW w:w="1530"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06C809F" w14:textId="77777777" w:rsidR="008168ED" w:rsidRDefault="00000000">
            <w:pPr>
              <w:spacing w:after="0" w:line="240" w:lineRule="auto"/>
            </w:pPr>
            <w:r>
              <w:rPr>
                <w:rFonts w:eastAsia="Aptos"/>
                <w:color w:val="222222"/>
                <w:sz w:val="15"/>
              </w:rPr>
              <w:t>Sandeman Winery</w:t>
            </w:r>
          </w:p>
        </w:tc>
        <w:tc>
          <w:tcPr>
            <w:tcW w:w="2409"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D8F043D" w14:textId="77777777" w:rsidR="008168ED" w:rsidRDefault="00000000">
            <w:pPr>
              <w:spacing w:after="0" w:line="240" w:lineRule="auto"/>
            </w:pPr>
            <w:r>
              <w:rPr>
                <w:rFonts w:eastAsia="Aptos"/>
                <w:color w:val="222222"/>
                <w:sz w:val="15"/>
              </w:rPr>
              <w:t>Winery; receives custody, records production, requests certification</w:t>
            </w:r>
          </w:p>
        </w:tc>
        <w:tc>
          <w:tcPr>
            <w:tcW w:w="1871"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2A28601" w14:textId="77777777" w:rsidR="008168ED" w:rsidRDefault="00000000">
            <w:pPr>
              <w:spacing w:after="0" w:line="240" w:lineRule="auto"/>
            </w:pPr>
            <w:r>
              <w:rPr>
                <w:rFonts w:eastAsia="Aptos"/>
                <w:color w:val="222222"/>
                <w:sz w:val="15"/>
              </w:rPr>
              <w:t>Permissioned participant</w:t>
            </w:r>
          </w:p>
        </w:tc>
        <w:tc>
          <w:tcPr>
            <w:tcW w:w="3203"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5FFBB924" w14:textId="77777777" w:rsidR="008168ED" w:rsidRDefault="00000000">
            <w:pPr>
              <w:spacing w:after="0" w:line="240" w:lineRule="auto"/>
            </w:pPr>
            <w:r>
              <w:rPr>
                <w:rFonts w:eastAsia="Aptos"/>
                <w:color w:val="222222"/>
                <w:sz w:val="15"/>
              </w:rPr>
              <w:t>Sees the batch while operating it and contracts where it is a stakeholder</w:t>
            </w:r>
          </w:p>
        </w:tc>
      </w:tr>
      <w:tr w:rsidR="008168ED" w14:paraId="743124C7" w14:textId="77777777">
        <w:trPr>
          <w:jc w:val="center"/>
        </w:trPr>
        <w:tc>
          <w:tcPr>
            <w:tcW w:w="1530"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6303FB9C" w14:textId="77777777" w:rsidR="008168ED" w:rsidRDefault="00000000">
            <w:pPr>
              <w:spacing w:after="0" w:line="240" w:lineRule="auto"/>
            </w:pPr>
            <w:r>
              <w:rPr>
                <w:rFonts w:eastAsia="Aptos"/>
                <w:color w:val="222222"/>
                <w:sz w:val="15"/>
              </w:rPr>
              <w:t>IVDP</w:t>
            </w:r>
          </w:p>
        </w:tc>
        <w:tc>
          <w:tcPr>
            <w:tcW w:w="2409"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AD86A1D" w14:textId="77777777" w:rsidR="008168ED" w:rsidRDefault="00000000">
            <w:pPr>
              <w:spacing w:after="0" w:line="240" w:lineRule="auto"/>
            </w:pPr>
            <w:r>
              <w:rPr>
                <w:rFonts w:eastAsia="Aptos"/>
                <w:color w:val="222222"/>
                <w:sz w:val="15"/>
              </w:rPr>
              <w:t>Regulator; issues, rejects, and recalls certification</w:t>
            </w:r>
          </w:p>
        </w:tc>
        <w:tc>
          <w:tcPr>
            <w:tcW w:w="1871"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4B6B973A" w14:textId="77777777" w:rsidR="008168ED" w:rsidRDefault="00000000">
            <w:pPr>
              <w:spacing w:after="0" w:line="240" w:lineRule="auto"/>
            </w:pPr>
            <w:r>
              <w:rPr>
                <w:rFonts w:eastAsia="Aptos"/>
                <w:color w:val="222222"/>
                <w:sz w:val="15"/>
              </w:rPr>
              <w:t>Regulatory participant</w:t>
            </w:r>
          </w:p>
        </w:tc>
        <w:tc>
          <w:tcPr>
            <w:tcW w:w="3203"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79956ADA" w14:textId="77777777" w:rsidR="008168ED" w:rsidRDefault="00000000">
            <w:pPr>
              <w:spacing w:after="0" w:line="240" w:lineRule="auto"/>
            </w:pPr>
            <w:r>
              <w:rPr>
                <w:rFonts w:eastAsia="Aptos"/>
                <w:color w:val="222222"/>
                <w:sz w:val="15"/>
              </w:rPr>
              <w:t>WineBatch stakeholder and authority for certification/recall choices</w:t>
            </w:r>
          </w:p>
        </w:tc>
      </w:tr>
      <w:tr w:rsidR="008168ED" w14:paraId="4AEA2665" w14:textId="77777777">
        <w:trPr>
          <w:jc w:val="center"/>
        </w:trPr>
        <w:tc>
          <w:tcPr>
            <w:tcW w:w="1530"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1C5CE29A" w14:textId="77777777" w:rsidR="008168ED" w:rsidRDefault="00000000">
            <w:pPr>
              <w:spacing w:after="0" w:line="240" w:lineRule="auto"/>
            </w:pPr>
            <w:r>
              <w:rPr>
                <w:rFonts w:eastAsia="Aptos"/>
                <w:color w:val="222222"/>
                <w:sz w:val="15"/>
              </w:rPr>
              <w:t>LogisTrans</w:t>
            </w:r>
          </w:p>
        </w:tc>
        <w:tc>
          <w:tcPr>
            <w:tcW w:w="2409"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326DEE9C" w14:textId="77777777" w:rsidR="008168ED" w:rsidRDefault="00000000">
            <w:pPr>
              <w:spacing w:after="0" w:line="240" w:lineRule="auto"/>
            </w:pPr>
            <w:r>
              <w:rPr>
                <w:rFonts w:eastAsia="Aptos"/>
                <w:color w:val="222222"/>
                <w:sz w:val="15"/>
              </w:rPr>
              <w:t>Logistics; receives/transfers custody and records high-level conditions</w:t>
            </w:r>
          </w:p>
        </w:tc>
        <w:tc>
          <w:tcPr>
            <w:tcW w:w="1871"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3E67A725" w14:textId="77777777" w:rsidR="008168ED" w:rsidRDefault="00000000">
            <w:pPr>
              <w:spacing w:after="0" w:line="240" w:lineRule="auto"/>
            </w:pPr>
            <w:r>
              <w:rPr>
                <w:rFonts w:eastAsia="Aptos"/>
                <w:color w:val="222222"/>
                <w:sz w:val="15"/>
              </w:rPr>
              <w:t>Permissioned participant</w:t>
            </w:r>
          </w:p>
        </w:tc>
        <w:tc>
          <w:tcPr>
            <w:tcW w:w="3203"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984136E" w14:textId="77777777" w:rsidR="008168ED" w:rsidRDefault="00000000">
            <w:pPr>
              <w:spacing w:after="0" w:line="240" w:lineRule="auto"/>
            </w:pPr>
            <w:r>
              <w:rPr>
                <w:rFonts w:eastAsia="Aptos"/>
                <w:color w:val="222222"/>
                <w:sz w:val="15"/>
              </w:rPr>
              <w:t>Sees the batches it receives during an operation</w:t>
            </w:r>
          </w:p>
        </w:tc>
      </w:tr>
      <w:tr w:rsidR="008168ED" w14:paraId="0DC2A5C4" w14:textId="77777777">
        <w:trPr>
          <w:jc w:val="center"/>
        </w:trPr>
        <w:tc>
          <w:tcPr>
            <w:tcW w:w="1530"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3CFDCD1" w14:textId="77777777" w:rsidR="008168ED" w:rsidRDefault="00000000">
            <w:pPr>
              <w:spacing w:after="0" w:line="240" w:lineRule="auto"/>
            </w:pPr>
            <w:r>
              <w:rPr>
                <w:rFonts w:eastAsia="Aptos"/>
                <w:color w:val="222222"/>
                <w:sz w:val="15"/>
              </w:rPr>
              <w:t>ViniShop Oslo</w:t>
            </w:r>
          </w:p>
        </w:tc>
        <w:tc>
          <w:tcPr>
            <w:tcW w:w="2409"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856F586" w14:textId="77777777" w:rsidR="008168ED" w:rsidRDefault="00000000">
            <w:pPr>
              <w:spacing w:after="0" w:line="240" w:lineRule="auto"/>
            </w:pPr>
            <w:r>
              <w:rPr>
                <w:rFonts w:eastAsia="Aptos"/>
                <w:color w:val="222222"/>
                <w:sz w:val="15"/>
              </w:rPr>
              <w:t>Retailer; publishes sanitised provenance</w:t>
            </w:r>
          </w:p>
        </w:tc>
        <w:tc>
          <w:tcPr>
            <w:tcW w:w="1871"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B15E6FA" w14:textId="77777777" w:rsidR="008168ED" w:rsidRDefault="00000000">
            <w:pPr>
              <w:spacing w:after="0" w:line="240" w:lineRule="auto"/>
            </w:pPr>
            <w:r>
              <w:rPr>
                <w:rFonts w:eastAsia="Aptos"/>
                <w:color w:val="222222"/>
                <w:sz w:val="15"/>
              </w:rPr>
              <w:t>Permissioned participant</w:t>
            </w:r>
          </w:p>
        </w:tc>
        <w:tc>
          <w:tcPr>
            <w:tcW w:w="3203"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024AE1BC" w14:textId="77777777" w:rsidR="008168ED" w:rsidRDefault="00000000">
            <w:pPr>
              <w:spacing w:after="0" w:line="240" w:lineRule="auto"/>
            </w:pPr>
            <w:r>
              <w:rPr>
                <w:rFonts w:eastAsia="Aptos"/>
                <w:color w:val="222222"/>
                <w:sz w:val="15"/>
              </w:rPr>
              <w:t>Sees received batch and signs the published public view</w:t>
            </w:r>
          </w:p>
        </w:tc>
      </w:tr>
      <w:tr w:rsidR="008168ED" w14:paraId="3EB00B55" w14:textId="77777777">
        <w:trPr>
          <w:jc w:val="center"/>
        </w:trPr>
        <w:tc>
          <w:tcPr>
            <w:tcW w:w="1530"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F5E1A15" w14:textId="77777777" w:rsidR="008168ED" w:rsidRDefault="00000000">
            <w:pPr>
              <w:spacing w:after="0" w:line="240" w:lineRule="auto"/>
            </w:pPr>
            <w:r>
              <w:rPr>
                <w:rFonts w:eastAsia="Aptos"/>
                <w:color w:val="222222"/>
                <w:sz w:val="15"/>
              </w:rPr>
              <w:t>Final consumer</w:t>
            </w:r>
          </w:p>
        </w:tc>
        <w:tc>
          <w:tcPr>
            <w:tcW w:w="2409"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581B8C37" w14:textId="77777777" w:rsidR="008168ED" w:rsidRDefault="00000000">
            <w:pPr>
              <w:spacing w:after="0" w:line="240" w:lineRule="auto"/>
            </w:pPr>
            <w:r>
              <w:rPr>
                <w:rFonts w:eastAsia="Aptos"/>
                <w:color w:val="222222"/>
                <w:sz w:val="15"/>
              </w:rPr>
              <w:t>Verifies QR code</w:t>
            </w:r>
          </w:p>
        </w:tc>
        <w:tc>
          <w:tcPr>
            <w:tcW w:w="1871"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33DF0C19" w14:textId="77777777" w:rsidR="008168ED" w:rsidRDefault="00000000">
            <w:pPr>
              <w:spacing w:after="0" w:line="240" w:lineRule="auto"/>
            </w:pPr>
            <w:r>
              <w:rPr>
                <w:rFonts w:eastAsia="Aptos"/>
                <w:color w:val="222222"/>
                <w:sz w:val="15"/>
              </w:rPr>
              <w:t>Public-view access</w:t>
            </w:r>
          </w:p>
        </w:tc>
        <w:tc>
          <w:tcPr>
            <w:tcW w:w="3203"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0EDFE710" w14:textId="77777777" w:rsidR="008168ED" w:rsidRDefault="00000000">
            <w:pPr>
              <w:spacing w:after="0" w:line="240" w:lineRule="auto"/>
            </w:pPr>
            <w:r>
              <w:rPr>
                <w:rFonts w:eastAsia="Aptos"/>
                <w:color w:val="222222"/>
                <w:sz w:val="15"/>
              </w:rPr>
              <w:t>Observer of PublicProvenance; never of private WineBatch</w:t>
            </w:r>
          </w:p>
        </w:tc>
      </w:tr>
    </w:tbl>
    <w:p w14:paraId="02AF9067" w14:textId="77777777" w:rsidR="008168ED" w:rsidRDefault="008168ED">
      <w:pPr>
        <w:spacing w:after="0"/>
      </w:pPr>
    </w:p>
    <w:p w14:paraId="24436EB3" w14:textId="77777777" w:rsidR="008168ED" w:rsidRDefault="00000000">
      <w:pPr>
        <w:spacing w:before="40" w:after="120" w:line="240" w:lineRule="auto"/>
        <w:jc w:val="center"/>
      </w:pPr>
      <w:r>
        <w:rPr>
          <w:rFonts w:eastAsia="Aptos"/>
          <w:i/>
          <w:color w:val="666666"/>
          <w:sz w:val="17"/>
        </w:rPr>
        <w:t>Table 1. Participants, roles, and solution visibility.</w:t>
      </w:r>
    </w:p>
    <w:p w14:paraId="49FA941C" w14:textId="77777777" w:rsidR="008168ED" w:rsidRDefault="00000000">
      <w:pPr>
        <w:spacing w:before="80" w:after="40" w:line="240" w:lineRule="auto"/>
      </w:pPr>
      <w:r>
        <w:rPr>
          <w:rFonts w:eastAsia="Aptos"/>
          <w:b/>
          <w:color w:val="5B0D1C"/>
          <w:sz w:val="21"/>
        </w:rPr>
        <w:t>Proposed topology</w:t>
      </w:r>
    </w:p>
    <w:tbl>
      <w:tblPr>
        <w:tblW w:w="0" w:type="auto"/>
        <w:jc w:val="center"/>
        <w:tblLayout w:type="fixed"/>
        <w:tblLook w:val="04A0" w:firstRow="1" w:lastRow="0" w:firstColumn="1" w:lastColumn="0" w:noHBand="0" w:noVBand="1"/>
      </w:tblPr>
      <w:tblGrid>
        <w:gridCol w:w="1791"/>
        <w:gridCol w:w="1791"/>
        <w:gridCol w:w="1791"/>
        <w:gridCol w:w="1791"/>
        <w:gridCol w:w="3036"/>
      </w:tblGrid>
      <w:tr w:rsidR="008168ED" w14:paraId="2AA48DA6" w14:textId="77777777">
        <w:trPr>
          <w:jc w:val="center"/>
        </w:trPr>
        <w:tc>
          <w:tcPr>
            <w:tcW w:w="1791" w:type="dxa"/>
            <w:shd w:val="clear" w:color="auto" w:fill="5B0D1C"/>
            <w:tcMar>
              <w:top w:w="100" w:type="dxa"/>
              <w:left w:w="80" w:type="dxa"/>
              <w:bottom w:w="100" w:type="dxa"/>
              <w:right w:w="80" w:type="dxa"/>
            </w:tcMar>
            <w:vAlign w:val="center"/>
          </w:tcPr>
          <w:p w14:paraId="2D10C0CD" w14:textId="77777777" w:rsidR="008168ED" w:rsidRDefault="00000000">
            <w:pPr>
              <w:spacing w:after="0" w:line="240" w:lineRule="auto"/>
              <w:jc w:val="center"/>
            </w:pPr>
            <w:r>
              <w:rPr>
                <w:rFonts w:eastAsia="Aptos"/>
                <w:b/>
                <w:color w:val="FFFFFF"/>
                <w:sz w:val="17"/>
              </w:rPr>
              <w:t>Quinta do Vale</w:t>
            </w:r>
          </w:p>
        </w:tc>
        <w:tc>
          <w:tcPr>
            <w:tcW w:w="1791" w:type="dxa"/>
            <w:shd w:val="clear" w:color="auto" w:fill="5B0D1C"/>
            <w:tcMar>
              <w:top w:w="100" w:type="dxa"/>
              <w:left w:w="80" w:type="dxa"/>
              <w:bottom w:w="100" w:type="dxa"/>
              <w:right w:w="80" w:type="dxa"/>
            </w:tcMar>
            <w:vAlign w:val="center"/>
          </w:tcPr>
          <w:p w14:paraId="76C14F03" w14:textId="77777777" w:rsidR="008168ED" w:rsidRDefault="00000000">
            <w:pPr>
              <w:spacing w:after="0" w:line="240" w:lineRule="auto"/>
              <w:jc w:val="center"/>
            </w:pPr>
            <w:r>
              <w:rPr>
                <w:rFonts w:eastAsia="Aptos"/>
                <w:b/>
                <w:color w:val="FFFFFF"/>
                <w:sz w:val="17"/>
              </w:rPr>
              <w:t>Sandeman</w:t>
            </w:r>
            <w:r>
              <w:rPr>
                <w:rFonts w:eastAsia="Aptos"/>
                <w:b/>
                <w:color w:val="FFFFFF"/>
                <w:sz w:val="17"/>
              </w:rPr>
              <w:br/>
              <w:t>Winery</w:t>
            </w:r>
          </w:p>
        </w:tc>
        <w:tc>
          <w:tcPr>
            <w:tcW w:w="1791" w:type="dxa"/>
            <w:shd w:val="clear" w:color="auto" w:fill="5B0D1C"/>
            <w:tcMar>
              <w:top w:w="100" w:type="dxa"/>
              <w:left w:w="80" w:type="dxa"/>
              <w:bottom w:w="100" w:type="dxa"/>
              <w:right w:w="80" w:type="dxa"/>
            </w:tcMar>
            <w:vAlign w:val="center"/>
          </w:tcPr>
          <w:p w14:paraId="71011E6C" w14:textId="77777777" w:rsidR="008168ED" w:rsidRDefault="00000000">
            <w:pPr>
              <w:spacing w:after="0" w:line="240" w:lineRule="auto"/>
              <w:jc w:val="center"/>
            </w:pPr>
            <w:r>
              <w:rPr>
                <w:rFonts w:eastAsia="Aptos"/>
                <w:b/>
                <w:color w:val="FFFFFF"/>
                <w:sz w:val="17"/>
              </w:rPr>
              <w:t>IVDP</w:t>
            </w:r>
          </w:p>
        </w:tc>
        <w:tc>
          <w:tcPr>
            <w:tcW w:w="1791" w:type="dxa"/>
            <w:shd w:val="clear" w:color="auto" w:fill="5B0D1C"/>
            <w:tcMar>
              <w:top w:w="100" w:type="dxa"/>
              <w:left w:w="80" w:type="dxa"/>
              <w:bottom w:w="100" w:type="dxa"/>
              <w:right w:w="80" w:type="dxa"/>
            </w:tcMar>
            <w:vAlign w:val="center"/>
          </w:tcPr>
          <w:p w14:paraId="52F90A7F" w14:textId="77777777" w:rsidR="008168ED" w:rsidRDefault="00000000">
            <w:pPr>
              <w:spacing w:after="0" w:line="240" w:lineRule="auto"/>
              <w:jc w:val="center"/>
            </w:pPr>
            <w:r>
              <w:rPr>
                <w:rFonts w:eastAsia="Aptos"/>
                <w:b/>
                <w:color w:val="FFFFFF"/>
                <w:sz w:val="17"/>
              </w:rPr>
              <w:t>LogisTrans</w:t>
            </w:r>
          </w:p>
        </w:tc>
        <w:tc>
          <w:tcPr>
            <w:tcW w:w="1791" w:type="dxa"/>
            <w:shd w:val="clear" w:color="auto" w:fill="5B0D1C"/>
            <w:tcMar>
              <w:top w:w="100" w:type="dxa"/>
              <w:left w:w="80" w:type="dxa"/>
              <w:bottom w:w="100" w:type="dxa"/>
              <w:right w:w="80" w:type="dxa"/>
            </w:tcMar>
            <w:vAlign w:val="center"/>
          </w:tcPr>
          <w:p w14:paraId="37148E51" w14:textId="77777777" w:rsidR="008168ED" w:rsidRDefault="00000000">
            <w:pPr>
              <w:spacing w:after="0" w:line="240" w:lineRule="auto"/>
              <w:jc w:val="center"/>
            </w:pPr>
            <w:r>
              <w:rPr>
                <w:rFonts w:eastAsia="Aptos"/>
                <w:b/>
                <w:color w:val="FFFFFF"/>
                <w:sz w:val="17"/>
              </w:rPr>
              <w:t>ViniShop</w:t>
            </w:r>
            <w:r>
              <w:rPr>
                <w:rFonts w:eastAsia="Aptos"/>
                <w:b/>
                <w:color w:val="FFFFFF"/>
                <w:sz w:val="17"/>
              </w:rPr>
              <w:br/>
              <w:t>Oslo</w:t>
            </w:r>
          </w:p>
        </w:tc>
      </w:tr>
      <w:tr w:rsidR="008168ED" w14:paraId="30CC5E4E" w14:textId="77777777">
        <w:trPr>
          <w:jc w:val="center"/>
        </w:trPr>
        <w:tc>
          <w:tcPr>
            <w:tcW w:w="1791" w:type="dxa"/>
            <w:shd w:val="clear" w:color="auto" w:fill="FFFFFF"/>
            <w:tcMar>
              <w:top w:w="70" w:type="dxa"/>
              <w:left w:w="80" w:type="dxa"/>
              <w:bottom w:w="70" w:type="dxa"/>
              <w:right w:w="80" w:type="dxa"/>
            </w:tcMar>
          </w:tcPr>
          <w:p w14:paraId="05DAD314" w14:textId="77777777" w:rsidR="008168ED" w:rsidRDefault="00000000">
            <w:pPr>
              <w:spacing w:after="0" w:line="240" w:lineRule="auto"/>
              <w:jc w:val="center"/>
            </w:pPr>
            <w:r>
              <w:rPr>
                <w:rFonts w:ascii="Courier New" w:eastAsia="Courier New" w:hAnsi="Courier New"/>
                <w:color w:val="C6A15B"/>
                <w:sz w:val="24"/>
              </w:rPr>
              <w:t>v</w:t>
            </w:r>
          </w:p>
        </w:tc>
        <w:tc>
          <w:tcPr>
            <w:tcW w:w="1791" w:type="dxa"/>
            <w:shd w:val="clear" w:color="auto" w:fill="FFFFFF"/>
            <w:tcMar>
              <w:top w:w="70" w:type="dxa"/>
              <w:left w:w="80" w:type="dxa"/>
              <w:bottom w:w="70" w:type="dxa"/>
              <w:right w:w="80" w:type="dxa"/>
            </w:tcMar>
          </w:tcPr>
          <w:p w14:paraId="36E05B77" w14:textId="77777777" w:rsidR="008168ED" w:rsidRDefault="00000000">
            <w:pPr>
              <w:spacing w:after="0" w:line="240" w:lineRule="auto"/>
              <w:jc w:val="center"/>
            </w:pPr>
            <w:r>
              <w:rPr>
                <w:rFonts w:ascii="Courier New" w:eastAsia="Courier New" w:hAnsi="Courier New"/>
                <w:color w:val="C6A15B"/>
                <w:sz w:val="24"/>
              </w:rPr>
              <w:t>v</w:t>
            </w:r>
          </w:p>
        </w:tc>
        <w:tc>
          <w:tcPr>
            <w:tcW w:w="1791" w:type="dxa"/>
            <w:shd w:val="clear" w:color="auto" w:fill="FFFFFF"/>
            <w:tcMar>
              <w:top w:w="70" w:type="dxa"/>
              <w:left w:w="80" w:type="dxa"/>
              <w:bottom w:w="70" w:type="dxa"/>
              <w:right w:w="80" w:type="dxa"/>
            </w:tcMar>
          </w:tcPr>
          <w:p w14:paraId="5821BCB8" w14:textId="77777777" w:rsidR="008168ED" w:rsidRDefault="00000000">
            <w:pPr>
              <w:spacing w:after="0" w:line="240" w:lineRule="auto"/>
              <w:jc w:val="center"/>
            </w:pPr>
            <w:r>
              <w:rPr>
                <w:rFonts w:ascii="Courier New" w:eastAsia="Courier New" w:hAnsi="Courier New"/>
                <w:color w:val="C6A15B"/>
                <w:sz w:val="24"/>
              </w:rPr>
              <w:t>v</w:t>
            </w:r>
          </w:p>
        </w:tc>
        <w:tc>
          <w:tcPr>
            <w:tcW w:w="1791" w:type="dxa"/>
            <w:shd w:val="clear" w:color="auto" w:fill="FFFFFF"/>
            <w:tcMar>
              <w:top w:w="70" w:type="dxa"/>
              <w:left w:w="80" w:type="dxa"/>
              <w:bottom w:w="70" w:type="dxa"/>
              <w:right w:w="80" w:type="dxa"/>
            </w:tcMar>
          </w:tcPr>
          <w:p w14:paraId="2151CC8A" w14:textId="77777777" w:rsidR="008168ED" w:rsidRDefault="00000000">
            <w:pPr>
              <w:spacing w:after="0" w:line="240" w:lineRule="auto"/>
              <w:jc w:val="center"/>
            </w:pPr>
            <w:r>
              <w:rPr>
                <w:rFonts w:ascii="Courier New" w:eastAsia="Courier New" w:hAnsi="Courier New"/>
                <w:color w:val="C6A15B"/>
                <w:sz w:val="24"/>
              </w:rPr>
              <w:t>v</w:t>
            </w:r>
          </w:p>
        </w:tc>
        <w:tc>
          <w:tcPr>
            <w:tcW w:w="1791" w:type="dxa"/>
            <w:shd w:val="clear" w:color="auto" w:fill="FFFFFF"/>
            <w:tcMar>
              <w:top w:w="70" w:type="dxa"/>
              <w:left w:w="80" w:type="dxa"/>
              <w:bottom w:w="70" w:type="dxa"/>
              <w:right w:w="80" w:type="dxa"/>
            </w:tcMar>
          </w:tcPr>
          <w:p w14:paraId="5A20A0F9" w14:textId="77777777" w:rsidR="008168ED" w:rsidRDefault="00000000">
            <w:pPr>
              <w:spacing w:after="0" w:line="240" w:lineRule="auto"/>
              <w:jc w:val="center"/>
            </w:pPr>
            <w:r>
              <w:rPr>
                <w:rFonts w:ascii="Courier New" w:eastAsia="Courier New" w:hAnsi="Courier New"/>
                <w:color w:val="C6A15B"/>
                <w:sz w:val="24"/>
              </w:rPr>
              <w:t>v</w:t>
            </w:r>
          </w:p>
        </w:tc>
      </w:tr>
      <w:tr w:rsidR="008168ED" w14:paraId="67396F5A" w14:textId="77777777">
        <w:trPr>
          <w:jc w:val="center"/>
        </w:trPr>
        <w:tc>
          <w:tcPr>
            <w:tcW w:w="10200" w:type="dxa"/>
            <w:gridSpan w:val="5"/>
            <w:shd w:val="clear" w:color="auto" w:fill="F5EBDD"/>
            <w:tcMar>
              <w:top w:w="135" w:type="dxa"/>
              <w:left w:w="100" w:type="dxa"/>
              <w:bottom w:w="135" w:type="dxa"/>
              <w:right w:w="100" w:type="dxa"/>
            </w:tcMar>
          </w:tcPr>
          <w:p w14:paraId="2B4A94C1" w14:textId="77777777" w:rsidR="008168ED" w:rsidRDefault="00000000">
            <w:pPr>
              <w:spacing w:after="0" w:line="240" w:lineRule="auto"/>
              <w:jc w:val="center"/>
            </w:pPr>
            <w:r>
              <w:rPr>
                <w:rFonts w:eastAsia="Aptos"/>
                <w:b/>
                <w:color w:val="5B0D1C"/>
                <w:sz w:val="18"/>
              </w:rPr>
              <w:t>Canton Domain / Synchronizer - confidential ordering and finality coordination</w:t>
            </w:r>
          </w:p>
        </w:tc>
      </w:tr>
    </w:tbl>
    <w:p w14:paraId="2171B53A" w14:textId="77777777" w:rsidR="008168ED" w:rsidRDefault="00000000">
      <w:pPr>
        <w:spacing w:before="40" w:after="120" w:line="240" w:lineRule="auto"/>
        <w:jc w:val="center"/>
      </w:pPr>
      <w:r>
        <w:rPr>
          <w:rFonts w:eastAsia="Aptos"/>
          <w:i/>
          <w:color w:val="666666"/>
          <w:sz w:val="17"/>
        </w:rPr>
        <w:t>Figure 1. Logical topology: private interactions pass through participants and the Canton layer; ViniShop publishes a sanitised view for the consumer.</w:t>
      </w:r>
    </w:p>
    <w:p w14:paraId="22422A45" w14:textId="77777777" w:rsidR="008168ED" w:rsidRDefault="00000000">
      <w:pPr>
        <w:pStyle w:val="Heading2"/>
        <w:spacing w:before="140" w:after="80" w:line="240" w:lineRule="auto"/>
      </w:pPr>
      <w:r>
        <w:rPr>
          <w:rFonts w:ascii="Aptos" w:eastAsia="Aptos" w:hAnsi="Aptos"/>
        </w:rPr>
        <w:t>Onboarding and revocation</w:t>
      </w:r>
    </w:p>
    <w:p w14:paraId="5F5C5562" w14:textId="77777777" w:rsidR="008168ED" w:rsidRDefault="00000000">
      <w:pPr>
        <w:keepLines/>
      </w:pPr>
      <w:r>
        <w:rPr>
          <w:rFonts w:eastAsia="Aptos"/>
          <w:color w:val="222222"/>
        </w:rPr>
        <w:t>Onboarding comprises legal identification of the entity, operation or registration of a participant, allocation of a DAML party, key association, and topology authorisation. IVDP is assumed to be the admission authority and may suspend or revoke a participant’s operational access. This revocation is distinct from RecallBatch: the first affects future participation in the network, while the second changes the status of a certified batch and prevents any later transfer.</w:t>
      </w:r>
    </w:p>
    <w:p w14:paraId="744472E8" w14:textId="77777777" w:rsidR="008168ED" w:rsidRDefault="00000000">
      <w:pPr>
        <w:pStyle w:val="Heading1"/>
        <w:pBdr>
          <w:bottom w:val="single" w:sz="10" w:space="1" w:color="C6A15B"/>
        </w:pBdr>
        <w:spacing w:before="200" w:after="80" w:line="240" w:lineRule="auto"/>
      </w:pPr>
      <w:r>
        <w:rPr>
          <w:rFonts w:ascii="Aptos" w:eastAsia="Aptos" w:hAnsi="Aptos"/>
        </w:rPr>
        <w:t>3 Data, privacy, and lifecycle</w:t>
      </w:r>
    </w:p>
    <w:p w14:paraId="00F9141D" w14:textId="77777777" w:rsidR="008168ED" w:rsidRDefault="00000000">
      <w:pPr>
        <w:pStyle w:val="Heading2"/>
        <w:spacing w:before="140" w:after="80" w:line="240" w:lineRule="auto"/>
      </w:pPr>
      <w:r>
        <w:rPr>
          <w:rFonts w:ascii="Aptos" w:eastAsia="Aptos" w:hAnsi="Aptos"/>
        </w:rPr>
        <w:t>On-chain and off-chain decision</w:t>
      </w:r>
    </w:p>
    <w:tbl>
      <w:tblPr>
        <w:tblStyle w:val="TableGrid"/>
        <w:tblW w:w="0" w:type="auto"/>
        <w:jc w:val="center"/>
        <w:tblLayout w:type="fixed"/>
        <w:tblLook w:val="04A0" w:firstRow="1" w:lastRow="0" w:firstColumn="1" w:lastColumn="0" w:noHBand="0" w:noVBand="1"/>
      </w:tblPr>
      <w:tblGrid>
        <w:gridCol w:w="2268"/>
        <w:gridCol w:w="1814"/>
        <w:gridCol w:w="4932"/>
      </w:tblGrid>
      <w:tr w:rsidR="008168ED" w14:paraId="42D60055" w14:textId="77777777">
        <w:trPr>
          <w:tblHeader/>
          <w:jc w:val="center"/>
        </w:trPr>
        <w:tc>
          <w:tcPr>
            <w:tcW w:w="2268"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6E854A50" w14:textId="77777777" w:rsidR="008168ED" w:rsidRDefault="00000000">
            <w:pPr>
              <w:spacing w:after="0" w:line="240" w:lineRule="auto"/>
              <w:jc w:val="center"/>
            </w:pPr>
            <w:r>
              <w:rPr>
                <w:rFonts w:eastAsia="Aptos"/>
                <w:b/>
                <w:color w:val="FFFFFF"/>
                <w:sz w:val="16"/>
              </w:rPr>
              <w:t>Data item</w:t>
            </w:r>
          </w:p>
        </w:tc>
        <w:tc>
          <w:tcPr>
            <w:tcW w:w="1814"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0A80DE98" w14:textId="77777777" w:rsidR="008168ED" w:rsidRDefault="00000000">
            <w:pPr>
              <w:spacing w:after="0" w:line="240" w:lineRule="auto"/>
              <w:jc w:val="center"/>
            </w:pPr>
            <w:r>
              <w:rPr>
                <w:rFonts w:eastAsia="Aptos"/>
                <w:b/>
                <w:color w:val="FFFFFF"/>
                <w:sz w:val="16"/>
              </w:rPr>
              <w:t>Placement</w:t>
            </w:r>
          </w:p>
        </w:tc>
        <w:tc>
          <w:tcPr>
            <w:tcW w:w="4932"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0CE83215" w14:textId="77777777" w:rsidR="008168ED" w:rsidRDefault="00000000">
            <w:pPr>
              <w:spacing w:after="0" w:line="240" w:lineRule="auto"/>
              <w:jc w:val="center"/>
            </w:pPr>
            <w:r>
              <w:rPr>
                <w:rFonts w:eastAsia="Aptos"/>
                <w:b/>
                <w:color w:val="FFFFFF"/>
                <w:sz w:val="16"/>
              </w:rPr>
              <w:t>Rationale</w:t>
            </w:r>
          </w:p>
        </w:tc>
      </w:tr>
      <w:tr w:rsidR="008168ED" w14:paraId="4FED9416"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6D79944" w14:textId="77777777" w:rsidR="008168ED" w:rsidRDefault="00000000">
            <w:pPr>
              <w:spacing w:after="0" w:line="240" w:lineRule="auto"/>
            </w:pPr>
            <w:r>
              <w:rPr>
                <w:rFonts w:eastAsia="Aptos"/>
                <w:color w:val="222222"/>
                <w:sz w:val="15"/>
              </w:rPr>
              <w:t>batchId, GPS, harvestDate</w:t>
            </w:r>
          </w:p>
        </w:tc>
        <w:tc>
          <w:tcPr>
            <w:tcW w:w="181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381F9E1F" w14:textId="77777777" w:rsidR="008168ED" w:rsidRDefault="00000000">
            <w:pPr>
              <w:spacing w:after="0" w:line="240" w:lineRule="auto"/>
            </w:pPr>
            <w:r>
              <w:rPr>
                <w:rFonts w:eastAsia="Aptos"/>
                <w:color w:val="222222"/>
                <w:sz w:val="15"/>
              </w:rPr>
              <w:t>On-chain</w:t>
            </w:r>
          </w:p>
        </w:tc>
        <w:tc>
          <w:tcPr>
            <w:tcW w:w="4932"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3001CBA0" w14:textId="77777777" w:rsidR="008168ED" w:rsidRDefault="00000000">
            <w:pPr>
              <w:spacing w:after="0" w:line="240" w:lineRule="auto"/>
            </w:pPr>
            <w:r>
              <w:rPr>
                <w:rFonts w:eastAsia="Aptos"/>
                <w:color w:val="222222"/>
                <w:sz w:val="15"/>
              </w:rPr>
              <w:t>Essential, structured provenance attributes that must be immutable and auditable.</w:t>
            </w:r>
          </w:p>
        </w:tc>
      </w:tr>
      <w:tr w:rsidR="008168ED" w14:paraId="5D3749F5"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6856FD76" w14:textId="77777777" w:rsidR="008168ED" w:rsidRDefault="00000000">
            <w:pPr>
              <w:spacing w:after="0" w:line="240" w:lineRule="auto"/>
            </w:pPr>
            <w:r>
              <w:rPr>
                <w:rFonts w:eastAsia="Aptos"/>
                <w:color w:val="222222"/>
                <w:sz w:val="15"/>
              </w:rPr>
              <w:t>IVDP certificate PDF</w:t>
            </w:r>
          </w:p>
        </w:tc>
        <w:tc>
          <w:tcPr>
            <w:tcW w:w="1814"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6C46802A" w14:textId="77777777" w:rsidR="008168ED" w:rsidRDefault="00000000">
            <w:pPr>
              <w:spacing w:after="0" w:line="240" w:lineRule="auto"/>
            </w:pPr>
            <w:r>
              <w:rPr>
                <w:rFonts w:eastAsia="Aptos"/>
                <w:color w:val="222222"/>
                <w:sz w:val="15"/>
              </w:rPr>
              <w:t>Off-chain</w:t>
            </w:r>
          </w:p>
        </w:tc>
        <w:tc>
          <w:tcPr>
            <w:tcW w:w="4932"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67AFC577" w14:textId="77777777" w:rsidR="008168ED" w:rsidRDefault="00000000">
            <w:pPr>
              <w:spacing w:after="0" w:line="240" w:lineRule="auto"/>
            </w:pPr>
            <w:r>
              <w:rPr>
                <w:rFonts w:eastAsia="Aptos"/>
                <w:color w:val="222222"/>
                <w:sz w:val="15"/>
              </w:rPr>
              <w:t>Potentially large regulated document; stored in a controlled repository or content-addressed location.</w:t>
            </w:r>
          </w:p>
        </w:tc>
      </w:tr>
      <w:tr w:rsidR="008168ED" w14:paraId="1B65E81A"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D1D3324" w14:textId="77777777" w:rsidR="008168ED" w:rsidRDefault="00000000">
            <w:pPr>
              <w:spacing w:after="0" w:line="240" w:lineRule="auto"/>
            </w:pPr>
            <w:r>
              <w:rPr>
                <w:rFonts w:eastAsia="Aptos"/>
                <w:color w:val="222222"/>
                <w:sz w:val="15"/>
              </w:rPr>
              <w:t>SHA-256 certificate hash</w:t>
            </w:r>
          </w:p>
        </w:tc>
        <w:tc>
          <w:tcPr>
            <w:tcW w:w="181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543FBE93" w14:textId="77777777" w:rsidR="008168ED" w:rsidRDefault="00000000">
            <w:pPr>
              <w:spacing w:after="0" w:line="240" w:lineRule="auto"/>
            </w:pPr>
            <w:r>
              <w:rPr>
                <w:rFonts w:eastAsia="Aptos"/>
                <w:color w:val="222222"/>
                <w:sz w:val="15"/>
              </w:rPr>
              <w:t>On-chain</w:t>
            </w:r>
          </w:p>
        </w:tc>
        <w:tc>
          <w:tcPr>
            <w:tcW w:w="4932"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C7EE6B8" w14:textId="77777777" w:rsidR="008168ED" w:rsidRDefault="00000000">
            <w:pPr>
              <w:spacing w:after="0" w:line="240" w:lineRule="auto"/>
            </w:pPr>
            <w:r>
              <w:rPr>
                <w:rFonts w:eastAsia="Aptos"/>
                <w:color w:val="222222"/>
                <w:sz w:val="15"/>
              </w:rPr>
              <w:t>Binds the certificate document to the immutable batch state and allows later integrity checking.</w:t>
            </w:r>
          </w:p>
        </w:tc>
      </w:tr>
      <w:tr w:rsidR="008168ED" w14:paraId="3001BD0F"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F85FD52" w14:textId="77777777" w:rsidR="008168ED" w:rsidRDefault="00000000">
            <w:pPr>
              <w:spacing w:after="0" w:line="240" w:lineRule="auto"/>
            </w:pPr>
            <w:r>
              <w:rPr>
                <w:rFonts w:eastAsia="Aptos"/>
                <w:color w:val="222222"/>
                <w:sz w:val="15"/>
              </w:rPr>
              <w:t>Raw IoT temperature CSV logs</w:t>
            </w:r>
          </w:p>
        </w:tc>
        <w:tc>
          <w:tcPr>
            <w:tcW w:w="1814"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4253FE64" w14:textId="77777777" w:rsidR="008168ED" w:rsidRDefault="00000000">
            <w:pPr>
              <w:spacing w:after="0" w:line="240" w:lineRule="auto"/>
            </w:pPr>
            <w:r>
              <w:rPr>
                <w:rFonts w:eastAsia="Aptos"/>
                <w:color w:val="222222"/>
                <w:sz w:val="15"/>
              </w:rPr>
              <w:t>Off-chain</w:t>
            </w:r>
          </w:p>
        </w:tc>
        <w:tc>
          <w:tcPr>
            <w:tcW w:w="4932"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B5326BC" w14:textId="77777777" w:rsidR="008168ED" w:rsidRDefault="00000000">
            <w:pPr>
              <w:spacing w:after="0" w:line="240" w:lineRule="auto"/>
            </w:pPr>
            <w:r>
              <w:rPr>
                <w:rFonts w:eastAsia="Aptos"/>
                <w:color w:val="222222"/>
                <w:sz w:val="15"/>
              </w:rPr>
              <w:t>High-volume operational data; kept in controlled storage and referenced from the event.</w:t>
            </w:r>
          </w:p>
        </w:tc>
      </w:tr>
      <w:tr w:rsidR="008168ED" w14:paraId="7289769E"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4DBEBC38" w14:textId="77777777" w:rsidR="008168ED" w:rsidRDefault="00000000">
            <w:pPr>
              <w:spacing w:after="0" w:line="240" w:lineRule="auto"/>
            </w:pPr>
            <w:r>
              <w:rPr>
                <w:rFonts w:eastAsia="Aptos"/>
                <w:color w:val="222222"/>
                <w:sz w:val="15"/>
              </w:rPr>
              <w:t>Minimum/maximum temperature per stage</w:t>
            </w:r>
          </w:p>
        </w:tc>
        <w:tc>
          <w:tcPr>
            <w:tcW w:w="181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9478D08" w14:textId="77777777" w:rsidR="008168ED" w:rsidRDefault="00000000">
            <w:pPr>
              <w:spacing w:after="0" w:line="240" w:lineRule="auto"/>
            </w:pPr>
            <w:r>
              <w:rPr>
                <w:rFonts w:eastAsia="Aptos"/>
                <w:color w:val="222222"/>
                <w:sz w:val="15"/>
              </w:rPr>
              <w:t>On-chain</w:t>
            </w:r>
          </w:p>
        </w:tc>
        <w:tc>
          <w:tcPr>
            <w:tcW w:w="4932"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38FA39D5" w14:textId="77777777" w:rsidR="008168ED" w:rsidRDefault="00000000">
            <w:pPr>
              <w:spacing w:after="0" w:line="240" w:lineRule="auto"/>
            </w:pPr>
            <w:r>
              <w:rPr>
                <w:rFonts w:eastAsia="Aptos"/>
                <w:color w:val="222222"/>
                <w:sz w:val="15"/>
              </w:rPr>
              <w:t>Compact summary appropriate for audit and high-level traceability.</w:t>
            </w:r>
          </w:p>
        </w:tc>
      </w:tr>
      <w:tr w:rsidR="008168ED" w14:paraId="57953CB4"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1E988E3A" w14:textId="77777777" w:rsidR="008168ED" w:rsidRDefault="00000000">
            <w:pPr>
              <w:spacing w:after="0" w:line="240" w:lineRule="auto"/>
            </w:pPr>
            <w:r>
              <w:rPr>
                <w:rFonts w:eastAsia="Aptos"/>
                <w:color w:val="222222"/>
                <w:sz w:val="15"/>
              </w:rPr>
              <w:t>Proprietary production recipes</w:t>
            </w:r>
          </w:p>
        </w:tc>
        <w:tc>
          <w:tcPr>
            <w:tcW w:w="1814"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5D950017" w14:textId="77777777" w:rsidR="008168ED" w:rsidRDefault="00000000">
            <w:pPr>
              <w:spacing w:after="0" w:line="240" w:lineRule="auto"/>
            </w:pPr>
            <w:r>
              <w:rPr>
                <w:rFonts w:eastAsia="Aptos"/>
                <w:color w:val="222222"/>
                <w:sz w:val="15"/>
              </w:rPr>
              <w:t>Off-chain / never public</w:t>
            </w:r>
          </w:p>
        </w:tc>
        <w:tc>
          <w:tcPr>
            <w:tcW w:w="4932"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383154F6" w14:textId="77777777" w:rsidR="008168ED" w:rsidRDefault="00000000">
            <w:pPr>
              <w:spacing w:after="0" w:line="240" w:lineRule="auto"/>
            </w:pPr>
            <w:r>
              <w:rPr>
                <w:rFonts w:eastAsia="Aptos"/>
                <w:color w:val="222222"/>
                <w:sz w:val="15"/>
              </w:rPr>
              <w:t>Commercially sensitive information that is not necessary for public verification.</w:t>
            </w:r>
          </w:p>
        </w:tc>
      </w:tr>
      <w:tr w:rsidR="008168ED" w14:paraId="29ACCB59"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346AF58" w14:textId="77777777" w:rsidR="008168ED" w:rsidRDefault="00000000">
            <w:pPr>
              <w:spacing w:after="0" w:line="240" w:lineRule="auto"/>
            </w:pPr>
            <w:r>
              <w:rPr>
                <w:rFonts w:eastAsia="Aptos"/>
                <w:color w:val="222222"/>
                <w:sz w:val="15"/>
              </w:rPr>
              <w:t>bottleQR and event history</w:t>
            </w:r>
          </w:p>
        </w:tc>
        <w:tc>
          <w:tcPr>
            <w:tcW w:w="181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9C1704E" w14:textId="77777777" w:rsidR="008168ED" w:rsidRDefault="00000000">
            <w:pPr>
              <w:spacing w:after="0" w:line="240" w:lineRule="auto"/>
            </w:pPr>
            <w:r>
              <w:rPr>
                <w:rFonts w:eastAsia="Aptos"/>
                <w:color w:val="222222"/>
                <w:sz w:val="15"/>
              </w:rPr>
              <w:t>On-chain in private/public views</w:t>
            </w:r>
          </w:p>
        </w:tc>
        <w:tc>
          <w:tcPr>
            <w:tcW w:w="4932"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CFE0FB1" w14:textId="77777777" w:rsidR="008168ED" w:rsidRDefault="00000000">
            <w:pPr>
              <w:spacing w:after="0" w:line="240" w:lineRule="auto"/>
            </w:pPr>
            <w:r>
              <w:rPr>
                <w:rFonts w:eastAsia="Aptos"/>
                <w:color w:val="222222"/>
                <w:sz w:val="15"/>
              </w:rPr>
              <w:t>QR code links the bottle to its traceability record; event summaries support provenance.</w:t>
            </w:r>
          </w:p>
        </w:tc>
      </w:tr>
    </w:tbl>
    <w:p w14:paraId="6501EB33" w14:textId="77777777" w:rsidR="008168ED" w:rsidRDefault="008168ED">
      <w:pPr>
        <w:spacing w:after="0"/>
      </w:pPr>
    </w:p>
    <w:p w14:paraId="15A8E383" w14:textId="77777777" w:rsidR="008168ED" w:rsidRDefault="00000000">
      <w:pPr>
        <w:spacing w:before="40" w:after="120" w:line="240" w:lineRule="auto"/>
        <w:jc w:val="center"/>
      </w:pPr>
      <w:r>
        <w:rPr>
          <w:rFonts w:eastAsia="Aptos"/>
          <w:i/>
          <w:color w:val="666666"/>
          <w:sz w:val="17"/>
        </w:rPr>
        <w:t>Table 2. On-chain and off-chain data placement.</w:t>
      </w:r>
    </w:p>
    <w:p w14:paraId="0B2CE638" w14:textId="77777777" w:rsidR="008168ED" w:rsidRDefault="00000000">
      <w:pPr>
        <w:pStyle w:val="Heading2"/>
        <w:spacing w:before="140" w:after="80" w:line="240" w:lineRule="auto"/>
      </w:pPr>
      <w:r>
        <w:rPr>
          <w:rFonts w:ascii="Aptos" w:eastAsia="Aptos" w:hAnsi="Aptos"/>
        </w:rPr>
        <w:lastRenderedPageBreak/>
        <w:t>Privacy model</w:t>
      </w:r>
    </w:p>
    <w:p w14:paraId="5488ACB6" w14:textId="77777777" w:rsidR="008168ED" w:rsidRDefault="00000000">
      <w:pPr>
        <w:keepLines/>
      </w:pPr>
      <w:r>
        <w:rPr>
          <w:rFonts w:eastAsia="Aptos"/>
          <w:color w:val="222222"/>
        </w:rPr>
        <w:t>DAML defines contract visibility through signatories and observers. In this design, the producer signs the WineBatchFactory and creates WineBatch, the current owner controls operational transitions, and IVDP acts as a regulatory observer and controller of certification and recall choices. Custody transfer also requires the authorisation of the new owner, representing bilateral delivery acceptance.</w:t>
      </w:r>
    </w:p>
    <w:p w14:paraId="1A56AF11" w14:textId="77777777" w:rsidR="008168ED" w:rsidRDefault="00000000">
      <w:pPr>
        <w:keepLines/>
      </w:pPr>
      <w:r>
        <w:rPr>
          <w:rFonts w:eastAsia="Aptos"/>
          <w:color w:val="222222"/>
        </w:rPr>
        <w:t>PublicProvenance is a separate contract. ViniShop signs and publishes it, and the consumer is its observer. The VerifyProvenance choice validates the scanned QR code and returns only origin, harvest date, grape variety, certification state and hash, and public events. Fermentation notes, raw CSV references, commercial conditions, and the private WineBatch contract are not disclosed to the consumer.</w:t>
      </w:r>
    </w:p>
    <w:tbl>
      <w:tblPr>
        <w:tblW w:w="0" w:type="auto"/>
        <w:jc w:val="center"/>
        <w:tblLook w:val="04A0" w:firstRow="1" w:lastRow="0" w:firstColumn="1" w:lastColumn="0" w:noHBand="0" w:noVBand="1"/>
      </w:tblPr>
      <w:tblGrid>
        <w:gridCol w:w="10200"/>
      </w:tblGrid>
      <w:tr w:rsidR="008168ED" w14:paraId="71E75B5A" w14:textId="77777777">
        <w:trPr>
          <w:jc w:val="center"/>
        </w:trPr>
        <w:tc>
          <w:tcPr>
            <w:tcW w:w="10200" w:type="dxa"/>
            <w:tcBorders>
              <w:top w:val="single" w:sz="7" w:space="0" w:color="C6A15B"/>
              <w:left w:val="single" w:sz="7" w:space="0" w:color="C6A15B"/>
              <w:bottom w:val="single" w:sz="7" w:space="0" w:color="C6A15B"/>
              <w:right w:val="single" w:sz="7" w:space="0" w:color="C6A15B"/>
            </w:tcBorders>
            <w:shd w:val="clear" w:color="auto" w:fill="FFF4E5"/>
            <w:tcMar>
              <w:top w:w="125" w:type="dxa"/>
              <w:left w:w="150" w:type="dxa"/>
              <w:bottom w:w="120" w:type="dxa"/>
              <w:right w:w="150" w:type="dxa"/>
            </w:tcMar>
          </w:tcPr>
          <w:p w14:paraId="0A86D6B4" w14:textId="77777777" w:rsidR="008168ED" w:rsidRDefault="00000000">
            <w:pPr>
              <w:spacing w:after="40" w:line="250" w:lineRule="auto"/>
            </w:pPr>
            <w:r>
              <w:rPr>
                <w:rFonts w:eastAsia="Aptos"/>
                <w:b/>
                <w:color w:val="9C1C1C"/>
                <w:sz w:val="19"/>
              </w:rPr>
              <w:t xml:space="preserve">Privacy limitation of the current version. </w:t>
            </w:r>
            <w:r>
              <w:rPr>
                <w:rFonts w:eastAsia="Aptos"/>
                <w:color w:val="222222"/>
                <w:sz w:val="19"/>
              </w:rPr>
              <w:t>The permanent producer, winery, and IVDP observer fields keep these three parties as stakeholders in successive WineBatch versions. The model therefore isolates unrelated batches but does not automatically revoke visibility for these permanent roles over the same batch. For a stricter interpretation of confidentiality between competitors, permanent observers should be removed and purpose-specific regulatory views or receipts created only when required.</w:t>
            </w:r>
          </w:p>
        </w:tc>
      </w:tr>
    </w:tbl>
    <w:p w14:paraId="53A89317" w14:textId="77777777" w:rsidR="008168ED" w:rsidRDefault="008168ED">
      <w:pPr>
        <w:spacing w:after="0"/>
      </w:pPr>
    </w:p>
    <w:p w14:paraId="051FBBE4" w14:textId="77777777" w:rsidR="008168ED" w:rsidRDefault="00000000">
      <w:pPr>
        <w:pStyle w:val="Heading2"/>
        <w:spacing w:before="140" w:after="80" w:line="240" w:lineRule="auto"/>
      </w:pPr>
      <w:r>
        <w:rPr>
          <w:rFonts w:ascii="Aptos" w:eastAsia="Aptos" w:hAnsi="Aptos"/>
        </w:rPr>
        <w:t>State machine</w:t>
      </w:r>
    </w:p>
    <w:tbl>
      <w:tblPr>
        <w:tblW w:w="0" w:type="auto"/>
        <w:jc w:val="center"/>
        <w:tblLayout w:type="fixed"/>
        <w:tblLook w:val="04A0" w:firstRow="1" w:lastRow="0" w:firstColumn="1" w:lastColumn="0" w:noHBand="0" w:noVBand="1"/>
      </w:tblPr>
      <w:tblGrid>
        <w:gridCol w:w="2250"/>
        <w:gridCol w:w="2250"/>
        <w:gridCol w:w="2250"/>
        <w:gridCol w:w="2250"/>
      </w:tblGrid>
      <w:tr w:rsidR="008168ED" w14:paraId="2F9FE371" w14:textId="77777777">
        <w:trPr>
          <w:jc w:val="center"/>
        </w:trPr>
        <w:tc>
          <w:tcPr>
            <w:tcW w:w="2250" w:type="dxa"/>
            <w:shd w:val="clear" w:color="auto" w:fill="5B0D1C"/>
            <w:tcMar>
              <w:top w:w="90" w:type="dxa"/>
              <w:left w:w="70" w:type="dxa"/>
              <w:bottom w:w="90" w:type="dxa"/>
              <w:right w:w="70" w:type="dxa"/>
            </w:tcMar>
          </w:tcPr>
          <w:p w14:paraId="2D77C7D6" w14:textId="77777777" w:rsidR="008168ED" w:rsidRDefault="00000000">
            <w:pPr>
              <w:spacing w:after="0" w:line="240" w:lineRule="auto"/>
              <w:jc w:val="center"/>
            </w:pPr>
            <w:r>
              <w:rPr>
                <w:rFonts w:eastAsia="Aptos"/>
                <w:b/>
                <w:color w:val="FFFFFF"/>
                <w:sz w:val="17"/>
              </w:rPr>
              <w:t>PENDING</w:t>
            </w:r>
          </w:p>
        </w:tc>
        <w:tc>
          <w:tcPr>
            <w:tcW w:w="2250" w:type="dxa"/>
            <w:shd w:val="clear" w:color="auto" w:fill="5B0D1C"/>
            <w:tcMar>
              <w:top w:w="90" w:type="dxa"/>
              <w:left w:w="70" w:type="dxa"/>
              <w:bottom w:w="90" w:type="dxa"/>
              <w:right w:w="70" w:type="dxa"/>
            </w:tcMar>
          </w:tcPr>
          <w:p w14:paraId="673A2472" w14:textId="77777777" w:rsidR="008168ED" w:rsidRDefault="00000000">
            <w:pPr>
              <w:spacing w:after="0" w:line="240" w:lineRule="auto"/>
              <w:jc w:val="center"/>
            </w:pPr>
            <w:r>
              <w:rPr>
                <w:rFonts w:eastAsia="Aptos"/>
                <w:b/>
                <w:color w:val="FFFFFF"/>
                <w:sz w:val="17"/>
              </w:rPr>
              <w:t>CERTIFIED</w:t>
            </w:r>
          </w:p>
        </w:tc>
        <w:tc>
          <w:tcPr>
            <w:tcW w:w="2250" w:type="dxa"/>
            <w:shd w:val="clear" w:color="auto" w:fill="9C1C1C"/>
            <w:tcMar>
              <w:top w:w="90" w:type="dxa"/>
              <w:left w:w="70" w:type="dxa"/>
              <w:bottom w:w="90" w:type="dxa"/>
              <w:right w:w="70" w:type="dxa"/>
            </w:tcMar>
          </w:tcPr>
          <w:p w14:paraId="3C952319" w14:textId="77777777" w:rsidR="008168ED" w:rsidRDefault="00000000">
            <w:pPr>
              <w:spacing w:after="0" w:line="240" w:lineRule="auto"/>
              <w:jc w:val="center"/>
            </w:pPr>
            <w:r>
              <w:rPr>
                <w:rFonts w:eastAsia="Aptos"/>
                <w:b/>
                <w:color w:val="FFFFFF"/>
                <w:sz w:val="17"/>
              </w:rPr>
              <w:t>REJECTED</w:t>
            </w:r>
          </w:p>
        </w:tc>
        <w:tc>
          <w:tcPr>
            <w:tcW w:w="2250" w:type="dxa"/>
            <w:shd w:val="clear" w:color="auto" w:fill="9C1C1C"/>
            <w:tcMar>
              <w:top w:w="90" w:type="dxa"/>
              <w:left w:w="70" w:type="dxa"/>
              <w:bottom w:w="90" w:type="dxa"/>
              <w:right w:w="70" w:type="dxa"/>
            </w:tcMar>
          </w:tcPr>
          <w:p w14:paraId="40704F52" w14:textId="77777777" w:rsidR="008168ED" w:rsidRDefault="00000000">
            <w:pPr>
              <w:spacing w:after="0" w:line="240" w:lineRule="auto"/>
              <w:jc w:val="center"/>
            </w:pPr>
            <w:r>
              <w:rPr>
                <w:rFonts w:eastAsia="Aptos"/>
                <w:b/>
                <w:color w:val="FFFFFF"/>
                <w:sz w:val="17"/>
              </w:rPr>
              <w:t>RECALLED</w:t>
            </w:r>
          </w:p>
        </w:tc>
      </w:tr>
      <w:tr w:rsidR="008168ED" w14:paraId="74B0950E" w14:textId="77777777">
        <w:trPr>
          <w:jc w:val="center"/>
        </w:trPr>
        <w:tc>
          <w:tcPr>
            <w:tcW w:w="2250" w:type="dxa"/>
            <w:shd w:val="clear" w:color="auto" w:fill="FFFFFF"/>
            <w:tcMar>
              <w:top w:w="85" w:type="dxa"/>
              <w:left w:w="70" w:type="dxa"/>
              <w:bottom w:w="85" w:type="dxa"/>
              <w:right w:w="70" w:type="dxa"/>
            </w:tcMar>
          </w:tcPr>
          <w:p w14:paraId="23E53A0C" w14:textId="77777777" w:rsidR="008168ED" w:rsidRDefault="00000000">
            <w:pPr>
              <w:spacing w:after="0" w:line="240" w:lineRule="auto"/>
            </w:pPr>
            <w:r>
              <w:rPr>
                <w:rFonts w:eastAsia="Aptos"/>
                <w:color w:val="222222"/>
                <w:sz w:val="15"/>
              </w:rPr>
              <w:t>Batch created; it may only move Quinta -&gt; Sandeman. Production recording and certification request are allowed.</w:t>
            </w:r>
          </w:p>
        </w:tc>
        <w:tc>
          <w:tcPr>
            <w:tcW w:w="2250" w:type="dxa"/>
            <w:shd w:val="clear" w:color="auto" w:fill="FFFFFF"/>
            <w:tcMar>
              <w:top w:w="85" w:type="dxa"/>
              <w:left w:w="70" w:type="dxa"/>
              <w:bottom w:w="85" w:type="dxa"/>
              <w:right w:w="70" w:type="dxa"/>
            </w:tcMar>
          </w:tcPr>
          <w:p w14:paraId="2BF0A997" w14:textId="77777777" w:rsidR="008168ED" w:rsidRDefault="00000000">
            <w:pPr>
              <w:spacing w:after="0" w:line="240" w:lineRule="auto"/>
            </w:pPr>
            <w:r>
              <w:rPr>
                <w:rFonts w:eastAsia="Aptos"/>
                <w:color w:val="222222"/>
                <w:sz w:val="15"/>
              </w:rPr>
              <w:t>Certified by IVDP; it may move through the commercial chain.</w:t>
            </w:r>
          </w:p>
        </w:tc>
        <w:tc>
          <w:tcPr>
            <w:tcW w:w="2250" w:type="dxa"/>
            <w:shd w:val="clear" w:color="auto" w:fill="FFFFFF"/>
            <w:tcMar>
              <w:top w:w="85" w:type="dxa"/>
              <w:left w:w="70" w:type="dxa"/>
              <w:bottom w:w="85" w:type="dxa"/>
              <w:right w:w="70" w:type="dxa"/>
            </w:tcMar>
          </w:tcPr>
          <w:p w14:paraId="4AA6C76B" w14:textId="77777777" w:rsidR="008168ED" w:rsidRDefault="00000000">
            <w:pPr>
              <w:spacing w:after="0" w:line="240" w:lineRule="auto"/>
            </w:pPr>
            <w:r>
              <w:rPr>
                <w:rFonts w:eastAsia="Aptos"/>
                <w:color w:val="222222"/>
                <w:sz w:val="15"/>
              </w:rPr>
              <w:t>Certification denied; terminal state for normal transfers.</w:t>
            </w:r>
          </w:p>
        </w:tc>
        <w:tc>
          <w:tcPr>
            <w:tcW w:w="2250" w:type="dxa"/>
            <w:shd w:val="clear" w:color="auto" w:fill="FFFFFF"/>
            <w:tcMar>
              <w:top w:w="85" w:type="dxa"/>
              <w:left w:w="70" w:type="dxa"/>
              <w:bottom w:w="85" w:type="dxa"/>
              <w:right w:w="70" w:type="dxa"/>
            </w:tcMar>
          </w:tcPr>
          <w:p w14:paraId="7B3D2B3C" w14:textId="77777777" w:rsidR="008168ED" w:rsidRDefault="00000000">
            <w:pPr>
              <w:spacing w:after="0" w:line="240" w:lineRule="auto"/>
            </w:pPr>
            <w:r>
              <w:rPr>
                <w:rFonts w:eastAsia="Aptos"/>
                <w:color w:val="222222"/>
                <w:sz w:val="15"/>
              </w:rPr>
              <w:t>Recalled by IVDP; TransferCustody must fail.</w:t>
            </w:r>
          </w:p>
        </w:tc>
      </w:tr>
    </w:tbl>
    <w:p w14:paraId="35532875" w14:textId="77777777" w:rsidR="008168ED" w:rsidRDefault="00000000">
      <w:pPr>
        <w:spacing w:before="40" w:after="120" w:line="240" w:lineRule="auto"/>
        <w:jc w:val="center"/>
      </w:pPr>
      <w:r>
        <w:rPr>
          <w:rFonts w:eastAsia="Aptos"/>
          <w:i/>
          <w:color w:val="666666"/>
          <w:sz w:val="17"/>
        </w:rPr>
        <w:t>Figure 2. WineBatch state machine implemented through DAML contracts.</w:t>
      </w:r>
    </w:p>
    <w:p w14:paraId="5243D969" w14:textId="77777777" w:rsidR="008168ED" w:rsidRDefault="00000000">
      <w:pPr>
        <w:pStyle w:val="Heading1"/>
        <w:pBdr>
          <w:bottom w:val="single" w:sz="10" w:space="1" w:color="C6A15B"/>
        </w:pBdr>
        <w:spacing w:before="200" w:after="80" w:line="240" w:lineRule="auto"/>
      </w:pPr>
      <w:r>
        <w:rPr>
          <w:rFonts w:ascii="Aptos" w:eastAsia="Aptos" w:hAnsi="Aptos"/>
        </w:rPr>
        <w:t>4 Smart-contract implementation</w:t>
      </w:r>
    </w:p>
    <w:p w14:paraId="0FF860DF" w14:textId="77777777" w:rsidR="008168ED" w:rsidRDefault="00000000">
      <w:pPr>
        <w:keepLines/>
      </w:pPr>
      <w:r>
        <w:rPr>
          <w:rFonts w:eastAsia="Aptos"/>
          <w:color w:val="222222"/>
        </w:rPr>
        <w:t>The model is organised in four DAML modules. Types.daml defines data types and validation/redaction helpers; WineBatch.daml defines WineBatchFactory and WineBatch; PublicProvenance.daml defines the consumer-facing view; and Test.daml provides executable scenarios. State changes are implemented as consuming choices: the previous active contract is archived and a new WineBatch state is created with the permitted updates. This approach preserves historical contract immutability [4].</w:t>
      </w:r>
    </w:p>
    <w:tbl>
      <w:tblPr>
        <w:tblStyle w:val="TableGrid"/>
        <w:tblW w:w="0" w:type="auto"/>
        <w:jc w:val="center"/>
        <w:tblLayout w:type="fixed"/>
        <w:tblLook w:val="04A0" w:firstRow="1" w:lastRow="0" w:firstColumn="1" w:lastColumn="0" w:noHBand="0" w:noVBand="1"/>
      </w:tblPr>
      <w:tblGrid>
        <w:gridCol w:w="1757"/>
        <w:gridCol w:w="4649"/>
        <w:gridCol w:w="2608"/>
      </w:tblGrid>
      <w:tr w:rsidR="008168ED" w14:paraId="1BDD779F" w14:textId="77777777">
        <w:trPr>
          <w:tblHeader/>
          <w:jc w:val="center"/>
        </w:trPr>
        <w:tc>
          <w:tcPr>
            <w:tcW w:w="1757"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46A908AD" w14:textId="77777777" w:rsidR="008168ED" w:rsidRDefault="00000000">
            <w:pPr>
              <w:spacing w:after="0" w:line="240" w:lineRule="auto"/>
              <w:jc w:val="center"/>
            </w:pPr>
            <w:r>
              <w:rPr>
                <w:rFonts w:eastAsia="Aptos"/>
                <w:b/>
                <w:color w:val="FFFFFF"/>
                <w:sz w:val="16"/>
              </w:rPr>
              <w:t>Component</w:t>
            </w:r>
          </w:p>
        </w:tc>
        <w:tc>
          <w:tcPr>
            <w:tcW w:w="4649"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5DBEC17E" w14:textId="77777777" w:rsidR="008168ED" w:rsidRDefault="00000000">
            <w:pPr>
              <w:spacing w:after="0" w:line="240" w:lineRule="auto"/>
              <w:jc w:val="center"/>
            </w:pPr>
            <w:r>
              <w:rPr>
                <w:rFonts w:eastAsia="Aptos"/>
                <w:b/>
                <w:color w:val="FFFFFF"/>
                <w:sz w:val="16"/>
              </w:rPr>
              <w:t>Applied rule</w:t>
            </w:r>
          </w:p>
        </w:tc>
        <w:tc>
          <w:tcPr>
            <w:tcW w:w="2608"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7A11E725" w14:textId="77777777" w:rsidR="008168ED" w:rsidRDefault="00000000">
            <w:pPr>
              <w:spacing w:after="0" w:line="240" w:lineRule="auto"/>
              <w:jc w:val="center"/>
            </w:pPr>
            <w:r>
              <w:rPr>
                <w:rFonts w:eastAsia="Aptos"/>
                <w:b/>
                <w:color w:val="FFFFFF"/>
                <w:sz w:val="16"/>
              </w:rPr>
              <w:t>Repository evidence</w:t>
            </w:r>
          </w:p>
        </w:tc>
      </w:tr>
      <w:tr w:rsidR="008168ED" w14:paraId="70297E33" w14:textId="77777777">
        <w:trPr>
          <w:jc w:val="center"/>
        </w:trPr>
        <w:tc>
          <w:tcPr>
            <w:tcW w:w="175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A42C7EF" w14:textId="77777777" w:rsidR="008168ED" w:rsidRDefault="00000000">
            <w:pPr>
              <w:spacing w:after="0" w:line="240" w:lineRule="auto"/>
            </w:pPr>
            <w:r>
              <w:rPr>
                <w:rFonts w:eastAsia="Aptos"/>
                <w:color w:val="222222"/>
                <w:sz w:val="15"/>
              </w:rPr>
              <w:t>Registration</w:t>
            </w:r>
          </w:p>
        </w:tc>
        <w:tc>
          <w:tcPr>
            <w:tcW w:w="4649"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0EFCE602" w14:textId="77777777" w:rsidR="008168ED" w:rsidRDefault="00000000">
            <w:pPr>
              <w:spacing w:after="0" w:line="240" w:lineRule="auto"/>
            </w:pPr>
            <w:r>
              <w:rPr>
                <w:rFonts w:eastAsia="Aptos"/>
                <w:color w:val="222222"/>
                <w:sz w:val="15"/>
              </w:rPr>
              <w:t>WineBatchFactory.RegisterWineBatch validates PW-YYYY-NNNN, non-empty grape variety, and harvestDate &lt; getTime.</w:t>
            </w:r>
          </w:p>
        </w:tc>
        <w:tc>
          <w:tcPr>
            <w:tcW w:w="260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7108776" w14:textId="77777777" w:rsidR="008168ED" w:rsidRDefault="00000000">
            <w:pPr>
              <w:spacing w:after="0" w:line="240" w:lineRule="auto"/>
            </w:pPr>
            <w:r>
              <w:rPr>
                <w:rFonts w:eastAsia="Aptos"/>
                <w:color w:val="222222"/>
                <w:sz w:val="15"/>
              </w:rPr>
              <w:t>WineBatch.daml</w:t>
            </w:r>
          </w:p>
        </w:tc>
      </w:tr>
      <w:tr w:rsidR="008168ED" w14:paraId="35C8C676" w14:textId="77777777">
        <w:trPr>
          <w:jc w:val="center"/>
        </w:trPr>
        <w:tc>
          <w:tcPr>
            <w:tcW w:w="1757"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02DB5D8C" w14:textId="77777777" w:rsidR="008168ED" w:rsidRDefault="00000000">
            <w:pPr>
              <w:spacing w:after="0" w:line="240" w:lineRule="auto"/>
            </w:pPr>
            <w:r>
              <w:rPr>
                <w:rFonts w:eastAsia="Aptos"/>
                <w:color w:val="222222"/>
                <w:sz w:val="15"/>
              </w:rPr>
              <w:t>Custody</w:t>
            </w:r>
          </w:p>
        </w:tc>
        <w:tc>
          <w:tcPr>
            <w:tcW w:w="4649"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34A07071" w14:textId="77777777" w:rsidR="008168ED" w:rsidRDefault="00000000">
            <w:pPr>
              <w:spacing w:after="0" w:line="240" w:lineRule="auto"/>
            </w:pPr>
            <w:r>
              <w:rPr>
                <w:rFonts w:eastAsia="Aptos"/>
                <w:color w:val="222222"/>
                <w:sz w:val="15"/>
              </w:rPr>
              <w:t>TransferCustody requires current-owner and new-owner authorisation; it blocks REJECTED and RECALLED states.</w:t>
            </w:r>
          </w:p>
        </w:tc>
        <w:tc>
          <w:tcPr>
            <w:tcW w:w="260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0A067BD1" w14:textId="77777777" w:rsidR="008168ED" w:rsidRDefault="00000000">
            <w:pPr>
              <w:spacing w:after="0" w:line="240" w:lineRule="auto"/>
            </w:pPr>
            <w:r>
              <w:rPr>
                <w:rFonts w:eastAsia="Aptos"/>
                <w:color w:val="222222"/>
                <w:sz w:val="15"/>
              </w:rPr>
              <w:t>WineBatch.daml</w:t>
            </w:r>
          </w:p>
        </w:tc>
      </w:tr>
      <w:tr w:rsidR="008168ED" w14:paraId="6F8FC7B7" w14:textId="77777777">
        <w:trPr>
          <w:jc w:val="center"/>
        </w:trPr>
        <w:tc>
          <w:tcPr>
            <w:tcW w:w="175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727265EB" w14:textId="77777777" w:rsidR="008168ED" w:rsidRDefault="00000000">
            <w:pPr>
              <w:spacing w:after="0" w:line="240" w:lineRule="auto"/>
            </w:pPr>
            <w:r>
              <w:rPr>
                <w:rFonts w:eastAsia="Aptos"/>
                <w:color w:val="222222"/>
                <w:sz w:val="15"/>
              </w:rPr>
              <w:t>Production</w:t>
            </w:r>
          </w:p>
        </w:tc>
        <w:tc>
          <w:tcPr>
            <w:tcW w:w="4649"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9BCEC65" w14:textId="77777777" w:rsidR="008168ED" w:rsidRDefault="00000000">
            <w:pPr>
              <w:spacing w:after="0" w:line="240" w:lineRule="auto"/>
            </w:pPr>
            <w:r>
              <w:rPr>
                <w:rFonts w:eastAsia="Aptos"/>
                <w:color w:val="222222"/>
                <w:sz w:val="15"/>
              </w:rPr>
              <w:t>Only the winery, while current owner and while the batch is PENDING, can record private notes.</w:t>
            </w:r>
          </w:p>
        </w:tc>
        <w:tc>
          <w:tcPr>
            <w:tcW w:w="260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4FC5BA7A" w14:textId="77777777" w:rsidR="008168ED" w:rsidRDefault="00000000">
            <w:pPr>
              <w:spacing w:after="0" w:line="240" w:lineRule="auto"/>
            </w:pPr>
            <w:r>
              <w:rPr>
                <w:rFonts w:eastAsia="Aptos"/>
                <w:color w:val="222222"/>
                <w:sz w:val="15"/>
              </w:rPr>
              <w:t>WineBatch.daml</w:t>
            </w:r>
          </w:p>
        </w:tc>
      </w:tr>
      <w:tr w:rsidR="008168ED" w14:paraId="2807C03E" w14:textId="77777777">
        <w:trPr>
          <w:jc w:val="center"/>
        </w:trPr>
        <w:tc>
          <w:tcPr>
            <w:tcW w:w="1757"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9ED98CF" w14:textId="77777777" w:rsidR="008168ED" w:rsidRDefault="00000000">
            <w:pPr>
              <w:spacing w:after="0" w:line="240" w:lineRule="auto"/>
            </w:pPr>
            <w:r>
              <w:rPr>
                <w:rFonts w:eastAsia="Aptos"/>
                <w:color w:val="222222"/>
                <w:sz w:val="15"/>
              </w:rPr>
              <w:t>Certification</w:t>
            </w:r>
          </w:p>
        </w:tc>
        <w:tc>
          <w:tcPr>
            <w:tcW w:w="4649"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B0C3B9B" w14:textId="77777777" w:rsidR="008168ED" w:rsidRDefault="00000000">
            <w:pPr>
              <w:spacing w:after="0" w:line="240" w:lineRule="auto"/>
            </w:pPr>
            <w:r>
              <w:rPr>
                <w:rFonts w:eastAsia="Aptos"/>
                <w:color w:val="222222"/>
                <w:sz w:val="15"/>
              </w:rPr>
              <w:t>IVDP issues certification only after a request; it stores the hash/reference and moves the batch to CERTIFIED.</w:t>
            </w:r>
          </w:p>
        </w:tc>
        <w:tc>
          <w:tcPr>
            <w:tcW w:w="260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0F576D46" w14:textId="77777777" w:rsidR="008168ED" w:rsidRDefault="00000000">
            <w:pPr>
              <w:spacing w:after="0" w:line="240" w:lineRule="auto"/>
            </w:pPr>
            <w:r>
              <w:rPr>
                <w:rFonts w:eastAsia="Aptos"/>
                <w:color w:val="222222"/>
                <w:sz w:val="15"/>
              </w:rPr>
              <w:t>WineBatch.daml</w:t>
            </w:r>
          </w:p>
        </w:tc>
      </w:tr>
      <w:tr w:rsidR="008168ED" w14:paraId="0ADFF682" w14:textId="77777777">
        <w:trPr>
          <w:jc w:val="center"/>
        </w:trPr>
        <w:tc>
          <w:tcPr>
            <w:tcW w:w="175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4C66CBA3" w14:textId="77777777" w:rsidR="008168ED" w:rsidRDefault="00000000">
            <w:pPr>
              <w:spacing w:after="0" w:line="240" w:lineRule="auto"/>
            </w:pPr>
            <w:r>
              <w:rPr>
                <w:rFonts w:eastAsia="Aptos"/>
                <w:color w:val="222222"/>
                <w:sz w:val="15"/>
              </w:rPr>
              <w:t>Rejection and recall</w:t>
            </w:r>
          </w:p>
        </w:tc>
        <w:tc>
          <w:tcPr>
            <w:tcW w:w="4649"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E9F0023" w14:textId="77777777" w:rsidR="008168ED" w:rsidRDefault="00000000">
            <w:pPr>
              <w:spacing w:after="0" w:line="240" w:lineRule="auto"/>
            </w:pPr>
            <w:r>
              <w:rPr>
                <w:rFonts w:eastAsia="Aptos"/>
                <w:color w:val="222222"/>
                <w:sz w:val="15"/>
              </w:rPr>
              <w:t>IVDP may reject while PENDING or recall while CERTIFIED.</w:t>
            </w:r>
          </w:p>
        </w:tc>
        <w:tc>
          <w:tcPr>
            <w:tcW w:w="260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54D502F9" w14:textId="77777777" w:rsidR="008168ED" w:rsidRDefault="00000000">
            <w:pPr>
              <w:spacing w:after="0" w:line="240" w:lineRule="auto"/>
            </w:pPr>
            <w:r>
              <w:rPr>
                <w:rFonts w:eastAsia="Aptos"/>
                <w:color w:val="222222"/>
                <w:sz w:val="15"/>
              </w:rPr>
              <w:t>WineBatch.daml</w:t>
            </w:r>
          </w:p>
        </w:tc>
      </w:tr>
      <w:tr w:rsidR="008168ED" w14:paraId="3024B369" w14:textId="77777777">
        <w:trPr>
          <w:jc w:val="center"/>
        </w:trPr>
        <w:tc>
          <w:tcPr>
            <w:tcW w:w="1757"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4D0089DB" w14:textId="77777777" w:rsidR="008168ED" w:rsidRDefault="00000000">
            <w:pPr>
              <w:spacing w:after="0" w:line="240" w:lineRule="auto"/>
            </w:pPr>
            <w:r>
              <w:rPr>
                <w:rFonts w:eastAsia="Aptos"/>
                <w:color w:val="222222"/>
                <w:sz w:val="15"/>
              </w:rPr>
              <w:t>Public view</w:t>
            </w:r>
          </w:p>
        </w:tc>
        <w:tc>
          <w:tcPr>
            <w:tcW w:w="4649"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8B56BFB" w14:textId="77777777" w:rsidR="008168ED" w:rsidRDefault="00000000">
            <w:pPr>
              <w:spacing w:after="0" w:line="240" w:lineRule="auto"/>
            </w:pPr>
            <w:r>
              <w:rPr>
                <w:rFonts w:eastAsia="Aptos"/>
                <w:color w:val="222222"/>
                <w:sz w:val="15"/>
              </w:rPr>
              <w:t>Publication creates PublicProvenance; VerifyProvenance fails for an unmatched QR.</w:t>
            </w:r>
          </w:p>
        </w:tc>
        <w:tc>
          <w:tcPr>
            <w:tcW w:w="260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52FC325B" w14:textId="77777777" w:rsidR="008168ED" w:rsidRDefault="00000000">
            <w:pPr>
              <w:spacing w:after="0" w:line="240" w:lineRule="auto"/>
            </w:pPr>
            <w:r>
              <w:rPr>
                <w:rFonts w:eastAsia="Aptos"/>
                <w:color w:val="222222"/>
                <w:sz w:val="15"/>
              </w:rPr>
              <w:t>PublicProvenance.daml</w:t>
            </w:r>
          </w:p>
        </w:tc>
      </w:tr>
    </w:tbl>
    <w:p w14:paraId="0B03A1A2" w14:textId="77777777" w:rsidR="008168ED" w:rsidRDefault="008168ED">
      <w:pPr>
        <w:spacing w:after="0"/>
      </w:pPr>
    </w:p>
    <w:p w14:paraId="255C7934" w14:textId="77777777" w:rsidR="008168ED" w:rsidRDefault="00000000">
      <w:pPr>
        <w:spacing w:before="40" w:after="120" w:line="240" w:lineRule="auto"/>
        <w:jc w:val="center"/>
      </w:pPr>
      <w:r>
        <w:rPr>
          <w:rFonts w:eastAsia="Aptos"/>
          <w:i/>
          <w:color w:val="666666"/>
          <w:sz w:val="17"/>
        </w:rPr>
        <w:t>Table 3. Mapping functional requirements to DAML contracts.</w:t>
      </w:r>
    </w:p>
    <w:p w14:paraId="67A27FF4" w14:textId="77777777" w:rsidR="008168ED" w:rsidRDefault="00000000">
      <w:pPr>
        <w:spacing w:before="100" w:after="40" w:line="240" w:lineRule="auto"/>
      </w:pPr>
      <w:r>
        <w:rPr>
          <w:rFonts w:eastAsia="Aptos"/>
          <w:b/>
          <w:color w:val="5B0D1C"/>
          <w:sz w:val="21"/>
        </w:rPr>
        <w:t>Critical custody-transfer rule</w:t>
      </w:r>
    </w:p>
    <w:tbl>
      <w:tblPr>
        <w:tblW w:w="0" w:type="auto"/>
        <w:jc w:val="center"/>
        <w:tblLook w:val="04A0" w:firstRow="1" w:lastRow="0" w:firstColumn="1" w:lastColumn="0" w:noHBand="0" w:noVBand="1"/>
      </w:tblPr>
      <w:tblGrid>
        <w:gridCol w:w="10200"/>
      </w:tblGrid>
      <w:tr w:rsidR="008168ED" w14:paraId="6AE5054F" w14:textId="77777777">
        <w:trPr>
          <w:jc w:val="center"/>
        </w:trPr>
        <w:tc>
          <w:tcPr>
            <w:tcW w:w="10200" w:type="dxa"/>
            <w:tcBorders>
              <w:top w:val="single" w:sz="6" w:space="0" w:color="1E252B"/>
              <w:left w:val="single" w:sz="6" w:space="0" w:color="1E252B"/>
              <w:bottom w:val="single" w:sz="6" w:space="0" w:color="1E252B"/>
              <w:right w:val="single" w:sz="6" w:space="0" w:color="1E252B"/>
            </w:tcBorders>
            <w:shd w:val="clear" w:color="auto" w:fill="1E252B"/>
            <w:tcMar>
              <w:top w:w="150" w:type="dxa"/>
              <w:left w:w="160" w:type="dxa"/>
              <w:bottom w:w="150" w:type="dxa"/>
              <w:right w:w="160" w:type="dxa"/>
            </w:tcMar>
          </w:tcPr>
          <w:p w14:paraId="60139918" w14:textId="77777777" w:rsidR="008168ED" w:rsidRDefault="00000000">
            <w:pPr>
              <w:spacing w:after="0" w:line="228" w:lineRule="auto"/>
            </w:pPr>
            <w:r>
              <w:rPr>
                <w:rFonts w:ascii="Courier New" w:eastAsia="Courier New" w:hAnsi="Courier New"/>
                <w:color w:val="E8EEF2"/>
                <w:sz w:val="14"/>
              </w:rPr>
              <w:t>assertMsg errBatchRecalled (status /= Recalled)</w:t>
            </w:r>
            <w:r>
              <w:rPr>
                <w:rFonts w:ascii="Courier New" w:eastAsia="Courier New" w:hAnsi="Courier New"/>
                <w:color w:val="E8EEF2"/>
                <w:sz w:val="14"/>
              </w:rPr>
              <w:br/>
              <w:t>assertMsg "ERR_BATCH_REJECTED: rejected batches cannot be transferred." (status /= Rejected)</w:t>
            </w:r>
            <w:r>
              <w:rPr>
                <w:rFonts w:ascii="Courier New" w:eastAsia="Courier New" w:hAnsi="Courier New"/>
                <w:color w:val="E8EEF2"/>
                <w:sz w:val="14"/>
              </w:rPr>
              <w:br/>
              <w:t>assertMsg "ERR_TRANSFER_NOT_ALLOWED: pending batches may only move from Quinta to Sandeman."</w:t>
            </w:r>
            <w:r>
              <w:rPr>
                <w:rFonts w:ascii="Courier New" w:eastAsia="Courier New" w:hAnsi="Courier New"/>
                <w:color w:val="E8EEF2"/>
                <w:sz w:val="14"/>
              </w:rPr>
              <w:br/>
              <w:t xml:space="preserve">  (status == Certified || (status == Pending &amp;&amp; currentOwner == producer &amp;&amp; newOwner == winery))</w:t>
            </w:r>
          </w:p>
        </w:tc>
      </w:tr>
    </w:tbl>
    <w:p w14:paraId="6F098E80" w14:textId="77777777" w:rsidR="008168ED" w:rsidRDefault="008168ED">
      <w:pPr>
        <w:spacing w:after="0"/>
      </w:pPr>
    </w:p>
    <w:p w14:paraId="5CACA66E" w14:textId="77777777" w:rsidR="008168ED" w:rsidRDefault="00000000">
      <w:pPr>
        <w:keepLines/>
        <w:spacing w:after="80"/>
      </w:pPr>
      <w:r>
        <w:rPr>
          <w:rFonts w:eastAsia="Aptos"/>
          <w:color w:val="222222"/>
        </w:rPr>
        <w:t>The rule means that a PENDING batch may move only from Quinta to Sandeman. After certification, further transfers are permitted under bilateral authorisation. A RECALLED batch raises ERR_BATCH_RECALLED and is explicitly covered by the tests.</w:t>
      </w:r>
    </w:p>
    <w:p w14:paraId="6679B362" w14:textId="77777777" w:rsidR="008168ED" w:rsidRDefault="00000000">
      <w:pPr>
        <w:pStyle w:val="Heading1"/>
        <w:pBdr>
          <w:bottom w:val="single" w:sz="10" w:space="1" w:color="C6A15B"/>
        </w:pBdr>
        <w:spacing w:before="200" w:after="80" w:line="240" w:lineRule="auto"/>
      </w:pPr>
      <w:r>
        <w:rPr>
          <w:rFonts w:ascii="Aptos" w:eastAsia="Aptos" w:hAnsi="Aptos"/>
        </w:rPr>
        <w:t>5 Consensus, finality, and Canton infrastructure</w:t>
      </w:r>
    </w:p>
    <w:p w14:paraId="65E3A63E" w14:textId="77777777" w:rsidR="008168ED" w:rsidRDefault="00000000">
      <w:pPr>
        <w:keepLines/>
      </w:pPr>
      <w:r>
        <w:rPr>
          <w:rFonts w:eastAsia="Aptos"/>
          <w:color w:val="222222"/>
        </w:rPr>
        <w:t>PoW and PoS were designed primarily for public settings and introduce competition or economic participation mechanisms that are not needed in a regulated consortium. PoA, PBFT/IBFT, and BFT/CFT variants are more suitable for known organisations because they provide stronger predictability, low energy use, and enterprise-oriented finality. In this design, DAML governs who may modify a contract, while Canton infrastructure manages ordered, confidential message exchange and confirmation coordination between participants. A Synchronizer provides sequencing and mediation in the commit protocol [5].</w:t>
      </w:r>
    </w:p>
    <w:tbl>
      <w:tblPr>
        <w:tblStyle w:val="TableGrid"/>
        <w:tblW w:w="0" w:type="auto"/>
        <w:jc w:val="center"/>
        <w:tblLayout w:type="fixed"/>
        <w:tblLook w:val="04A0" w:firstRow="1" w:lastRow="0" w:firstColumn="1" w:lastColumn="0" w:noHBand="0" w:noVBand="1"/>
      </w:tblPr>
      <w:tblGrid>
        <w:gridCol w:w="1871"/>
        <w:gridCol w:w="2948"/>
        <w:gridCol w:w="1814"/>
        <w:gridCol w:w="2381"/>
      </w:tblGrid>
      <w:tr w:rsidR="008168ED" w14:paraId="7927B764" w14:textId="77777777">
        <w:trPr>
          <w:tblHeader/>
          <w:jc w:val="center"/>
        </w:trPr>
        <w:tc>
          <w:tcPr>
            <w:tcW w:w="1871"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696D8B16" w14:textId="77777777" w:rsidR="008168ED" w:rsidRDefault="00000000">
            <w:pPr>
              <w:spacing w:after="0" w:line="240" w:lineRule="auto"/>
              <w:jc w:val="center"/>
            </w:pPr>
            <w:r>
              <w:rPr>
                <w:rFonts w:eastAsia="Aptos"/>
                <w:b/>
                <w:color w:val="FFFFFF"/>
                <w:sz w:val="16"/>
              </w:rPr>
              <w:t>Mechanism</w:t>
            </w:r>
          </w:p>
        </w:tc>
        <w:tc>
          <w:tcPr>
            <w:tcW w:w="2948"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2A7DC0C8" w14:textId="77777777" w:rsidR="008168ED" w:rsidRDefault="00000000">
            <w:pPr>
              <w:spacing w:after="0" w:line="240" w:lineRule="auto"/>
              <w:jc w:val="center"/>
            </w:pPr>
            <w:r>
              <w:rPr>
                <w:rFonts w:eastAsia="Aptos"/>
                <w:b/>
                <w:color w:val="FFFFFF"/>
                <w:sz w:val="16"/>
              </w:rPr>
              <w:t>Fit for the consortium</w:t>
            </w:r>
          </w:p>
        </w:tc>
        <w:tc>
          <w:tcPr>
            <w:tcW w:w="1814"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355980D0" w14:textId="77777777" w:rsidR="008168ED" w:rsidRDefault="00000000">
            <w:pPr>
              <w:spacing w:after="0" w:line="240" w:lineRule="auto"/>
              <w:jc w:val="center"/>
            </w:pPr>
            <w:r>
              <w:rPr>
                <w:rFonts w:eastAsia="Aptos"/>
                <w:b/>
                <w:color w:val="FFFFFF"/>
                <w:sz w:val="16"/>
              </w:rPr>
              <w:t>Finality</w:t>
            </w:r>
          </w:p>
        </w:tc>
        <w:tc>
          <w:tcPr>
            <w:tcW w:w="2381"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45AF8254" w14:textId="77777777" w:rsidR="008168ED" w:rsidRDefault="00000000">
            <w:pPr>
              <w:spacing w:after="0" w:line="240" w:lineRule="auto"/>
              <w:jc w:val="center"/>
            </w:pPr>
            <w:r>
              <w:rPr>
                <w:rFonts w:eastAsia="Aptos"/>
                <w:b/>
                <w:color w:val="FFFFFF"/>
                <w:sz w:val="16"/>
              </w:rPr>
              <w:t>Decision</w:t>
            </w:r>
          </w:p>
        </w:tc>
      </w:tr>
      <w:tr w:rsidR="008168ED" w14:paraId="428AF8F9" w14:textId="77777777">
        <w:trPr>
          <w:jc w:val="center"/>
        </w:trPr>
        <w:tc>
          <w:tcPr>
            <w:tcW w:w="1871"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03B3603B" w14:textId="77777777" w:rsidR="008168ED" w:rsidRDefault="00000000">
            <w:pPr>
              <w:spacing w:after="0" w:line="240" w:lineRule="auto"/>
            </w:pPr>
            <w:r>
              <w:rPr>
                <w:rFonts w:eastAsia="Aptos"/>
                <w:color w:val="222222"/>
                <w:sz w:val="15"/>
              </w:rPr>
              <w:t>PoW</w:t>
            </w:r>
          </w:p>
        </w:tc>
        <w:tc>
          <w:tcPr>
            <w:tcW w:w="294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37F764D" w14:textId="77777777" w:rsidR="008168ED" w:rsidRDefault="00000000">
            <w:pPr>
              <w:spacing w:after="0" w:line="240" w:lineRule="auto"/>
            </w:pPr>
            <w:r>
              <w:rPr>
                <w:rFonts w:eastAsia="Aptos"/>
                <w:color w:val="222222"/>
                <w:sz w:val="15"/>
              </w:rPr>
              <w:t>Low; public network and high energy use</w:t>
            </w:r>
          </w:p>
        </w:tc>
        <w:tc>
          <w:tcPr>
            <w:tcW w:w="181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BEA2AA9" w14:textId="77777777" w:rsidR="008168ED" w:rsidRDefault="00000000">
            <w:pPr>
              <w:spacing w:after="0" w:line="240" w:lineRule="auto"/>
            </w:pPr>
            <w:r>
              <w:rPr>
                <w:rFonts w:eastAsia="Aptos"/>
                <w:color w:val="222222"/>
                <w:sz w:val="15"/>
              </w:rPr>
              <w:t>Probabilistic</w:t>
            </w:r>
          </w:p>
        </w:tc>
        <w:tc>
          <w:tcPr>
            <w:tcW w:w="2381"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01736233" w14:textId="77777777" w:rsidR="008168ED" w:rsidRDefault="00000000">
            <w:pPr>
              <w:spacing w:after="0" w:line="240" w:lineRule="auto"/>
            </w:pPr>
            <w:r>
              <w:rPr>
                <w:rFonts w:eastAsia="Aptos"/>
                <w:color w:val="222222"/>
                <w:sz w:val="15"/>
              </w:rPr>
              <w:t>Not selected</w:t>
            </w:r>
          </w:p>
        </w:tc>
      </w:tr>
      <w:tr w:rsidR="008168ED" w14:paraId="0526F942" w14:textId="77777777">
        <w:trPr>
          <w:jc w:val="center"/>
        </w:trPr>
        <w:tc>
          <w:tcPr>
            <w:tcW w:w="1871"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687E3602" w14:textId="77777777" w:rsidR="008168ED" w:rsidRDefault="00000000">
            <w:pPr>
              <w:spacing w:after="0" w:line="240" w:lineRule="auto"/>
            </w:pPr>
            <w:r>
              <w:rPr>
                <w:rFonts w:eastAsia="Aptos"/>
                <w:color w:val="222222"/>
                <w:sz w:val="15"/>
              </w:rPr>
              <w:t>PoS</w:t>
            </w:r>
          </w:p>
        </w:tc>
        <w:tc>
          <w:tcPr>
            <w:tcW w:w="294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4CEACFF4" w14:textId="77777777" w:rsidR="008168ED" w:rsidRDefault="00000000">
            <w:pPr>
              <w:spacing w:after="0" w:line="240" w:lineRule="auto"/>
            </w:pPr>
            <w:r>
              <w:rPr>
                <w:rFonts w:eastAsia="Aptos"/>
                <w:color w:val="222222"/>
                <w:sz w:val="15"/>
              </w:rPr>
              <w:t>Limited; relies on cryptoeconomic incentives</w:t>
            </w:r>
          </w:p>
        </w:tc>
        <w:tc>
          <w:tcPr>
            <w:tcW w:w="1814"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6738ACB0" w14:textId="77777777" w:rsidR="008168ED" w:rsidRDefault="00000000">
            <w:pPr>
              <w:spacing w:after="0" w:line="240" w:lineRule="auto"/>
            </w:pPr>
            <w:r>
              <w:rPr>
                <w:rFonts w:eastAsia="Aptos"/>
                <w:color w:val="222222"/>
                <w:sz w:val="15"/>
              </w:rPr>
              <w:t>Protocol-dependent</w:t>
            </w:r>
          </w:p>
        </w:tc>
        <w:tc>
          <w:tcPr>
            <w:tcW w:w="2381"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0445CF1B" w14:textId="77777777" w:rsidR="008168ED" w:rsidRDefault="00000000">
            <w:pPr>
              <w:spacing w:after="0" w:line="240" w:lineRule="auto"/>
            </w:pPr>
            <w:r>
              <w:rPr>
                <w:rFonts w:eastAsia="Aptos"/>
                <w:color w:val="222222"/>
                <w:sz w:val="15"/>
              </w:rPr>
              <w:t>Not selected</w:t>
            </w:r>
          </w:p>
        </w:tc>
      </w:tr>
      <w:tr w:rsidR="008168ED" w14:paraId="401C2CE3" w14:textId="77777777">
        <w:trPr>
          <w:jc w:val="center"/>
        </w:trPr>
        <w:tc>
          <w:tcPr>
            <w:tcW w:w="1871"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4335002A" w14:textId="77777777" w:rsidR="008168ED" w:rsidRDefault="00000000">
            <w:pPr>
              <w:spacing w:after="0" w:line="240" w:lineRule="auto"/>
            </w:pPr>
            <w:r>
              <w:rPr>
                <w:rFonts w:eastAsia="Aptos"/>
                <w:color w:val="222222"/>
                <w:sz w:val="15"/>
              </w:rPr>
              <w:t>PoA / PBFT / IBFT</w:t>
            </w:r>
          </w:p>
        </w:tc>
        <w:tc>
          <w:tcPr>
            <w:tcW w:w="294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63542505" w14:textId="77777777" w:rsidR="008168ED" w:rsidRDefault="00000000">
            <w:pPr>
              <w:spacing w:after="0" w:line="240" w:lineRule="auto"/>
            </w:pPr>
            <w:r>
              <w:rPr>
                <w:rFonts w:eastAsia="Aptos"/>
                <w:color w:val="222222"/>
                <w:sz w:val="15"/>
              </w:rPr>
              <w:t>High; identified validators</w:t>
            </w:r>
          </w:p>
        </w:tc>
        <w:tc>
          <w:tcPr>
            <w:tcW w:w="181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E1D21E2" w14:textId="77777777" w:rsidR="008168ED" w:rsidRDefault="00000000">
            <w:pPr>
              <w:spacing w:after="0" w:line="240" w:lineRule="auto"/>
            </w:pPr>
            <w:r>
              <w:rPr>
                <w:rFonts w:eastAsia="Aptos"/>
                <w:color w:val="222222"/>
                <w:sz w:val="15"/>
              </w:rPr>
              <w:t>Practical / deterministic</w:t>
            </w:r>
          </w:p>
        </w:tc>
        <w:tc>
          <w:tcPr>
            <w:tcW w:w="2381"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EA9B89D" w14:textId="77777777" w:rsidR="008168ED" w:rsidRDefault="00000000">
            <w:pPr>
              <w:spacing w:after="0" w:line="240" w:lineRule="auto"/>
            </w:pPr>
            <w:r>
              <w:rPr>
                <w:rFonts w:eastAsia="Aptos"/>
                <w:color w:val="222222"/>
                <w:sz w:val="15"/>
              </w:rPr>
              <w:t>Suitable for permissioned networks</w:t>
            </w:r>
          </w:p>
        </w:tc>
      </w:tr>
      <w:tr w:rsidR="008168ED" w14:paraId="39974B6D" w14:textId="77777777">
        <w:trPr>
          <w:jc w:val="center"/>
        </w:trPr>
        <w:tc>
          <w:tcPr>
            <w:tcW w:w="1871"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13F2CFBE" w14:textId="77777777" w:rsidR="008168ED" w:rsidRDefault="00000000">
            <w:pPr>
              <w:spacing w:after="0" w:line="240" w:lineRule="auto"/>
            </w:pPr>
            <w:r>
              <w:rPr>
                <w:rFonts w:eastAsia="Aptos"/>
                <w:color w:val="222222"/>
                <w:sz w:val="15"/>
              </w:rPr>
              <w:t>Canton Domain / Synchronizer</w:t>
            </w:r>
          </w:p>
        </w:tc>
        <w:tc>
          <w:tcPr>
            <w:tcW w:w="294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6518663E" w14:textId="77777777" w:rsidR="008168ED" w:rsidRDefault="00000000">
            <w:pPr>
              <w:spacing w:after="0" w:line="240" w:lineRule="auto"/>
            </w:pPr>
            <w:r>
              <w:rPr>
                <w:rFonts w:eastAsia="Aptos"/>
                <w:color w:val="222222"/>
                <w:sz w:val="15"/>
              </w:rPr>
              <w:t>High; known participants and need-to-know privacy</w:t>
            </w:r>
          </w:p>
        </w:tc>
        <w:tc>
          <w:tcPr>
            <w:tcW w:w="1814"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4173788" w14:textId="77777777" w:rsidR="008168ED" w:rsidRDefault="00000000">
            <w:pPr>
              <w:spacing w:after="0" w:line="240" w:lineRule="auto"/>
            </w:pPr>
            <w:r>
              <w:rPr>
                <w:rFonts w:eastAsia="Aptos"/>
                <w:color w:val="222222"/>
                <w:sz w:val="15"/>
              </w:rPr>
              <w:t>Coordinated, consistent result</w:t>
            </w:r>
          </w:p>
        </w:tc>
        <w:tc>
          <w:tcPr>
            <w:tcW w:w="2381"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39BA4289" w14:textId="77777777" w:rsidR="008168ED" w:rsidRDefault="00000000">
            <w:pPr>
              <w:spacing w:after="0" w:line="240" w:lineRule="auto"/>
            </w:pPr>
            <w:r>
              <w:rPr>
                <w:rFonts w:eastAsia="Aptos"/>
                <w:color w:val="222222"/>
                <w:sz w:val="15"/>
              </w:rPr>
              <w:t>Selected platform layer</w:t>
            </w:r>
          </w:p>
        </w:tc>
      </w:tr>
    </w:tbl>
    <w:p w14:paraId="7C355D46" w14:textId="77777777" w:rsidR="008168ED" w:rsidRDefault="008168ED">
      <w:pPr>
        <w:spacing w:after="0"/>
      </w:pPr>
    </w:p>
    <w:p w14:paraId="26484DFA" w14:textId="77777777" w:rsidR="008168ED" w:rsidRDefault="00000000">
      <w:pPr>
        <w:spacing w:before="40" w:after="120" w:line="240" w:lineRule="auto"/>
        <w:jc w:val="center"/>
      </w:pPr>
      <w:r>
        <w:rPr>
          <w:rFonts w:eastAsia="Aptos"/>
          <w:i/>
          <w:color w:val="666666"/>
          <w:sz w:val="17"/>
        </w:rPr>
        <w:t>Table 4. Conceptual justification for the consensus choice.</w:t>
      </w:r>
    </w:p>
    <w:p w14:paraId="3EE439ED" w14:textId="77777777" w:rsidR="008168ED" w:rsidRDefault="00000000">
      <w:pPr>
        <w:pStyle w:val="Heading2"/>
        <w:spacing w:before="140" w:after="80" w:line="240" w:lineRule="auto"/>
      </w:pPr>
      <w:r>
        <w:rPr>
          <w:rFonts w:ascii="Aptos" w:eastAsia="Aptos" w:hAnsi="Aptos"/>
        </w:rPr>
        <w:t>Custody transfer: finality sequence</w:t>
      </w:r>
    </w:p>
    <w:p w14:paraId="548F0539" w14:textId="77777777" w:rsidR="008168ED" w:rsidRDefault="00000000">
      <w:pPr>
        <w:pStyle w:val="ListBullet"/>
        <w:spacing w:after="40" w:line="247" w:lineRule="auto"/>
        <w:ind w:left="198" w:hanging="142"/>
      </w:pPr>
      <w:r>
        <w:rPr>
          <w:rFonts w:eastAsia="Aptos"/>
          <w:color w:val="222222"/>
        </w:rPr>
        <w:t>The current owner and new owner authorise TransferCustody; DAML checks the controllers, current state, and business rules.</w:t>
      </w:r>
    </w:p>
    <w:p w14:paraId="0DC84A88" w14:textId="77777777" w:rsidR="008168ED" w:rsidRDefault="00000000">
      <w:pPr>
        <w:pStyle w:val="ListBullet"/>
        <w:spacing w:after="40" w:line="247" w:lineRule="auto"/>
        <w:ind w:left="198" w:hanging="142"/>
      </w:pPr>
      <w:r>
        <w:rPr>
          <w:rFonts w:eastAsia="Aptos"/>
          <w:color w:val="222222"/>
        </w:rPr>
        <w:t>The participant prepares the transaction and discloses only the necessary views to the relevant participants.</w:t>
      </w:r>
    </w:p>
    <w:p w14:paraId="57DFE952" w14:textId="77777777" w:rsidR="008168ED" w:rsidRDefault="00000000">
      <w:pPr>
        <w:pStyle w:val="ListBullet"/>
        <w:spacing w:after="40" w:line="247" w:lineRule="auto"/>
        <w:ind w:left="198" w:hanging="142"/>
      </w:pPr>
      <w:r>
        <w:rPr>
          <w:rFonts w:eastAsia="Aptos"/>
          <w:color w:val="222222"/>
        </w:rPr>
        <w:t>The Canton Domain / Synchronizer orders messages and participates in confirmation coordination between relevant participants.</w:t>
      </w:r>
    </w:p>
    <w:p w14:paraId="4406C52E" w14:textId="77777777" w:rsidR="008168ED" w:rsidRDefault="00000000">
      <w:pPr>
        <w:pStyle w:val="ListBullet"/>
        <w:spacing w:after="40" w:line="247" w:lineRule="auto"/>
        <w:ind w:left="198" w:hanging="142"/>
      </w:pPr>
      <w:r>
        <w:rPr>
          <w:rFonts w:eastAsia="Aptos"/>
          <w:color w:val="222222"/>
        </w:rPr>
        <w:t>Only after confirmation is the transaction treated as final; the former contract is consumed and the new state is created with an updated owner.</w:t>
      </w:r>
    </w:p>
    <w:p w14:paraId="52C7601C" w14:textId="77777777" w:rsidR="008168ED" w:rsidRDefault="00000000">
      <w:pPr>
        <w:pStyle w:val="ListBullet"/>
        <w:spacing w:after="40" w:line="247" w:lineRule="auto"/>
        <w:ind w:left="198" w:hanging="142"/>
      </w:pPr>
      <w:r>
        <w:rPr>
          <w:rFonts w:eastAsia="Aptos"/>
          <w:color w:val="222222"/>
        </w:rPr>
        <w:t>If consensus infrastructure is unavailable, the client must not treat the transfer as complete. Retrying must use appropriate identification/idempotency protection to avoid duplicate events.</w:t>
      </w:r>
    </w:p>
    <w:p w14:paraId="45BEE950" w14:textId="77777777" w:rsidR="008168ED" w:rsidRDefault="00000000">
      <w:pPr>
        <w:pStyle w:val="Heading2"/>
        <w:spacing w:before="140" w:after="80" w:line="240" w:lineRule="auto"/>
      </w:pPr>
      <w:r>
        <w:rPr>
          <w:rFonts w:ascii="Aptos" w:eastAsia="Aptos" w:hAnsi="Aptos"/>
        </w:rPr>
        <w:t>Configuration and current evidence status</w:t>
      </w:r>
    </w:p>
    <w:p w14:paraId="4809856B" w14:textId="77777777" w:rsidR="008168ED" w:rsidRDefault="00000000">
      <w:pPr>
        <w:keepLines/>
      </w:pPr>
      <w:r>
        <w:rPr>
          <w:rFonts w:eastAsia="Aptos"/>
          <w:color w:val="222222"/>
        </w:rPr>
        <w:t>The repository contains canton/canton.conf and canton/bootstrap.canton as development templates, together with run-canton-local.sh. The configuration is deliberately documented as version-dependent because terminology and configuration keys may vary between Domain and Synchronizer releases. The latest evidence identifies Canton v3.5.6 through the command help output, but it does not include a transaction executed against a standalone participant launched with canton/canton.conf.</w:t>
      </w:r>
    </w:p>
    <w:tbl>
      <w:tblPr>
        <w:tblW w:w="0" w:type="auto"/>
        <w:jc w:val="center"/>
        <w:tblLook w:val="04A0" w:firstRow="1" w:lastRow="0" w:firstColumn="1" w:lastColumn="0" w:noHBand="0" w:noVBand="1"/>
      </w:tblPr>
      <w:tblGrid>
        <w:gridCol w:w="10200"/>
      </w:tblGrid>
      <w:tr w:rsidR="008168ED" w14:paraId="0F07E85D" w14:textId="77777777">
        <w:trPr>
          <w:jc w:val="center"/>
        </w:trPr>
        <w:tc>
          <w:tcPr>
            <w:tcW w:w="10200" w:type="dxa"/>
            <w:tcBorders>
              <w:top w:val="single" w:sz="7" w:space="0" w:color="C6A15B"/>
              <w:left w:val="single" w:sz="7" w:space="0" w:color="C6A15B"/>
              <w:bottom w:val="single" w:sz="7" w:space="0" w:color="C6A15B"/>
              <w:right w:val="single" w:sz="7" w:space="0" w:color="C6A15B"/>
            </w:tcBorders>
            <w:shd w:val="clear" w:color="auto" w:fill="FFF4E5"/>
            <w:tcMar>
              <w:top w:w="125" w:type="dxa"/>
              <w:left w:w="150" w:type="dxa"/>
              <w:bottom w:w="120" w:type="dxa"/>
              <w:right w:w="150" w:type="dxa"/>
            </w:tcMar>
          </w:tcPr>
          <w:p w14:paraId="30502E2B" w14:textId="77777777" w:rsidR="008168ED" w:rsidRDefault="00000000">
            <w:pPr>
              <w:spacing w:after="40" w:line="250" w:lineRule="auto"/>
            </w:pPr>
            <w:r>
              <w:rPr>
                <w:rFonts w:eastAsia="Aptos"/>
                <w:b/>
                <w:color w:val="9C1C1C"/>
                <w:sz w:val="19"/>
              </w:rPr>
              <w:t xml:space="preserve">Important distinction for the defense. </w:t>
            </w:r>
            <w:r>
              <w:rPr>
                <w:rFonts w:eastAsia="Aptos"/>
                <w:color w:val="222222"/>
                <w:sz w:val="19"/>
              </w:rPr>
              <w:t>The Daml Script scenarios prove the contract model and business rules on an IDE ledger. To satisfy the consensus requirement fully, a real Canton Domain / Synchronizer must be started, a participant connected, and at least one registration or TransferCustody transaction executed and retained with its timestamp, transaction/event identifier, and final status.</w:t>
            </w:r>
          </w:p>
        </w:tc>
      </w:tr>
    </w:tbl>
    <w:p w14:paraId="3D69E8DD" w14:textId="77777777" w:rsidR="008168ED" w:rsidRDefault="008168ED">
      <w:pPr>
        <w:spacing w:after="0"/>
      </w:pPr>
    </w:p>
    <w:p w14:paraId="23173F27" w14:textId="77777777" w:rsidR="008168ED" w:rsidRDefault="00000000">
      <w:pPr>
        <w:pStyle w:val="Heading1"/>
        <w:pBdr>
          <w:bottom w:val="single" w:sz="10" w:space="1" w:color="C6A15B"/>
        </w:pBdr>
        <w:spacing w:before="200" w:after="80" w:line="240" w:lineRule="auto"/>
      </w:pPr>
      <w:r>
        <w:rPr>
          <w:rFonts w:ascii="Aptos" w:eastAsia="Aptos" w:hAnsi="Aptos"/>
        </w:rPr>
        <w:lastRenderedPageBreak/>
        <w:t>6 Tests, results, and evidence</w:t>
      </w:r>
    </w:p>
    <w:p w14:paraId="4DDE7EFA" w14:textId="77777777" w:rsidR="008168ED" w:rsidRDefault="00000000">
      <w:pPr>
        <w:pStyle w:val="Heading2"/>
        <w:spacing w:before="140" w:after="80" w:line="240" w:lineRule="auto"/>
      </w:pPr>
      <w:r>
        <w:rPr>
          <w:rFonts w:ascii="Aptos" w:eastAsia="Aptos" w:hAnsi="Aptos"/>
        </w:rPr>
        <w:t>End-to-end scenario</w:t>
      </w:r>
    </w:p>
    <w:p w14:paraId="6BBA256B" w14:textId="77777777" w:rsidR="008168ED" w:rsidRDefault="00000000">
      <w:pPr>
        <w:keepLines/>
      </w:pPr>
      <w:r>
        <w:rPr>
          <w:rFonts w:eastAsia="Aptos"/>
          <w:color w:val="222222"/>
        </w:rPr>
        <w:t>WineTraceability.Test:endToEnd executes the eight required steps for PW-2026-0042: (1) Quinta creates the batch; (2) custody transfers to Sandeman; (3) Sandeman records production as “Fermentacao 18 dias, envelhecimento 18 meses”; (4) Sandeman requests certification; (5) IVDP issues it; (6) custody transfers to LogisTrans with a 14-16 C condition and a CSV reference; (7) custody transfers to ViniShop Oslo; and (8) ViniShop publishes and the consumer verifies QR-NFC-88421. The test confirms CERTIFIED state and confirms that the consumer sees neither the private WineBatch nor the fermentation note.</w:t>
      </w:r>
    </w:p>
    <w:tbl>
      <w:tblPr>
        <w:tblStyle w:val="TableGrid"/>
        <w:tblW w:w="0" w:type="auto"/>
        <w:jc w:val="center"/>
        <w:tblLayout w:type="fixed"/>
        <w:tblLook w:val="04A0" w:firstRow="1" w:lastRow="0" w:firstColumn="1" w:lastColumn="0" w:noHBand="0" w:noVBand="1"/>
      </w:tblPr>
      <w:tblGrid>
        <w:gridCol w:w="1927"/>
        <w:gridCol w:w="5386"/>
        <w:gridCol w:w="1701"/>
      </w:tblGrid>
      <w:tr w:rsidR="008168ED" w14:paraId="7C0AF340" w14:textId="77777777">
        <w:trPr>
          <w:tblHeader/>
          <w:jc w:val="center"/>
        </w:trPr>
        <w:tc>
          <w:tcPr>
            <w:tcW w:w="1927"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5F3A6996" w14:textId="77777777" w:rsidR="008168ED" w:rsidRDefault="00000000">
            <w:pPr>
              <w:spacing w:after="0" w:line="240" w:lineRule="auto"/>
              <w:jc w:val="center"/>
            </w:pPr>
            <w:r>
              <w:rPr>
                <w:rFonts w:eastAsia="Aptos"/>
                <w:b/>
                <w:color w:val="FFFFFF"/>
                <w:sz w:val="17"/>
              </w:rPr>
              <w:t>Script</w:t>
            </w:r>
          </w:p>
        </w:tc>
        <w:tc>
          <w:tcPr>
            <w:tcW w:w="5386"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5EF19919" w14:textId="77777777" w:rsidR="008168ED" w:rsidRDefault="00000000">
            <w:pPr>
              <w:spacing w:after="0" w:line="240" w:lineRule="auto"/>
              <w:jc w:val="center"/>
            </w:pPr>
            <w:r>
              <w:rPr>
                <w:rFonts w:eastAsia="Aptos"/>
                <w:b/>
                <w:color w:val="FFFFFF"/>
                <w:sz w:val="17"/>
              </w:rPr>
              <w:t>Verified objective</w:t>
            </w:r>
          </w:p>
        </w:tc>
        <w:tc>
          <w:tcPr>
            <w:tcW w:w="1701"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758B4CB7" w14:textId="77777777" w:rsidR="008168ED" w:rsidRDefault="00000000">
            <w:pPr>
              <w:spacing w:after="0" w:line="240" w:lineRule="auto"/>
              <w:jc w:val="center"/>
            </w:pPr>
            <w:r>
              <w:rPr>
                <w:rFonts w:eastAsia="Aptos"/>
                <w:b/>
                <w:color w:val="FFFFFF"/>
                <w:sz w:val="17"/>
              </w:rPr>
              <w:t>Recorded result</w:t>
            </w:r>
          </w:p>
        </w:tc>
      </w:tr>
      <w:tr w:rsidR="008168ED" w14:paraId="3516ED21" w14:textId="77777777">
        <w:trPr>
          <w:jc w:val="center"/>
        </w:trPr>
        <w:tc>
          <w:tcPr>
            <w:tcW w:w="192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4B22D84F" w14:textId="77777777" w:rsidR="008168ED" w:rsidRDefault="00000000">
            <w:pPr>
              <w:spacing w:after="0" w:line="240" w:lineRule="auto"/>
            </w:pPr>
            <w:r>
              <w:rPr>
                <w:rFonts w:eastAsia="Aptos"/>
                <w:color w:val="222222"/>
                <w:sz w:val="16"/>
              </w:rPr>
              <w:t>endToEnd</w:t>
            </w:r>
          </w:p>
        </w:tc>
        <w:tc>
          <w:tcPr>
            <w:tcW w:w="5386"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2D1247F" w14:textId="77777777" w:rsidR="008168ED" w:rsidRDefault="00000000">
            <w:pPr>
              <w:spacing w:after="0" w:line="240" w:lineRule="auto"/>
            </w:pPr>
            <w:r>
              <w:rPr>
                <w:rFonts w:eastAsia="Aptos"/>
                <w:color w:val="222222"/>
                <w:sz w:val="16"/>
              </w:rPr>
              <w:t>Eight-step workflow, three custody transfers, certification, and sanitised public QR view.</w:t>
            </w:r>
          </w:p>
        </w:tc>
        <w:tc>
          <w:tcPr>
            <w:tcW w:w="1701"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7C71CEC9" w14:textId="77777777" w:rsidR="008168ED" w:rsidRDefault="00000000">
            <w:pPr>
              <w:spacing w:after="0" w:line="240" w:lineRule="auto"/>
            </w:pPr>
            <w:r>
              <w:rPr>
                <w:rFonts w:eastAsia="Aptos"/>
                <w:color w:val="222222"/>
                <w:sz w:val="16"/>
              </w:rPr>
              <w:t>SUCCESS</w:t>
            </w:r>
          </w:p>
        </w:tc>
      </w:tr>
      <w:tr w:rsidR="008168ED" w14:paraId="07CDE597" w14:textId="77777777">
        <w:trPr>
          <w:jc w:val="center"/>
        </w:trPr>
        <w:tc>
          <w:tcPr>
            <w:tcW w:w="1927"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4B93EB6C" w14:textId="77777777" w:rsidR="008168ED" w:rsidRDefault="00000000">
            <w:pPr>
              <w:spacing w:after="0" w:line="240" w:lineRule="auto"/>
            </w:pPr>
            <w:r>
              <w:rPr>
                <w:rFonts w:eastAsia="Aptos"/>
                <w:color w:val="222222"/>
                <w:sz w:val="16"/>
              </w:rPr>
              <w:t>recallScenario</w:t>
            </w:r>
          </w:p>
        </w:tc>
        <w:tc>
          <w:tcPr>
            <w:tcW w:w="5386"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04BB5F50" w14:textId="77777777" w:rsidR="008168ED" w:rsidRDefault="00000000">
            <w:pPr>
              <w:spacing w:after="0" w:line="240" w:lineRule="auto"/>
            </w:pPr>
            <w:r>
              <w:rPr>
                <w:rFonts w:eastAsia="Aptos"/>
                <w:color w:val="222222"/>
                <w:sz w:val="16"/>
              </w:rPr>
              <w:t>Certification, IVDP recall, and subsequent failed transfer.</w:t>
            </w:r>
          </w:p>
        </w:tc>
        <w:tc>
          <w:tcPr>
            <w:tcW w:w="1701"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34421B5" w14:textId="77777777" w:rsidR="008168ED" w:rsidRDefault="00000000">
            <w:pPr>
              <w:spacing w:after="0" w:line="240" w:lineRule="auto"/>
            </w:pPr>
            <w:r>
              <w:rPr>
                <w:rFonts w:eastAsia="Aptos"/>
                <w:color w:val="222222"/>
                <w:sz w:val="16"/>
              </w:rPr>
              <w:t>SUCCESS</w:t>
            </w:r>
          </w:p>
        </w:tc>
      </w:tr>
      <w:tr w:rsidR="008168ED" w14:paraId="5C12DB88" w14:textId="77777777">
        <w:trPr>
          <w:jc w:val="center"/>
        </w:trPr>
        <w:tc>
          <w:tcPr>
            <w:tcW w:w="192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00ED7440" w14:textId="77777777" w:rsidR="008168ED" w:rsidRDefault="00000000">
            <w:pPr>
              <w:spacing w:after="0" w:line="240" w:lineRule="auto"/>
            </w:pPr>
            <w:r>
              <w:rPr>
                <w:rFonts w:eastAsia="Aptos"/>
                <w:color w:val="222222"/>
                <w:sz w:val="16"/>
              </w:rPr>
              <w:t>negativeTests</w:t>
            </w:r>
          </w:p>
        </w:tc>
        <w:tc>
          <w:tcPr>
            <w:tcW w:w="5386"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30917D0A" w14:textId="77777777" w:rsidR="008168ED" w:rsidRDefault="00000000">
            <w:pPr>
              <w:spacing w:after="0" w:line="240" w:lineRule="auto"/>
            </w:pPr>
            <w:r>
              <w:rPr>
                <w:rFonts w:eastAsia="Aptos"/>
                <w:color w:val="222222"/>
                <w:sz w:val="16"/>
              </w:rPr>
              <w:t>Invalid ID, blank grape variety, future date, unauthorised actions, rejection/recall, and wrong QR.</w:t>
            </w:r>
          </w:p>
        </w:tc>
        <w:tc>
          <w:tcPr>
            <w:tcW w:w="1701"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5876AE8A" w14:textId="77777777" w:rsidR="008168ED" w:rsidRDefault="00000000">
            <w:pPr>
              <w:spacing w:after="0" w:line="240" w:lineRule="auto"/>
            </w:pPr>
            <w:r>
              <w:rPr>
                <w:rFonts w:eastAsia="Aptos"/>
                <w:color w:val="222222"/>
                <w:sz w:val="16"/>
              </w:rPr>
              <w:t>SUCCESS</w:t>
            </w:r>
          </w:p>
        </w:tc>
      </w:tr>
    </w:tbl>
    <w:p w14:paraId="5A7CC825" w14:textId="77777777" w:rsidR="008168ED" w:rsidRDefault="008168ED">
      <w:pPr>
        <w:spacing w:after="0"/>
      </w:pPr>
    </w:p>
    <w:p w14:paraId="0017282F" w14:textId="77777777" w:rsidR="008168ED" w:rsidRDefault="00000000">
      <w:pPr>
        <w:spacing w:before="40" w:after="120" w:line="240" w:lineRule="auto"/>
        <w:jc w:val="center"/>
      </w:pPr>
      <w:r>
        <w:rPr>
          <w:rFonts w:eastAsia="Aptos"/>
          <w:i/>
          <w:color w:val="666666"/>
          <w:sz w:val="17"/>
        </w:rPr>
        <w:t>Table 5. Functional coverage of Daml Script scenarios.</w:t>
      </w:r>
    </w:p>
    <w:p w14:paraId="136D4667" w14:textId="77777777" w:rsidR="008168ED" w:rsidRDefault="00000000">
      <w:pPr>
        <w:pStyle w:val="Heading2"/>
        <w:spacing w:before="140" w:after="80" w:line="240" w:lineRule="auto"/>
      </w:pPr>
      <w:r>
        <w:rPr>
          <w:rFonts w:ascii="Aptos" w:eastAsia="Aptos" w:hAnsi="Aptos"/>
        </w:rPr>
        <w:t>Available execution evidence</w:t>
      </w:r>
    </w:p>
    <w:p w14:paraId="6232A127" w14:textId="77777777" w:rsidR="008168ED" w:rsidRDefault="00000000">
      <w:pPr>
        <w:keepLines/>
      </w:pPr>
      <w:r>
        <w:rPr>
          <w:rFonts w:eastAsia="Aptos"/>
          <w:color w:val="222222"/>
        </w:rPr>
        <w:t>The log evidence/run-2026-07-07T18:12:10Z.log records DPM 1.0.21, active SDK 3.5.2, and the first block of Canton v3.5.6 help output. It then records successful execution of all three scripts. The following excerpt is reproduced from the evidence log stored in the repository.</w:t>
      </w:r>
    </w:p>
    <w:tbl>
      <w:tblPr>
        <w:tblW w:w="0" w:type="auto"/>
        <w:jc w:val="center"/>
        <w:tblLook w:val="04A0" w:firstRow="1" w:lastRow="0" w:firstColumn="1" w:lastColumn="0" w:noHBand="0" w:noVBand="1"/>
      </w:tblPr>
      <w:tblGrid>
        <w:gridCol w:w="10200"/>
      </w:tblGrid>
      <w:tr w:rsidR="008168ED" w14:paraId="5418045C" w14:textId="77777777">
        <w:trPr>
          <w:jc w:val="center"/>
        </w:trPr>
        <w:tc>
          <w:tcPr>
            <w:tcW w:w="10200" w:type="dxa"/>
            <w:tcBorders>
              <w:top w:val="single" w:sz="6" w:space="0" w:color="1E252B"/>
              <w:left w:val="single" w:sz="6" w:space="0" w:color="1E252B"/>
              <w:bottom w:val="single" w:sz="6" w:space="0" w:color="1E252B"/>
              <w:right w:val="single" w:sz="6" w:space="0" w:color="1E252B"/>
            </w:tcBorders>
            <w:shd w:val="clear" w:color="auto" w:fill="1E252B"/>
            <w:tcMar>
              <w:top w:w="150" w:type="dxa"/>
              <w:left w:w="160" w:type="dxa"/>
              <w:bottom w:w="150" w:type="dxa"/>
              <w:right w:w="160" w:type="dxa"/>
            </w:tcMar>
          </w:tcPr>
          <w:p w14:paraId="4B5D4474" w14:textId="77777777" w:rsidR="008168ED" w:rsidRDefault="00000000">
            <w:pPr>
              <w:spacing w:after="0" w:line="228" w:lineRule="auto"/>
            </w:pPr>
            <w:r>
              <w:rPr>
                <w:rFonts w:ascii="Courier New" w:eastAsia="Courier New" w:hAnsi="Courier New"/>
                <w:color w:val="E8EEF2"/>
                <w:sz w:val="14"/>
              </w:rPr>
              <w:t>timestamp_utc=2026-07-07T18:12:10Z</w:t>
            </w:r>
            <w:r>
              <w:rPr>
                <w:rFonts w:ascii="Courier New" w:eastAsia="Courier New" w:hAnsi="Courier New"/>
                <w:color w:val="E8EEF2"/>
                <w:sz w:val="14"/>
              </w:rPr>
              <w:br/>
              <w:t>dpm_version=version: 1.0.21</w:t>
            </w:r>
            <w:r>
              <w:rPr>
                <w:rFonts w:ascii="Courier New" w:eastAsia="Courier New" w:hAnsi="Courier New"/>
                <w:color w:val="E8EEF2"/>
                <w:sz w:val="14"/>
              </w:rPr>
              <w:br/>
              <w:t>sdk_version=3.5.2</w:t>
            </w:r>
            <w:r>
              <w:rPr>
                <w:rFonts w:ascii="Courier New" w:eastAsia="Courier New" w:hAnsi="Courier New"/>
                <w:color w:val="E8EEF2"/>
                <w:sz w:val="14"/>
              </w:rPr>
              <w:br/>
              <w:t>sandbox_help_first_lines=Canton v3.5.6</w:t>
            </w:r>
            <w:r>
              <w:rPr>
                <w:rFonts w:ascii="Courier New" w:eastAsia="Courier New" w:hAnsi="Courier New"/>
                <w:color w:val="E8EEF2"/>
                <w:sz w:val="14"/>
              </w:rPr>
              <w:br/>
            </w:r>
            <w:r>
              <w:rPr>
                <w:rFonts w:ascii="Courier New" w:eastAsia="Courier New" w:hAnsi="Courier New"/>
                <w:color w:val="E8EEF2"/>
                <w:sz w:val="14"/>
              </w:rPr>
              <w:br/>
              <w:t>Running tests:</w:t>
            </w:r>
            <w:r>
              <w:rPr>
                <w:rFonts w:ascii="Courier New" w:eastAsia="Courier New" w:hAnsi="Courier New"/>
                <w:color w:val="E8EEF2"/>
                <w:sz w:val="14"/>
              </w:rPr>
              <w:br/>
              <w:t>WineTraceability.Test:endToEnd SUCCESS</w:t>
            </w:r>
            <w:r>
              <w:rPr>
                <w:rFonts w:ascii="Courier New" w:eastAsia="Courier New" w:hAnsi="Courier New"/>
                <w:color w:val="E8EEF2"/>
                <w:sz w:val="14"/>
              </w:rPr>
              <w:br/>
              <w:t>WineTraceability.Test:recallScenario SUCCESS</w:t>
            </w:r>
            <w:r>
              <w:rPr>
                <w:rFonts w:ascii="Courier New" w:eastAsia="Courier New" w:hAnsi="Courier New"/>
                <w:color w:val="E8EEF2"/>
                <w:sz w:val="14"/>
              </w:rPr>
              <w:br/>
              <w:t>WineTraceability.Test:negativeTests SUCCESS</w:t>
            </w:r>
          </w:p>
        </w:tc>
      </w:tr>
    </w:tbl>
    <w:p w14:paraId="386C1EAE" w14:textId="77777777" w:rsidR="008168ED" w:rsidRDefault="008168ED">
      <w:pPr>
        <w:spacing w:after="0"/>
      </w:pPr>
    </w:p>
    <w:p w14:paraId="26E1CA36" w14:textId="77777777" w:rsidR="008168ED" w:rsidRDefault="00000000">
      <w:pPr>
        <w:spacing w:before="40" w:after="120" w:line="240" w:lineRule="auto"/>
        <w:jc w:val="center"/>
      </w:pPr>
      <w:r>
        <w:rPr>
          <w:rFonts w:eastAsia="Aptos"/>
          <w:i/>
          <w:color w:val="666666"/>
          <w:sz w:val="17"/>
        </w:rPr>
        <w:t>Figure 3. Excerpt from the project’s recorded execution log.</w:t>
      </w:r>
    </w:p>
    <w:p w14:paraId="3F173AA8" w14:textId="77777777" w:rsidR="008168ED" w:rsidRDefault="00000000">
      <w:pPr>
        <w:pStyle w:val="Heading2"/>
        <w:spacing w:before="140" w:after="80" w:line="240" w:lineRule="auto"/>
      </w:pPr>
      <w:r>
        <w:rPr>
          <w:rFonts w:ascii="Aptos" w:eastAsia="Aptos" w:hAnsi="Aptos"/>
        </w:rPr>
        <w:t>Recall and rule robustness</w:t>
      </w:r>
    </w:p>
    <w:p w14:paraId="79320BFB" w14:textId="77777777" w:rsidR="008168ED" w:rsidRDefault="00000000">
      <w:pPr>
        <w:keepLines/>
      </w:pPr>
      <w:r>
        <w:rPr>
          <w:rFonts w:eastAsia="Aptos"/>
          <w:color w:val="222222"/>
        </w:rPr>
        <w:t>Recall is implemented as an IVDP-controlled choice permitted only in CERTIFIED state. The transition creates a new contract with RECALLED state and appends a recall event. A later TransferCustody attempt fails with ERR_BATCH_RECALLED. Negative tests also verify that Sandeman cannot issue certification or recall a batch, that a REJECTED batch cannot be transferred, and that a QR code different from the registered code is rejected.</w:t>
      </w:r>
    </w:p>
    <w:p w14:paraId="10028AEE" w14:textId="77777777" w:rsidR="008168ED" w:rsidRDefault="00000000">
      <w:pPr>
        <w:pStyle w:val="Heading2"/>
        <w:spacing w:before="140" w:after="80" w:line="240" w:lineRule="auto"/>
      </w:pPr>
      <w:r>
        <w:rPr>
          <w:rFonts w:ascii="Aptos" w:eastAsia="Aptos" w:hAnsi="Aptos"/>
        </w:rPr>
        <w:t>Limitations and actions before submission</w:t>
      </w:r>
    </w:p>
    <w:tbl>
      <w:tblPr>
        <w:tblStyle w:val="TableGrid"/>
        <w:tblW w:w="0" w:type="auto"/>
        <w:jc w:val="center"/>
        <w:tblLayout w:type="fixed"/>
        <w:tblLook w:val="04A0" w:firstRow="1" w:lastRow="0" w:firstColumn="1" w:lastColumn="0" w:noHBand="0" w:noVBand="1"/>
      </w:tblPr>
      <w:tblGrid>
        <w:gridCol w:w="1134"/>
        <w:gridCol w:w="4536"/>
        <w:gridCol w:w="3345"/>
      </w:tblGrid>
      <w:tr w:rsidR="008168ED" w14:paraId="3CDDCB8C" w14:textId="77777777">
        <w:trPr>
          <w:tblHeader/>
          <w:jc w:val="center"/>
        </w:trPr>
        <w:tc>
          <w:tcPr>
            <w:tcW w:w="1134"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4C9891C5" w14:textId="77777777" w:rsidR="008168ED" w:rsidRDefault="00000000">
            <w:pPr>
              <w:spacing w:after="0" w:line="240" w:lineRule="auto"/>
              <w:jc w:val="center"/>
            </w:pPr>
            <w:r>
              <w:rPr>
                <w:rFonts w:eastAsia="Aptos"/>
                <w:b/>
                <w:color w:val="FFFFFF"/>
                <w:sz w:val="15"/>
              </w:rPr>
              <w:t>Priority</w:t>
            </w:r>
          </w:p>
        </w:tc>
        <w:tc>
          <w:tcPr>
            <w:tcW w:w="4536"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141D0D15" w14:textId="77777777" w:rsidR="008168ED" w:rsidRDefault="00000000">
            <w:pPr>
              <w:spacing w:after="0" w:line="240" w:lineRule="auto"/>
              <w:jc w:val="center"/>
            </w:pPr>
            <w:r>
              <w:rPr>
                <w:rFonts w:eastAsia="Aptos"/>
                <w:b/>
                <w:color w:val="FFFFFF"/>
                <w:sz w:val="15"/>
              </w:rPr>
              <w:t>Concrete action</w:t>
            </w:r>
          </w:p>
        </w:tc>
        <w:tc>
          <w:tcPr>
            <w:tcW w:w="3345"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398BA24A" w14:textId="77777777" w:rsidR="008168ED" w:rsidRDefault="00000000">
            <w:pPr>
              <w:spacing w:after="0" w:line="240" w:lineRule="auto"/>
              <w:jc w:val="center"/>
            </w:pPr>
            <w:r>
              <w:rPr>
                <w:rFonts w:eastAsia="Aptos"/>
                <w:b/>
                <w:color w:val="FFFFFF"/>
                <w:sz w:val="15"/>
              </w:rPr>
              <w:t>Reason</w:t>
            </w:r>
          </w:p>
        </w:tc>
      </w:tr>
      <w:tr w:rsidR="008168ED" w14:paraId="62807FDD" w14:textId="77777777">
        <w:trPr>
          <w:jc w:val="center"/>
        </w:trPr>
        <w:tc>
          <w:tcPr>
            <w:tcW w:w="113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3D68B75" w14:textId="77777777" w:rsidR="008168ED" w:rsidRDefault="00000000">
            <w:pPr>
              <w:spacing w:after="0" w:line="240" w:lineRule="auto"/>
            </w:pPr>
            <w:r>
              <w:rPr>
                <w:rFonts w:eastAsia="Aptos"/>
                <w:color w:val="222222"/>
                <w:sz w:val="15"/>
              </w:rPr>
              <w:t>Required</w:t>
            </w:r>
          </w:p>
        </w:tc>
        <w:tc>
          <w:tcPr>
            <w:tcW w:w="4536"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78B0D9EC" w14:textId="77777777" w:rsidR="008168ED" w:rsidRDefault="00000000">
            <w:pPr>
              <w:spacing w:after="0" w:line="240" w:lineRule="auto"/>
            </w:pPr>
            <w:r>
              <w:rPr>
                <w:rFonts w:eastAsia="Aptos"/>
                <w:color w:val="222222"/>
                <w:sz w:val="15"/>
              </w:rPr>
              <w:t>Run standalone Canton, validate canton.conf for v3.5.6, start a Domain/Synchronizer plus participant, and keep a screenshot/log with transaction/event ID.</w:t>
            </w:r>
          </w:p>
        </w:tc>
        <w:tc>
          <w:tcPr>
            <w:tcW w:w="3345"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33A52B72" w14:textId="77777777" w:rsidR="008168ED" w:rsidRDefault="00000000">
            <w:pPr>
              <w:spacing w:after="0" w:line="240" w:lineRule="auto"/>
            </w:pPr>
            <w:r>
              <w:rPr>
                <w:rFonts w:eastAsia="Aptos"/>
                <w:color w:val="222222"/>
                <w:sz w:val="15"/>
              </w:rPr>
              <w:t>The rubric requires a running consensus node and evidence of a transaction.</w:t>
            </w:r>
          </w:p>
        </w:tc>
      </w:tr>
      <w:tr w:rsidR="008168ED" w14:paraId="4C85F1CA" w14:textId="77777777">
        <w:trPr>
          <w:jc w:val="center"/>
        </w:trPr>
        <w:tc>
          <w:tcPr>
            <w:tcW w:w="1134"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6B63E1D" w14:textId="77777777" w:rsidR="008168ED" w:rsidRDefault="00000000">
            <w:pPr>
              <w:spacing w:after="0" w:line="240" w:lineRule="auto"/>
            </w:pPr>
            <w:r>
              <w:rPr>
                <w:rFonts w:eastAsia="Aptos"/>
                <w:color w:val="222222"/>
                <w:sz w:val="15"/>
              </w:rPr>
              <w:t>Required</w:t>
            </w:r>
          </w:p>
        </w:tc>
        <w:tc>
          <w:tcPr>
            <w:tcW w:w="4536"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4879CFE7" w14:textId="77777777" w:rsidR="008168ED" w:rsidRDefault="00000000">
            <w:pPr>
              <w:spacing w:after="0" w:line="240" w:lineRule="auto"/>
            </w:pPr>
            <w:r>
              <w:rPr>
                <w:rFonts w:eastAsia="Aptos"/>
                <w:color w:val="222222"/>
                <w:sz w:val="15"/>
              </w:rPr>
              <w:t>Copy this PDF to docs/relatorio.pdf, add top-level /contracts and /tests directories (or documented mirrors pointing to daml/WineTraceability), then commit and push.</w:t>
            </w:r>
          </w:p>
        </w:tc>
        <w:tc>
          <w:tcPr>
            <w:tcW w:w="3345"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0429A404" w14:textId="77777777" w:rsidR="008168ED" w:rsidRDefault="00000000">
            <w:pPr>
              <w:spacing w:after="0" w:line="240" w:lineRule="auto"/>
            </w:pPr>
            <w:r>
              <w:rPr>
                <w:rFonts w:eastAsia="Aptos"/>
                <w:color w:val="222222"/>
                <w:sz w:val="15"/>
              </w:rPr>
              <w:t>The stated delivery structure requires README, /contracts, /tests, and /docs/relatorio.pdf.</w:t>
            </w:r>
          </w:p>
        </w:tc>
      </w:tr>
      <w:tr w:rsidR="008168ED" w14:paraId="2F3DFD07" w14:textId="77777777">
        <w:trPr>
          <w:jc w:val="center"/>
        </w:trPr>
        <w:tc>
          <w:tcPr>
            <w:tcW w:w="113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49999F09" w14:textId="77777777" w:rsidR="008168ED" w:rsidRDefault="00000000">
            <w:pPr>
              <w:spacing w:after="0" w:line="240" w:lineRule="auto"/>
            </w:pPr>
            <w:r>
              <w:rPr>
                <w:rFonts w:eastAsia="Aptos"/>
                <w:color w:val="222222"/>
                <w:sz w:val="15"/>
              </w:rPr>
              <w:t>Strongly recommended</w:t>
            </w:r>
          </w:p>
        </w:tc>
        <w:tc>
          <w:tcPr>
            <w:tcW w:w="4536"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576EF24" w14:textId="77777777" w:rsidR="008168ED" w:rsidRDefault="00000000">
            <w:pPr>
              <w:spacing w:after="0" w:line="240" w:lineRule="auto"/>
            </w:pPr>
            <w:r>
              <w:rPr>
                <w:rFonts w:eastAsia="Aptos"/>
                <w:color w:val="222222"/>
                <w:sz w:val="15"/>
              </w:rPr>
              <w:t>Replace sha256:a3f8bc9d... with the real hash of the sample certificate and use a real off-chain PDF/URI reference.</w:t>
            </w:r>
          </w:p>
        </w:tc>
        <w:tc>
          <w:tcPr>
            <w:tcW w:w="3345"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5EC10DDF" w14:textId="77777777" w:rsidR="008168ED" w:rsidRDefault="00000000">
            <w:pPr>
              <w:spacing w:after="0" w:line="240" w:lineRule="auto"/>
            </w:pPr>
            <w:r>
              <w:rPr>
                <w:rFonts w:eastAsia="Aptos"/>
                <w:color w:val="222222"/>
                <w:sz w:val="15"/>
              </w:rPr>
              <w:t>The scenario hash is illustrative; the helper calculates sha256:b7ebf011... for the current fixture.</w:t>
            </w:r>
          </w:p>
        </w:tc>
      </w:tr>
      <w:tr w:rsidR="008168ED" w14:paraId="726A029D" w14:textId="77777777">
        <w:trPr>
          <w:jc w:val="center"/>
        </w:trPr>
        <w:tc>
          <w:tcPr>
            <w:tcW w:w="1134"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820C749" w14:textId="77777777" w:rsidR="008168ED" w:rsidRDefault="00000000">
            <w:pPr>
              <w:spacing w:after="0" w:line="240" w:lineRule="auto"/>
            </w:pPr>
            <w:r>
              <w:rPr>
                <w:rFonts w:eastAsia="Aptos"/>
                <w:color w:val="222222"/>
                <w:sz w:val="15"/>
              </w:rPr>
              <w:t>Strongly recommended</w:t>
            </w:r>
          </w:p>
        </w:tc>
        <w:tc>
          <w:tcPr>
            <w:tcW w:w="4536"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1C8A423E" w14:textId="77777777" w:rsidR="008168ED" w:rsidRDefault="00000000">
            <w:pPr>
              <w:spacing w:after="0" w:line="240" w:lineRule="auto"/>
            </w:pPr>
            <w:r>
              <w:rPr>
                <w:rFonts w:eastAsia="Aptos"/>
                <w:color w:val="222222"/>
                <w:sz w:val="15"/>
              </w:rPr>
              <w:t>Review permanent WineBatch observers or explicitly explain the auditability trade-off.</w:t>
            </w:r>
          </w:p>
        </w:tc>
        <w:tc>
          <w:tcPr>
            <w:tcW w:w="3345"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F1C0EA0" w14:textId="77777777" w:rsidR="008168ED" w:rsidRDefault="00000000">
            <w:pPr>
              <w:spacing w:after="0" w:line="240" w:lineRule="auto"/>
            </w:pPr>
            <w:r>
              <w:rPr>
                <w:rFonts w:eastAsia="Aptos"/>
                <w:color w:val="222222"/>
                <w:sz w:val="15"/>
              </w:rPr>
              <w:t>This prevents ambiguity about privacy between Quinta and Sandeman for the same batch.</w:t>
            </w:r>
          </w:p>
        </w:tc>
      </w:tr>
      <w:tr w:rsidR="008168ED" w14:paraId="7B49E4A3" w14:textId="77777777">
        <w:trPr>
          <w:jc w:val="center"/>
        </w:trPr>
        <w:tc>
          <w:tcPr>
            <w:tcW w:w="1134"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67F32FDA" w14:textId="77777777" w:rsidR="008168ED" w:rsidRDefault="00000000">
            <w:pPr>
              <w:spacing w:after="0" w:line="240" w:lineRule="auto"/>
            </w:pPr>
            <w:r>
              <w:rPr>
                <w:rFonts w:eastAsia="Aptos"/>
                <w:color w:val="222222"/>
                <w:sz w:val="15"/>
              </w:rPr>
              <w:t>For the defense</w:t>
            </w:r>
          </w:p>
        </w:tc>
        <w:tc>
          <w:tcPr>
            <w:tcW w:w="4536"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777FB0E8" w14:textId="77777777" w:rsidR="008168ED" w:rsidRDefault="00000000">
            <w:pPr>
              <w:spacing w:after="0" w:line="240" w:lineRule="auto"/>
            </w:pPr>
            <w:r>
              <w:rPr>
                <w:rFonts w:eastAsia="Aptos"/>
                <w:color w:val="222222"/>
                <w:sz w:val="15"/>
              </w:rPr>
              <w:t>Prepare the test command, evidence log, QR verification, and a five-minute explanation.</w:t>
            </w:r>
          </w:p>
        </w:tc>
        <w:tc>
          <w:tcPr>
            <w:tcW w:w="3345"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78B2B801" w14:textId="77777777" w:rsidR="008168ED" w:rsidRDefault="00000000">
            <w:pPr>
              <w:spacing w:after="0" w:line="240" w:lineRule="auto"/>
            </w:pPr>
            <w:r>
              <w:rPr>
                <w:rFonts w:eastAsia="Aptos"/>
                <w:color w:val="222222"/>
                <w:sz w:val="15"/>
              </w:rPr>
              <w:t>The assessment includes a 10-minute oral demonstration.</w:t>
            </w:r>
          </w:p>
        </w:tc>
      </w:tr>
    </w:tbl>
    <w:p w14:paraId="5CD53F2B" w14:textId="77777777" w:rsidR="008168ED" w:rsidRDefault="008168ED">
      <w:pPr>
        <w:spacing w:after="0"/>
      </w:pPr>
    </w:p>
    <w:p w14:paraId="7BE53B7F" w14:textId="77777777" w:rsidR="008168ED" w:rsidRDefault="00000000">
      <w:pPr>
        <w:spacing w:before="40" w:after="120" w:line="240" w:lineRule="auto"/>
        <w:jc w:val="center"/>
      </w:pPr>
      <w:r>
        <w:rPr>
          <w:rFonts w:eastAsia="Aptos"/>
          <w:i/>
          <w:color w:val="666666"/>
          <w:sz w:val="17"/>
        </w:rPr>
        <w:t>Table 6. Remaining and recommended items for a fully compliant submission.</w:t>
      </w:r>
    </w:p>
    <w:p w14:paraId="2428600A" w14:textId="77777777" w:rsidR="008168ED" w:rsidRDefault="00000000">
      <w:pPr>
        <w:pStyle w:val="Heading1"/>
        <w:pBdr>
          <w:bottom w:val="single" w:sz="10" w:space="1" w:color="C6A15B"/>
        </w:pBdr>
        <w:spacing w:before="200" w:after="80" w:line="240" w:lineRule="auto"/>
      </w:pPr>
      <w:r>
        <w:rPr>
          <w:rFonts w:ascii="Aptos" w:eastAsia="Aptos" w:hAnsi="Aptos"/>
        </w:rPr>
        <w:t>7 Conclusion</w:t>
      </w:r>
    </w:p>
    <w:p w14:paraId="3BF91E80" w14:textId="77777777" w:rsidR="008168ED" w:rsidRDefault="00000000">
      <w:pPr>
        <w:keepLines/>
      </w:pPr>
      <w:r>
        <w:rPr>
          <w:rFonts w:eastAsia="Aptos"/>
          <w:color w:val="222222"/>
        </w:rPr>
        <w:t>The prototype demonstrates a coherent approach to Port wine traceability in a permissioned network: custody and certification events are recorded in private contracts, IVDP controls regulatory decisions, and consumers receive a minimal public QR-code view. The recorded Daml Script scenarios show that the main workflow, recall, and negative controls are covered by executable code.</w:t>
      </w:r>
    </w:p>
    <w:p w14:paraId="5F13D72F" w14:textId="77777777" w:rsidR="008168ED" w:rsidRDefault="00000000">
      <w:pPr>
        <w:keepLines/>
      </w:pPr>
      <w:r>
        <w:rPr>
          <w:rFonts w:eastAsia="Aptos"/>
          <w:color w:val="222222"/>
        </w:rPr>
        <w:t>The design avoids conflating regulatory approval with consensus. DAML enforces contractual rights and the state machine; Canton provides coordination and finality between participants. To make the submission fully defensible against the rubric, the final step is to capture evidence from a real Canton instance and align the certificate hash with a concrete off-chain document. These steps do not change the already-tested core workflow, but complete the required infrastructure proof.</w:t>
      </w:r>
    </w:p>
    <w:p w14:paraId="1733193E" w14:textId="77777777" w:rsidR="008168ED" w:rsidRDefault="00000000">
      <w:pPr>
        <w:pStyle w:val="Heading2"/>
        <w:spacing w:before="140" w:after="80" w:line="240" w:lineRule="auto"/>
      </w:pPr>
      <w:r>
        <w:rPr>
          <w:rFonts w:ascii="Aptos" w:eastAsia="Aptos" w:hAnsi="Aptos"/>
        </w:rPr>
        <w:t>Use of AI tools</w:t>
      </w:r>
    </w:p>
    <w:p w14:paraId="1E5C19F8" w14:textId="77777777" w:rsidR="008168ED" w:rsidRDefault="00000000">
      <w:pPr>
        <w:keepLines/>
      </w:pPr>
      <w:r>
        <w:rPr>
          <w:rFonts w:eastAsia="Aptos"/>
          <w:color w:val="222222"/>
        </w:rPr>
        <w:t>AI tools were used to help structure the project, clarify DAML/Canton concepts, generate initial code and documentation proposals, and assist debugging. The student reviewed the implementation, checked consistency between requirements and code, and executed/inspected the available evidence. AI does not replace local demonstration or validation of runtime results. This declaration is consistent with the assignment requirement to disclose AI use [1].</w:t>
      </w:r>
    </w:p>
    <w:p w14:paraId="4E5D0CA5" w14:textId="77777777" w:rsidR="008168ED" w:rsidRDefault="00000000">
      <w:pPr>
        <w:pStyle w:val="Heading2"/>
        <w:spacing w:before="140" w:after="80" w:line="240" w:lineRule="auto"/>
      </w:pPr>
      <w:r>
        <w:rPr>
          <w:rFonts w:ascii="Aptos" w:eastAsia="Aptos" w:hAnsi="Aptos"/>
        </w:rPr>
        <w:t>References</w:t>
      </w:r>
    </w:p>
    <w:p w14:paraId="62BAEFB4" w14:textId="77777777" w:rsidR="008168ED" w:rsidRDefault="00000000">
      <w:pPr>
        <w:spacing w:after="40" w:line="245" w:lineRule="auto"/>
      </w:pPr>
      <w:r>
        <w:rPr>
          <w:rFonts w:eastAsia="Aptos"/>
          <w:b/>
          <w:color w:val="5B0D1C"/>
          <w:sz w:val="18"/>
        </w:rPr>
        <w:t xml:space="preserve">[1] </w:t>
      </w:r>
      <w:r>
        <w:rPr>
          <w:rFonts w:eastAsia="Aptos"/>
          <w:color w:val="222222"/>
          <w:sz w:val="18"/>
        </w:rPr>
        <w:t>UC Smart Contracts in Blockchain. “Port Wine Supply Chain - Practical Assignment.” Assignment specification supplied through Moodle, 2026.</w:t>
      </w:r>
    </w:p>
    <w:p w14:paraId="388ABD75" w14:textId="77777777" w:rsidR="008168ED" w:rsidRDefault="00000000">
      <w:pPr>
        <w:spacing w:after="40" w:line="245" w:lineRule="auto"/>
      </w:pPr>
      <w:r>
        <w:rPr>
          <w:rFonts w:eastAsia="Aptos"/>
          <w:b/>
          <w:color w:val="5B0D1C"/>
          <w:sz w:val="18"/>
        </w:rPr>
        <w:t xml:space="preserve">[2] </w:t>
      </w:r>
      <w:r>
        <w:rPr>
          <w:rFonts w:eastAsia="Aptos"/>
          <w:color w:val="222222"/>
          <w:sz w:val="18"/>
        </w:rPr>
        <w:t>Sudip Phuyal. “porto-wine-traceabilty.” Public Git repository, version inspected on 7 July 2026.</w:t>
      </w:r>
    </w:p>
    <w:p w14:paraId="3D930F04" w14:textId="77777777" w:rsidR="008168ED" w:rsidRDefault="00000000">
      <w:pPr>
        <w:spacing w:after="40" w:line="245" w:lineRule="auto"/>
      </w:pPr>
      <w:r>
        <w:rPr>
          <w:rFonts w:eastAsia="Aptos"/>
          <w:b/>
          <w:color w:val="5B0D1C"/>
          <w:sz w:val="18"/>
        </w:rPr>
        <w:t xml:space="preserve">[3] </w:t>
      </w:r>
      <w:r>
        <w:rPr>
          <w:rFonts w:eastAsia="Aptos"/>
          <w:color w:val="222222"/>
          <w:sz w:val="18"/>
        </w:rPr>
        <w:t>Digital Asset. “Daml: Define Contract Models Compactly” and official documentation on signatories and observers.</w:t>
      </w:r>
    </w:p>
    <w:p w14:paraId="4DB3DA4E" w14:textId="77777777" w:rsidR="008168ED" w:rsidRDefault="00000000">
      <w:pPr>
        <w:spacing w:after="40" w:line="245" w:lineRule="auto"/>
      </w:pPr>
      <w:r>
        <w:rPr>
          <w:rFonts w:eastAsia="Aptos"/>
          <w:b/>
          <w:color w:val="5B0D1C"/>
          <w:sz w:val="18"/>
        </w:rPr>
        <w:t xml:space="preserve">[4] </w:t>
      </w:r>
      <w:r>
        <w:rPr>
          <w:rFonts w:eastAsia="Aptos"/>
          <w:color w:val="222222"/>
          <w:sz w:val="18"/>
        </w:rPr>
        <w:t>Digital Asset. “Basic contracts.” Official documentation: active contracts are immutable and changes occur through contract creation and archiving.</w:t>
      </w:r>
    </w:p>
    <w:p w14:paraId="07CAB19D" w14:textId="77777777" w:rsidR="008168ED" w:rsidRDefault="00000000">
      <w:pPr>
        <w:spacing w:after="40" w:line="245" w:lineRule="auto"/>
      </w:pPr>
      <w:r>
        <w:rPr>
          <w:rFonts w:eastAsia="Aptos"/>
          <w:b/>
          <w:color w:val="5B0D1C"/>
          <w:sz w:val="18"/>
        </w:rPr>
        <w:t xml:space="preserve">[5] </w:t>
      </w:r>
      <w:r>
        <w:rPr>
          <w:rFonts w:eastAsia="Aptos"/>
          <w:color w:val="222222"/>
          <w:sz w:val="18"/>
        </w:rPr>
        <w:t>Digital Asset. “Synchronizer.” Official documentation on sequencing and mediation for ordered/confidential communication and transaction coordination.</w:t>
      </w:r>
    </w:p>
    <w:p w14:paraId="060C8E42" w14:textId="77777777" w:rsidR="008168ED" w:rsidRDefault="00000000">
      <w:pPr>
        <w:spacing w:after="0"/>
      </w:pPr>
      <w:r>
        <w:br w:type="page"/>
      </w:r>
    </w:p>
    <w:p w14:paraId="2ABA32A0" w14:textId="77777777" w:rsidR="008168ED" w:rsidRDefault="00000000">
      <w:pPr>
        <w:pStyle w:val="Heading1"/>
        <w:pBdr>
          <w:bottom w:val="single" w:sz="10" w:space="1" w:color="C6A15B"/>
        </w:pBdr>
        <w:spacing w:before="200" w:after="80" w:line="240" w:lineRule="auto"/>
      </w:pPr>
      <w:r>
        <w:rPr>
          <w:rFonts w:ascii="Aptos" w:eastAsia="Aptos" w:hAnsi="Aptos"/>
        </w:rPr>
        <w:lastRenderedPageBreak/>
        <w:t>Appendix A. Reproduction guide for the defense</w:t>
      </w:r>
    </w:p>
    <w:p w14:paraId="4434E3E4" w14:textId="77777777" w:rsidR="008168ED" w:rsidRDefault="00000000">
      <w:pPr>
        <w:keepLines/>
      </w:pPr>
      <w:r>
        <w:rPr>
          <w:rFonts w:eastAsia="Aptos"/>
          <w:color w:val="222222"/>
        </w:rPr>
        <w:t>The demonstration should begin in the root directory of the repository. The aim is to show the workflow with minimal dependence on visual components. The Daml Script scenarios are the main evidence of the model; the Canton startup and transaction trace are the main evidence of the infrastructure.</w:t>
      </w:r>
    </w:p>
    <w:tbl>
      <w:tblPr>
        <w:tblW w:w="0" w:type="auto"/>
        <w:jc w:val="center"/>
        <w:tblLook w:val="04A0" w:firstRow="1" w:lastRow="0" w:firstColumn="1" w:lastColumn="0" w:noHBand="0" w:noVBand="1"/>
      </w:tblPr>
      <w:tblGrid>
        <w:gridCol w:w="10200"/>
      </w:tblGrid>
      <w:tr w:rsidR="008168ED" w14:paraId="69805CDB" w14:textId="77777777">
        <w:trPr>
          <w:jc w:val="center"/>
        </w:trPr>
        <w:tc>
          <w:tcPr>
            <w:tcW w:w="10200" w:type="dxa"/>
            <w:tcBorders>
              <w:top w:val="single" w:sz="6" w:space="0" w:color="1E252B"/>
              <w:left w:val="single" w:sz="6" w:space="0" w:color="1E252B"/>
              <w:bottom w:val="single" w:sz="6" w:space="0" w:color="1E252B"/>
              <w:right w:val="single" w:sz="6" w:space="0" w:color="1E252B"/>
            </w:tcBorders>
            <w:shd w:val="clear" w:color="auto" w:fill="1E252B"/>
            <w:tcMar>
              <w:top w:w="150" w:type="dxa"/>
              <w:left w:w="160" w:type="dxa"/>
              <w:bottom w:w="150" w:type="dxa"/>
              <w:right w:w="160" w:type="dxa"/>
            </w:tcMar>
          </w:tcPr>
          <w:p w14:paraId="3C176B69" w14:textId="77777777" w:rsidR="008168ED" w:rsidRDefault="00000000">
            <w:pPr>
              <w:spacing w:after="0" w:line="228" w:lineRule="auto"/>
            </w:pPr>
            <w:r>
              <w:rPr>
                <w:rFonts w:ascii="Courier New" w:eastAsia="Courier New" w:hAnsi="Courier New"/>
                <w:color w:val="E8EEF2"/>
                <w:sz w:val="14"/>
              </w:rPr>
              <w:t>cd /Users/sudipphuyal/Developments/porto-wine-traceability</w:t>
            </w:r>
            <w:r>
              <w:rPr>
                <w:rFonts w:ascii="Courier New" w:eastAsia="Courier New" w:hAnsi="Courier New"/>
                <w:color w:val="E8EEF2"/>
                <w:sz w:val="14"/>
              </w:rPr>
              <w:br/>
            </w:r>
            <w:r>
              <w:rPr>
                <w:rFonts w:ascii="Courier New" w:eastAsia="Courier New" w:hAnsi="Courier New"/>
                <w:color w:val="E8EEF2"/>
                <w:sz w:val="14"/>
              </w:rPr>
              <w:br/>
              <w:t># 1. Check dependencies</w:t>
            </w:r>
            <w:r>
              <w:rPr>
                <w:rFonts w:ascii="Courier New" w:eastAsia="Courier New" w:hAnsi="Courier New"/>
                <w:color w:val="E8EEF2"/>
                <w:sz w:val="14"/>
              </w:rPr>
              <w:br/>
              <w:t>dpm --version</w:t>
            </w:r>
            <w:r>
              <w:rPr>
                <w:rFonts w:ascii="Courier New" w:eastAsia="Courier New" w:hAnsi="Courier New"/>
                <w:color w:val="E8EEF2"/>
                <w:sz w:val="14"/>
              </w:rPr>
              <w:br/>
              <w:t>dpm version --active</w:t>
            </w:r>
            <w:r>
              <w:rPr>
                <w:rFonts w:ascii="Courier New" w:eastAsia="Courier New" w:hAnsi="Courier New"/>
                <w:color w:val="E8EEF2"/>
                <w:sz w:val="14"/>
              </w:rPr>
              <w:br/>
            </w:r>
            <w:r>
              <w:rPr>
                <w:rFonts w:ascii="Courier New" w:eastAsia="Courier New" w:hAnsi="Courier New"/>
                <w:color w:val="E8EEF2"/>
                <w:sz w:val="14"/>
              </w:rPr>
              <w:br/>
              <w:t># 2. Run models and scenarios</w:t>
            </w:r>
            <w:r>
              <w:rPr>
                <w:rFonts w:ascii="Courier New" w:eastAsia="Courier New" w:hAnsi="Courier New"/>
                <w:color w:val="E8EEF2"/>
                <w:sz w:val="14"/>
              </w:rPr>
              <w:br/>
              <w:t>./scripts/run-tests.sh</w:t>
            </w:r>
            <w:r>
              <w:rPr>
                <w:rFonts w:ascii="Courier New" w:eastAsia="Courier New" w:hAnsi="Courier New"/>
                <w:color w:val="E8EEF2"/>
                <w:sz w:val="14"/>
              </w:rPr>
              <w:br/>
            </w:r>
            <w:r>
              <w:rPr>
                <w:rFonts w:ascii="Courier New" w:eastAsia="Courier New" w:hAnsi="Courier New"/>
                <w:color w:val="E8EEF2"/>
                <w:sz w:val="14"/>
              </w:rPr>
              <w:br/>
              <w:t># 3. Generate an updated evidence log</w:t>
            </w:r>
            <w:r>
              <w:rPr>
                <w:rFonts w:ascii="Courier New" w:eastAsia="Courier New" w:hAnsi="Courier New"/>
                <w:color w:val="E8EEF2"/>
                <w:sz w:val="14"/>
              </w:rPr>
              <w:br/>
              <w:t>./scripts/capture-evidence.sh</w:t>
            </w:r>
            <w:r>
              <w:rPr>
                <w:rFonts w:ascii="Courier New" w:eastAsia="Courier New" w:hAnsi="Courier New"/>
                <w:color w:val="E8EEF2"/>
                <w:sz w:val="14"/>
              </w:rPr>
              <w:br/>
            </w:r>
            <w:r>
              <w:rPr>
                <w:rFonts w:ascii="Courier New" w:eastAsia="Courier New" w:hAnsi="Courier New"/>
                <w:color w:val="E8EEF2"/>
                <w:sz w:val="14"/>
              </w:rPr>
              <w:br/>
              <w:t># 4. Start Canton/participant after validating the configuration</w:t>
            </w:r>
            <w:r>
              <w:rPr>
                <w:rFonts w:ascii="Courier New" w:eastAsia="Courier New" w:hAnsi="Courier New"/>
                <w:color w:val="E8EEF2"/>
                <w:sz w:val="14"/>
              </w:rPr>
              <w:br/>
              <w:t>./scripts/run-canton-local.sh</w:t>
            </w:r>
          </w:p>
        </w:tc>
      </w:tr>
    </w:tbl>
    <w:p w14:paraId="7C7722DC" w14:textId="77777777" w:rsidR="008168ED" w:rsidRDefault="008168ED">
      <w:pPr>
        <w:spacing w:after="0"/>
      </w:pPr>
    </w:p>
    <w:p w14:paraId="018141F2" w14:textId="77777777" w:rsidR="008168ED" w:rsidRDefault="00000000">
      <w:pPr>
        <w:keepLines/>
      </w:pPr>
      <w:r>
        <w:rPr>
          <w:rFonts w:eastAsia="Aptos"/>
          <w:color w:val="222222"/>
        </w:rPr>
        <w:t>During the defense, present: (i) the topology and why it is permissioned; (ii) the on-chain/off-chain table; (iii) WineBatch.daml with TransferCustody, IssueCertification, and RecallBatch; (iv) the endToEnd SUCCESS log; (v) a public QR test; and (vi) the failed transfer after recall. Once standalone configuration is validated, add the real Canton Domain/Synchronizer trace and transaction identifier to this appendix.</w:t>
      </w:r>
    </w:p>
    <w:p w14:paraId="56CB834E" w14:textId="77777777" w:rsidR="008168ED" w:rsidRDefault="00000000">
      <w:pPr>
        <w:pStyle w:val="Heading1"/>
        <w:pBdr>
          <w:bottom w:val="single" w:sz="10" w:space="1" w:color="C6A15B"/>
        </w:pBdr>
        <w:spacing w:before="200" w:after="80" w:line="240" w:lineRule="auto"/>
      </w:pPr>
      <w:r>
        <w:rPr>
          <w:rFonts w:ascii="Aptos" w:eastAsia="Aptos" w:hAnsi="Aptos"/>
        </w:rPr>
        <w:t>Appendix B. Quick rubric map</w:t>
      </w:r>
    </w:p>
    <w:tbl>
      <w:tblPr>
        <w:tblStyle w:val="TableGrid"/>
        <w:tblW w:w="0" w:type="auto"/>
        <w:jc w:val="center"/>
        <w:tblLayout w:type="fixed"/>
        <w:tblLook w:val="04A0" w:firstRow="1" w:lastRow="0" w:firstColumn="1" w:lastColumn="0" w:noHBand="0" w:noVBand="1"/>
      </w:tblPr>
      <w:tblGrid>
        <w:gridCol w:w="2268"/>
        <w:gridCol w:w="6747"/>
      </w:tblGrid>
      <w:tr w:rsidR="008168ED" w14:paraId="24419F8A" w14:textId="77777777">
        <w:trPr>
          <w:tblHeader/>
          <w:jc w:val="center"/>
        </w:trPr>
        <w:tc>
          <w:tcPr>
            <w:tcW w:w="2268"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58792F7C" w14:textId="77777777" w:rsidR="008168ED" w:rsidRDefault="00000000">
            <w:pPr>
              <w:spacing w:after="0" w:line="240" w:lineRule="auto"/>
              <w:jc w:val="center"/>
            </w:pPr>
            <w:r>
              <w:rPr>
                <w:rFonts w:eastAsia="Aptos"/>
                <w:b/>
                <w:color w:val="FFFFFF"/>
                <w:sz w:val="17"/>
              </w:rPr>
              <w:t>Rubric item</w:t>
            </w:r>
          </w:p>
        </w:tc>
        <w:tc>
          <w:tcPr>
            <w:tcW w:w="6747" w:type="dxa"/>
            <w:tcBorders>
              <w:top w:val="single" w:sz="5" w:space="0" w:color="5B0D1C"/>
              <w:left w:val="single" w:sz="5" w:space="0" w:color="5B0D1C"/>
              <w:bottom w:val="single" w:sz="5" w:space="0" w:color="5B0D1C"/>
              <w:right w:val="single" w:sz="5" w:space="0" w:color="5B0D1C"/>
            </w:tcBorders>
            <w:shd w:val="clear" w:color="auto" w:fill="5B0D1C"/>
            <w:tcMar>
              <w:top w:w="80" w:type="dxa"/>
              <w:left w:w="85" w:type="dxa"/>
              <w:bottom w:w="80" w:type="dxa"/>
              <w:right w:w="85" w:type="dxa"/>
            </w:tcMar>
            <w:vAlign w:val="center"/>
          </w:tcPr>
          <w:p w14:paraId="3C1F9FC8" w14:textId="77777777" w:rsidR="008168ED" w:rsidRDefault="00000000">
            <w:pPr>
              <w:spacing w:after="0" w:line="240" w:lineRule="auto"/>
              <w:jc w:val="center"/>
            </w:pPr>
            <w:r>
              <w:rPr>
                <w:rFonts w:eastAsia="Aptos"/>
                <w:b/>
                <w:color w:val="FFFFFF"/>
                <w:sz w:val="17"/>
              </w:rPr>
              <w:t>Where it is demonstrated</w:t>
            </w:r>
          </w:p>
        </w:tc>
      </w:tr>
      <w:tr w:rsidR="008168ED" w14:paraId="2DDF5A41"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0492297C" w14:textId="77777777" w:rsidR="008168ED" w:rsidRDefault="00000000">
            <w:pPr>
              <w:spacing w:after="0" w:line="240" w:lineRule="auto"/>
            </w:pPr>
            <w:r>
              <w:rPr>
                <w:rFonts w:eastAsia="Aptos"/>
                <w:color w:val="222222"/>
                <w:sz w:val="16"/>
              </w:rPr>
              <w:t>1.1 Topology/nodes</w:t>
            </w:r>
          </w:p>
        </w:tc>
        <w:tc>
          <w:tcPr>
            <w:tcW w:w="674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764E1DEF" w14:textId="77777777" w:rsidR="008168ED" w:rsidRDefault="00000000">
            <w:pPr>
              <w:spacing w:after="0" w:line="240" w:lineRule="auto"/>
            </w:pPr>
            <w:r>
              <w:rPr>
                <w:rFonts w:eastAsia="Aptos"/>
                <w:color w:val="222222"/>
                <w:sz w:val="16"/>
              </w:rPr>
              <w:t>Section 2, Figure 1, and docs/topology.mmd</w:t>
            </w:r>
          </w:p>
        </w:tc>
      </w:tr>
      <w:tr w:rsidR="008168ED" w14:paraId="4B896658"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6C962FD3" w14:textId="77777777" w:rsidR="008168ED" w:rsidRDefault="00000000">
            <w:pPr>
              <w:spacing w:after="0" w:line="240" w:lineRule="auto"/>
            </w:pPr>
            <w:r>
              <w:rPr>
                <w:rFonts w:eastAsia="Aptos"/>
                <w:color w:val="222222"/>
                <w:sz w:val="16"/>
              </w:rPr>
              <w:t>1.2 On-chain/off-chain</w:t>
            </w:r>
          </w:p>
        </w:tc>
        <w:tc>
          <w:tcPr>
            <w:tcW w:w="6747"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58B5A50A" w14:textId="77777777" w:rsidR="008168ED" w:rsidRDefault="00000000">
            <w:pPr>
              <w:spacing w:after="0" w:line="240" w:lineRule="auto"/>
            </w:pPr>
            <w:r>
              <w:rPr>
                <w:rFonts w:eastAsia="Aptos"/>
                <w:color w:val="222222"/>
                <w:sz w:val="16"/>
              </w:rPr>
              <w:t>Section 3.1 and docs/onchain-offchain.md</w:t>
            </w:r>
          </w:p>
        </w:tc>
      </w:tr>
      <w:tr w:rsidR="008168ED" w14:paraId="6AA9C377"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71282584" w14:textId="77777777" w:rsidR="008168ED" w:rsidRDefault="00000000">
            <w:pPr>
              <w:spacing w:after="0" w:line="240" w:lineRule="auto"/>
            </w:pPr>
            <w:r>
              <w:rPr>
                <w:rFonts w:eastAsia="Aptos"/>
                <w:color w:val="222222"/>
                <w:sz w:val="16"/>
              </w:rPr>
              <w:t>1.3 Privacy</w:t>
            </w:r>
          </w:p>
        </w:tc>
        <w:tc>
          <w:tcPr>
            <w:tcW w:w="674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C343A35" w14:textId="77777777" w:rsidR="008168ED" w:rsidRDefault="00000000">
            <w:pPr>
              <w:spacing w:after="0" w:line="240" w:lineRule="auto"/>
            </w:pPr>
            <w:r>
              <w:rPr>
                <w:rFonts w:eastAsia="Aptos"/>
                <w:color w:val="222222"/>
                <w:sz w:val="16"/>
              </w:rPr>
              <w:t>Section 3.2 and docs/privacy.md</w:t>
            </w:r>
          </w:p>
        </w:tc>
      </w:tr>
      <w:tr w:rsidR="008168ED" w14:paraId="130E27BA"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0DBC9FA0" w14:textId="77777777" w:rsidR="008168ED" w:rsidRDefault="00000000">
            <w:pPr>
              <w:spacing w:after="0" w:line="240" w:lineRule="auto"/>
            </w:pPr>
            <w:r>
              <w:rPr>
                <w:rFonts w:eastAsia="Aptos"/>
                <w:color w:val="222222"/>
                <w:sz w:val="16"/>
              </w:rPr>
              <w:t>2.1 Consensus</w:t>
            </w:r>
          </w:p>
        </w:tc>
        <w:tc>
          <w:tcPr>
            <w:tcW w:w="6747"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1844661D" w14:textId="77777777" w:rsidR="008168ED" w:rsidRDefault="00000000">
            <w:pPr>
              <w:spacing w:after="0" w:line="240" w:lineRule="auto"/>
            </w:pPr>
            <w:r>
              <w:rPr>
                <w:rFonts w:eastAsia="Aptos"/>
                <w:color w:val="222222"/>
                <w:sz w:val="16"/>
              </w:rPr>
              <w:t>Section 5 and docs/consensus.md</w:t>
            </w:r>
          </w:p>
        </w:tc>
      </w:tr>
      <w:tr w:rsidR="008168ED" w14:paraId="29CC6AC4"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116BF19" w14:textId="77777777" w:rsidR="008168ED" w:rsidRDefault="00000000">
            <w:pPr>
              <w:spacing w:after="0" w:line="240" w:lineRule="auto"/>
            </w:pPr>
            <w:r>
              <w:rPr>
                <w:rFonts w:eastAsia="Aptos"/>
                <w:color w:val="222222"/>
                <w:sz w:val="16"/>
              </w:rPr>
              <w:t>2.2 Consensus node</w:t>
            </w:r>
          </w:p>
        </w:tc>
        <w:tc>
          <w:tcPr>
            <w:tcW w:w="674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00ADE23A" w14:textId="77777777" w:rsidR="008168ED" w:rsidRDefault="00000000">
            <w:pPr>
              <w:spacing w:after="0" w:line="240" w:lineRule="auto"/>
            </w:pPr>
            <w:r>
              <w:rPr>
                <w:rFonts w:eastAsia="Aptos"/>
                <w:color w:val="222222"/>
                <w:sz w:val="16"/>
              </w:rPr>
              <w:t>canton/canton.conf, scripts, and the pending action in Table 6</w:t>
            </w:r>
          </w:p>
        </w:tc>
      </w:tr>
      <w:tr w:rsidR="008168ED" w14:paraId="62739AF3"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228B4AD" w14:textId="77777777" w:rsidR="008168ED" w:rsidRDefault="00000000">
            <w:pPr>
              <w:spacing w:after="0" w:line="240" w:lineRule="auto"/>
            </w:pPr>
            <w:r>
              <w:rPr>
                <w:rFonts w:eastAsia="Aptos"/>
                <w:color w:val="222222"/>
                <w:sz w:val="16"/>
              </w:rPr>
              <w:t>3.1 WineBatch model</w:t>
            </w:r>
          </w:p>
        </w:tc>
        <w:tc>
          <w:tcPr>
            <w:tcW w:w="6747"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0EA81D2A" w14:textId="77777777" w:rsidR="008168ED" w:rsidRDefault="00000000">
            <w:pPr>
              <w:spacing w:after="0" w:line="240" w:lineRule="auto"/>
            </w:pPr>
            <w:r>
              <w:rPr>
                <w:rFonts w:eastAsia="Aptos"/>
                <w:color w:val="222222"/>
                <w:sz w:val="16"/>
              </w:rPr>
              <w:t>Section 4 and daml/WineTraceability/Types.daml</w:t>
            </w:r>
          </w:p>
        </w:tc>
      </w:tr>
      <w:tr w:rsidR="008168ED" w14:paraId="42658E38"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080C57CD" w14:textId="77777777" w:rsidR="008168ED" w:rsidRDefault="00000000">
            <w:pPr>
              <w:spacing w:after="0" w:line="240" w:lineRule="auto"/>
            </w:pPr>
            <w:r>
              <w:rPr>
                <w:rFonts w:eastAsia="Aptos"/>
                <w:color w:val="222222"/>
                <w:sz w:val="16"/>
              </w:rPr>
              <w:t>3.2 Custody</w:t>
            </w:r>
          </w:p>
        </w:tc>
        <w:tc>
          <w:tcPr>
            <w:tcW w:w="674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5C910479" w14:textId="77777777" w:rsidR="008168ED" w:rsidRDefault="00000000">
            <w:pPr>
              <w:spacing w:after="0" w:line="240" w:lineRule="auto"/>
            </w:pPr>
            <w:r>
              <w:rPr>
                <w:rFonts w:eastAsia="Aptos"/>
                <w:color w:val="222222"/>
                <w:sz w:val="16"/>
              </w:rPr>
              <w:t>Section 4 and Test.daml</w:t>
            </w:r>
          </w:p>
        </w:tc>
      </w:tr>
      <w:tr w:rsidR="008168ED" w14:paraId="51AAFCE8"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4D0DC246" w14:textId="77777777" w:rsidR="008168ED" w:rsidRDefault="00000000">
            <w:pPr>
              <w:spacing w:after="0" w:line="240" w:lineRule="auto"/>
            </w:pPr>
            <w:r>
              <w:rPr>
                <w:rFonts w:eastAsia="Aptos"/>
                <w:color w:val="222222"/>
                <w:sz w:val="16"/>
              </w:rPr>
              <w:t>3.3 IVDP certification</w:t>
            </w:r>
          </w:p>
        </w:tc>
        <w:tc>
          <w:tcPr>
            <w:tcW w:w="6747"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23E2DFA8" w14:textId="77777777" w:rsidR="008168ED" w:rsidRDefault="00000000">
            <w:pPr>
              <w:spacing w:after="0" w:line="240" w:lineRule="auto"/>
            </w:pPr>
            <w:r>
              <w:rPr>
                <w:rFonts w:eastAsia="Aptos"/>
                <w:color w:val="222222"/>
                <w:sz w:val="16"/>
              </w:rPr>
              <w:t>Section 4 and Test.daml</w:t>
            </w:r>
          </w:p>
        </w:tc>
      </w:tr>
      <w:tr w:rsidR="008168ED" w14:paraId="6A7571E0"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27B5380F" w14:textId="77777777" w:rsidR="008168ED" w:rsidRDefault="00000000">
            <w:pPr>
              <w:spacing w:after="0" w:line="240" w:lineRule="auto"/>
            </w:pPr>
            <w:r>
              <w:rPr>
                <w:rFonts w:eastAsia="Aptos"/>
                <w:color w:val="222222"/>
                <w:sz w:val="16"/>
              </w:rPr>
              <w:t>3.4 Verification</w:t>
            </w:r>
          </w:p>
        </w:tc>
        <w:tc>
          <w:tcPr>
            <w:tcW w:w="674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6E3460E0" w14:textId="77777777" w:rsidR="008168ED" w:rsidRDefault="00000000">
            <w:pPr>
              <w:spacing w:after="0" w:line="240" w:lineRule="auto"/>
            </w:pPr>
            <w:r>
              <w:rPr>
                <w:rFonts w:eastAsia="Aptos"/>
                <w:color w:val="222222"/>
                <w:sz w:val="16"/>
              </w:rPr>
              <w:t>Sections 3.2 and 6.1</w:t>
            </w:r>
          </w:p>
        </w:tc>
      </w:tr>
      <w:tr w:rsidR="008168ED" w14:paraId="33A7BE32"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369E8BFF" w14:textId="77777777" w:rsidR="008168ED" w:rsidRDefault="00000000">
            <w:pPr>
              <w:spacing w:after="0" w:line="240" w:lineRule="auto"/>
            </w:pPr>
            <w:r>
              <w:rPr>
                <w:rFonts w:eastAsia="Aptos"/>
                <w:color w:val="222222"/>
                <w:sz w:val="16"/>
              </w:rPr>
              <w:t>3.5 Recall</w:t>
            </w:r>
          </w:p>
        </w:tc>
        <w:tc>
          <w:tcPr>
            <w:tcW w:w="6747"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B6D8582" w14:textId="77777777" w:rsidR="008168ED" w:rsidRDefault="00000000">
            <w:pPr>
              <w:spacing w:after="0" w:line="240" w:lineRule="auto"/>
            </w:pPr>
            <w:r>
              <w:rPr>
                <w:rFonts w:eastAsia="Aptos"/>
                <w:color w:val="222222"/>
                <w:sz w:val="16"/>
              </w:rPr>
              <w:t>Section 6.3 and recallScenario</w:t>
            </w:r>
          </w:p>
        </w:tc>
      </w:tr>
      <w:tr w:rsidR="008168ED" w14:paraId="12770D1E"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45384248" w14:textId="77777777" w:rsidR="008168ED" w:rsidRDefault="00000000">
            <w:pPr>
              <w:spacing w:after="0" w:line="240" w:lineRule="auto"/>
            </w:pPr>
            <w:r>
              <w:rPr>
                <w:rFonts w:eastAsia="Aptos"/>
                <w:color w:val="222222"/>
                <w:sz w:val="16"/>
              </w:rPr>
              <w:t>4.1 E2E workflow</w:t>
            </w:r>
          </w:p>
        </w:tc>
        <w:tc>
          <w:tcPr>
            <w:tcW w:w="6747" w:type="dxa"/>
            <w:tcBorders>
              <w:top w:val="single" w:sz="3" w:space="0" w:color="D9D9D9"/>
              <w:left w:val="single" w:sz="3" w:space="0" w:color="D9D9D9"/>
              <w:bottom w:val="single" w:sz="3" w:space="0" w:color="D9D9D9"/>
              <w:right w:val="single" w:sz="3" w:space="0" w:color="D9D9D9"/>
            </w:tcBorders>
            <w:shd w:val="clear" w:color="auto" w:fill="FFFFFF"/>
            <w:tcMar>
              <w:top w:w="60" w:type="dxa"/>
              <w:left w:w="75" w:type="dxa"/>
              <w:bottom w:w="60" w:type="dxa"/>
              <w:right w:w="75" w:type="dxa"/>
            </w:tcMar>
            <w:vAlign w:val="center"/>
          </w:tcPr>
          <w:p w14:paraId="1A538DE3" w14:textId="77777777" w:rsidR="008168ED" w:rsidRDefault="00000000">
            <w:pPr>
              <w:spacing w:after="0" w:line="240" w:lineRule="auto"/>
            </w:pPr>
            <w:r>
              <w:rPr>
                <w:rFonts w:eastAsia="Aptos"/>
                <w:color w:val="222222"/>
                <w:sz w:val="16"/>
              </w:rPr>
              <w:t>Sections 6.1-6.2 and evidence/</w:t>
            </w:r>
          </w:p>
        </w:tc>
      </w:tr>
      <w:tr w:rsidR="008168ED" w14:paraId="5975049F" w14:textId="77777777">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7C3EEE98" w14:textId="77777777" w:rsidR="008168ED" w:rsidRDefault="00000000">
            <w:pPr>
              <w:spacing w:after="0" w:line="240" w:lineRule="auto"/>
            </w:pPr>
            <w:r>
              <w:rPr>
                <w:rFonts w:eastAsia="Aptos"/>
                <w:color w:val="222222"/>
                <w:sz w:val="16"/>
              </w:rPr>
              <w:t>4.2 Report and reflection</w:t>
            </w:r>
          </w:p>
        </w:tc>
        <w:tc>
          <w:tcPr>
            <w:tcW w:w="6747" w:type="dxa"/>
            <w:tcBorders>
              <w:top w:val="single" w:sz="3" w:space="0" w:color="D9D9D9"/>
              <w:left w:val="single" w:sz="3" w:space="0" w:color="D9D9D9"/>
              <w:bottom w:val="single" w:sz="3" w:space="0" w:color="D9D9D9"/>
              <w:right w:val="single" w:sz="3" w:space="0" w:color="D9D9D9"/>
            </w:tcBorders>
            <w:shd w:val="clear" w:color="auto" w:fill="FAFAFA"/>
            <w:tcMar>
              <w:top w:w="60" w:type="dxa"/>
              <w:left w:w="75" w:type="dxa"/>
              <w:bottom w:w="60" w:type="dxa"/>
              <w:right w:w="75" w:type="dxa"/>
            </w:tcMar>
            <w:vAlign w:val="center"/>
          </w:tcPr>
          <w:p w14:paraId="15542DFD" w14:textId="77777777" w:rsidR="008168ED" w:rsidRDefault="00000000">
            <w:pPr>
              <w:spacing w:after="0" w:line="240" w:lineRule="auto"/>
            </w:pPr>
            <w:r>
              <w:rPr>
                <w:rFonts w:eastAsia="Aptos"/>
                <w:color w:val="222222"/>
                <w:sz w:val="16"/>
              </w:rPr>
              <w:t>This document</w:t>
            </w:r>
          </w:p>
        </w:tc>
      </w:tr>
    </w:tbl>
    <w:p w14:paraId="793F2D10" w14:textId="77777777" w:rsidR="008168ED" w:rsidRDefault="008168ED">
      <w:pPr>
        <w:spacing w:after="0"/>
      </w:pPr>
    </w:p>
    <w:sectPr w:rsidR="008168ED" w:rsidSect="00034616">
      <w:headerReference w:type="default" r:id="rId9"/>
      <w:footerReference w:type="default" r:id="rId10"/>
      <w:pgSz w:w="12240" w:h="15840"/>
      <w:pgMar w:top="935" w:right="1020" w:bottom="879" w:left="1020" w:header="397"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D37C85" w14:textId="77777777" w:rsidR="002D2058" w:rsidRDefault="002D2058">
      <w:pPr>
        <w:spacing w:after="0" w:line="240" w:lineRule="auto"/>
      </w:pPr>
      <w:r>
        <w:separator/>
      </w:r>
    </w:p>
  </w:endnote>
  <w:endnote w:type="continuationSeparator" w:id="0">
    <w:p w14:paraId="7760E9ED" w14:textId="77777777" w:rsidR="002D2058" w:rsidRDefault="002D2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C3767" w14:textId="7EB882EB" w:rsidR="008168ED" w:rsidRDefault="00000000">
    <w:pPr>
      <w:pStyle w:val="Footer"/>
      <w:jc w:val="center"/>
    </w:pPr>
    <w:r>
      <w:rPr>
        <w:rFonts w:eastAsia="Aptos"/>
        <w:color w:val="666666"/>
        <w:sz w:val="17"/>
      </w:rPr>
      <w:t xml:space="preserve">Technical </w:t>
    </w:r>
    <w:proofErr w:type="gramStart"/>
    <w:r>
      <w:rPr>
        <w:rFonts w:eastAsia="Aptos"/>
        <w:color w:val="666666"/>
        <w:sz w:val="17"/>
      </w:rPr>
      <w:t>report  |</w:t>
    </w:r>
    <w:proofErr w:type="gramEnd"/>
    <w:r>
      <w:rPr>
        <w:rFonts w:eastAsia="Aptos"/>
        <w:color w:val="666666"/>
        <w:sz w:val="17"/>
      </w:rPr>
      <w:t xml:space="preserve">  July </w:t>
    </w:r>
    <w:proofErr w:type="gramStart"/>
    <w:r>
      <w:rPr>
        <w:rFonts w:eastAsia="Aptos"/>
        <w:color w:val="666666"/>
        <w:sz w:val="17"/>
      </w:rPr>
      <w:t>2026  |</w:t>
    </w:r>
    <w:proofErr w:type="gramEnd"/>
    <w:r>
      <w:rPr>
        <w:rFonts w:eastAsia="Aptos"/>
        <w:color w:val="666666"/>
        <w:sz w:val="17"/>
      </w:rPr>
      <w:t xml:space="preserve">  Page </w:t>
    </w:r>
    <w:r>
      <w:rPr>
        <w:rFonts w:eastAsia="Aptos"/>
        <w:color w:val="666666"/>
        <w:sz w:val="17"/>
      </w:rPr>
      <w:fldChar w:fldCharType="begin"/>
    </w:r>
    <w:r>
      <w:rPr>
        <w:rFonts w:eastAsia="Aptos"/>
        <w:color w:val="666666"/>
        <w:sz w:val="17"/>
      </w:rPr>
      <w:instrText xml:space="preserve"> PAGE </w:instrText>
    </w:r>
    <w:r w:rsidR="00EA28D1">
      <w:rPr>
        <w:rFonts w:eastAsia="Aptos"/>
        <w:color w:val="666666"/>
        <w:sz w:val="17"/>
      </w:rPr>
      <w:fldChar w:fldCharType="separate"/>
    </w:r>
    <w:r w:rsidR="00EA28D1">
      <w:rPr>
        <w:rFonts w:eastAsia="Aptos"/>
        <w:noProof/>
        <w:color w:val="666666"/>
        <w:sz w:val="17"/>
      </w:rPr>
      <w:t>2</w:t>
    </w:r>
    <w:r>
      <w:rPr>
        <w:rFonts w:eastAsia="Aptos"/>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D5D365" w14:textId="77777777" w:rsidR="002D2058" w:rsidRDefault="002D2058">
      <w:pPr>
        <w:spacing w:after="0" w:line="240" w:lineRule="auto"/>
      </w:pPr>
      <w:r>
        <w:separator/>
      </w:r>
    </w:p>
  </w:footnote>
  <w:footnote w:type="continuationSeparator" w:id="0">
    <w:p w14:paraId="3D1F31FC" w14:textId="77777777" w:rsidR="002D2058" w:rsidRDefault="002D2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EA58BE" w14:textId="77777777" w:rsidR="008168ED" w:rsidRDefault="00000000">
    <w:pPr>
      <w:pStyle w:val="Header"/>
      <w:pBdr>
        <w:bottom w:val="single" w:sz="7" w:space="1" w:color="C6A15B"/>
      </w:pBdr>
      <w:jc w:val="right"/>
    </w:pPr>
    <w:r>
      <w:rPr>
        <w:rFonts w:eastAsia="Aptos"/>
        <w:b/>
        <w:color w:val="5B0D1C"/>
        <w:sz w:val="16"/>
      </w:rPr>
      <w:t xml:space="preserve">SMART CONTRACTS IN </w:t>
    </w:r>
    <w:proofErr w:type="gramStart"/>
    <w:r>
      <w:rPr>
        <w:rFonts w:eastAsia="Aptos"/>
        <w:b/>
        <w:color w:val="5B0D1C"/>
        <w:sz w:val="16"/>
      </w:rPr>
      <w:t>BLOCKCHAIN  |</w:t>
    </w:r>
    <w:proofErr w:type="gramEnd"/>
    <w:r>
      <w:rPr>
        <w:rFonts w:eastAsia="Aptos"/>
        <w:b/>
        <w:color w:val="5B0D1C"/>
        <w:sz w:val="16"/>
      </w:rPr>
      <w:t xml:space="preserve">  PORT WINE TRACEABILITY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47521">
    <w:abstractNumId w:val="8"/>
  </w:num>
  <w:num w:numId="2" w16cid:durableId="1080173221">
    <w:abstractNumId w:val="6"/>
  </w:num>
  <w:num w:numId="3" w16cid:durableId="270284056">
    <w:abstractNumId w:val="5"/>
  </w:num>
  <w:num w:numId="4" w16cid:durableId="993948155">
    <w:abstractNumId w:val="4"/>
  </w:num>
  <w:num w:numId="5" w16cid:durableId="1115321559">
    <w:abstractNumId w:val="7"/>
  </w:num>
  <w:num w:numId="6" w16cid:durableId="1710062378">
    <w:abstractNumId w:val="3"/>
  </w:num>
  <w:num w:numId="7" w16cid:durableId="96172127">
    <w:abstractNumId w:val="2"/>
  </w:num>
  <w:num w:numId="8" w16cid:durableId="1641300255">
    <w:abstractNumId w:val="1"/>
  </w:num>
  <w:num w:numId="9" w16cid:durableId="20101375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72C"/>
    <w:rsid w:val="0029639D"/>
    <w:rsid w:val="002D2058"/>
    <w:rsid w:val="00326F90"/>
    <w:rsid w:val="008168ED"/>
    <w:rsid w:val="00AA1D8D"/>
    <w:rsid w:val="00B47730"/>
    <w:rsid w:val="00CB0664"/>
    <w:rsid w:val="00EA28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116C9"/>
  <w14:defaultImageDpi w14:val="300"/>
  <w15:docId w15:val="{F4CAEC8F-B3E9-2245-87F9-A4746C8D5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0D1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dipphuyal/porto-wine-traceabil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3085</Words>
  <Characters>17587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 Wine Traceability - Final Technical Report</dc:title>
  <dc:subject>Smart Contracts in Blockchain - DAML/Canton</dc:subject>
  <dc:creator>Sudip Phuyal</dc:creator>
  <cp:keywords>DAML, Canton, Smart Contracts, Port Wine, Traceability, IVDP</cp:keywords>
  <dc:description>Prepared from the project repository and execution evidence.</dc:description>
  <cp:lastModifiedBy>Sudip Phuyal</cp:lastModifiedBy>
  <cp:revision>2</cp:revision>
  <dcterms:created xsi:type="dcterms:W3CDTF">2013-12-23T23:15:00Z</dcterms:created>
  <dcterms:modified xsi:type="dcterms:W3CDTF">2026-07-07T19:34:00Z</dcterms:modified>
  <cp:category/>
</cp:coreProperties>
</file>