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1362FC" w14:textId="77777777" w:rsidR="00673708" w:rsidRDefault="00000000">
      <w:pPr>
        <w:pStyle w:val="Title"/>
      </w:pPr>
      <w:r>
        <w:t>Day Ahead Residential Energy Forecasting</w:t>
      </w:r>
    </w:p>
    <w:p w14:paraId="38C9257B" w14:textId="77777777" w:rsidR="00673708" w:rsidRDefault="00000000">
      <w:pPr>
        <w:pStyle w:val="Subtitle"/>
      </w:pPr>
      <w:r>
        <w:t>Comparative Modelling and Portfolio Prediction</w:t>
      </w:r>
    </w:p>
    <w:p w14:paraId="17AFA18C" w14:textId="77777777" w:rsidR="00673708" w:rsidRDefault="00000000">
      <w:r>
        <w:rPr>
          <w:b/>
          <w:sz w:val="18"/>
        </w:rPr>
        <w:t>Team:</w:t>
      </w:r>
      <w:r>
        <w:rPr>
          <w:sz w:val="18"/>
        </w:rPr>
        <w:t xml:space="preserve"> Sudip Phuyal, Mahsa Azarnia, Manila Bhandari, Rujjal Sada, Vignesh Pechiappan Ayyathurai</w:t>
      </w:r>
    </w:p>
    <w:p w14:paraId="47D544BC" w14:textId="77777777" w:rsidR="00673708" w:rsidRDefault="00000000">
      <w:pPr>
        <w:pStyle w:val="Heading1"/>
      </w:pPr>
      <w:r>
        <w:t>Forecasting Strategies</w:t>
      </w:r>
    </w:p>
    <w:p w14:paraId="19023B71" w14:textId="77777777" w:rsidR="006359CA" w:rsidRDefault="00000000" w:rsidP="006359CA">
      <w:pPr>
        <w:jc w:val="both"/>
      </w:pPr>
      <w:r>
        <w:rPr>
          <w:b/>
        </w:rPr>
        <w:t>A - Weather- and Context-Aware Gradient Boosting:</w:t>
      </w:r>
      <w:r>
        <w:t xml:space="preserve"> historical weather -&gt; next-day temperature, sunshine and humidity forecasts -&gt; recent consumption + household context -&gt; HistGradientBoostingRegressor. </w:t>
      </w:r>
    </w:p>
    <w:p w14:paraId="5BBAC812" w14:textId="6D98C674" w:rsidR="00673708" w:rsidRDefault="00000000" w:rsidP="006359CA">
      <w:pPr>
        <w:jc w:val="both"/>
      </w:pPr>
      <w:r>
        <w:rPr>
          <w:b/>
        </w:rPr>
        <w:t>B - Consumption-Lag Ridge Forecasting:</w:t>
      </w:r>
      <w:r>
        <w:t xml:space="preserve"> historical 15-minute demand + same-time day/week lags + cyclic time and weekday -&gt; global Ridge regression.</w:t>
      </w:r>
    </w:p>
    <w:p w14:paraId="279A4A55" w14:textId="77777777" w:rsidR="00673708" w:rsidRDefault="00000000">
      <w:pPr>
        <w:pStyle w:val="Heading1"/>
      </w:pPr>
      <w:r>
        <w:t>Use of Available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252"/>
        <w:gridCol w:w="3572"/>
      </w:tblGrid>
      <w:tr w:rsidR="00673708" w14:paraId="6B029814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5227904" w14:textId="77777777" w:rsidR="00673708" w:rsidRDefault="00000000">
            <w:pPr>
              <w:spacing w:after="0"/>
            </w:pPr>
            <w:r>
              <w:rPr>
                <w:b/>
                <w:sz w:val="18"/>
              </w:rPr>
              <w:t>Information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6897BFF" w14:textId="77777777" w:rsidR="00673708" w:rsidRDefault="00000000">
            <w:pPr>
              <w:spacing w:after="0"/>
            </w:pPr>
            <w:r>
              <w:rPr>
                <w:b/>
                <w:sz w:val="18"/>
              </w:rPr>
              <w:t>Approach A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366D4E9" w14:textId="77777777" w:rsidR="00673708" w:rsidRDefault="00000000">
            <w:pPr>
              <w:spacing w:after="0"/>
            </w:pPr>
            <w:r>
              <w:rPr>
                <w:b/>
                <w:sz w:val="18"/>
              </w:rPr>
              <w:t>Approach B</w:t>
            </w:r>
          </w:p>
        </w:tc>
      </w:tr>
      <w:tr w:rsidR="00673708" w14:paraId="4FE4678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D912243" w14:textId="77777777" w:rsidR="00673708" w:rsidRDefault="00000000">
            <w:pPr>
              <w:spacing w:after="0"/>
            </w:pPr>
            <w:r>
              <w:rPr>
                <w:sz w:val="18"/>
              </w:rPr>
              <w:t>Consumption and calendar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3DC4CDE" w14:textId="77777777" w:rsidR="00673708" w:rsidRDefault="00000000">
            <w:pPr>
              <w:spacing w:after="0"/>
            </w:pPr>
            <w:r>
              <w:rPr>
                <w:sz w:val="18"/>
              </w:rPr>
              <w:t>7-day behaviour; week/previous-available lags; 28-day profile; calendar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57DA309" w14:textId="77777777" w:rsidR="00673708" w:rsidRDefault="00000000">
            <w:pPr>
              <w:spacing w:after="0"/>
            </w:pPr>
            <w:r>
              <w:rPr>
                <w:sz w:val="18"/>
              </w:rPr>
              <w:t>Day/week lags; cyclic time/weekday</w:t>
            </w:r>
          </w:p>
        </w:tc>
      </w:tr>
      <w:tr w:rsidR="00673708" w14:paraId="50A3990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865CA3F" w14:textId="77777777" w:rsidR="00673708" w:rsidRDefault="00000000">
            <w:pPr>
              <w:spacing w:after="0"/>
            </w:pPr>
            <w:r>
              <w:rPr>
                <w:sz w:val="18"/>
              </w:rPr>
              <w:t>Weather and household context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40C7893" w14:textId="77777777" w:rsidR="00673708" w:rsidRDefault="00000000">
            <w:pPr>
              <w:spacing w:after="0"/>
            </w:pPr>
            <w:r>
              <w:rPr>
                <w:sz w:val="18"/>
              </w:rPr>
              <w:t>Predicted weather; building, heat-pump/heating/DHW metadata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D7A8741" w14:textId="77777777" w:rsidR="00673708" w:rsidRDefault="00000000">
            <w:pPr>
              <w:spacing w:after="0"/>
            </w:pPr>
            <w:r>
              <w:rPr>
                <w:sz w:val="18"/>
              </w:rPr>
              <w:t>Consumption and time features</w:t>
            </w:r>
          </w:p>
        </w:tc>
      </w:tr>
      <w:tr w:rsidR="00673708" w14:paraId="719E9AE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F31DE1C" w14:textId="77777777" w:rsidR="00673708" w:rsidRDefault="00000000">
            <w:pPr>
              <w:spacing w:after="0"/>
            </w:pPr>
            <w:r>
              <w:rPr>
                <w:sz w:val="18"/>
              </w:rPr>
              <w:t>PV/EV information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7229FBB" w14:textId="77777777" w:rsidR="00673708" w:rsidRDefault="00000000">
            <w:pPr>
              <w:spacing w:after="0"/>
            </w:pPr>
            <w:r>
              <w:rPr>
                <w:sz w:val="18"/>
              </w:rPr>
              <w:t>Evaluated; included in cold-start model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6568E50" w14:textId="77777777" w:rsidR="00673708" w:rsidRDefault="00000000">
            <w:pPr>
              <w:spacing w:after="0"/>
            </w:pPr>
            <w:r>
              <w:rPr>
                <w:sz w:val="18"/>
              </w:rPr>
              <w:t>Not used</w:t>
            </w:r>
          </w:p>
        </w:tc>
      </w:tr>
      <w:tr w:rsidR="00673708" w14:paraId="30364ED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CA99C42" w14:textId="77777777" w:rsidR="00673708" w:rsidRDefault="00000000">
            <w:pPr>
              <w:spacing w:after="0"/>
            </w:pPr>
            <w:r>
              <w:rPr>
                <w:sz w:val="18"/>
              </w:rPr>
              <w:t>Sparse or excluded households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1DC720F" w14:textId="77777777" w:rsidR="00673708" w:rsidRDefault="00000000">
            <w:pPr>
              <w:spacing w:after="0"/>
            </w:pPr>
            <w:r>
              <w:rPr>
                <w:sz w:val="18"/>
              </w:rPr>
              <w:t>Global generalisation; cold-start model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1107A72" w14:textId="77777777" w:rsidR="00673708" w:rsidRDefault="00000000">
            <w:pPr>
              <w:spacing w:after="0"/>
            </w:pPr>
            <w:r>
              <w:rPr>
                <w:sz w:val="18"/>
              </w:rPr>
              <w:t>Week/day fallback; historical profile; portfolio imputation</w:t>
            </w:r>
          </w:p>
        </w:tc>
      </w:tr>
      <w:tr w:rsidR="00673708" w14:paraId="6139018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E7A74E1" w14:textId="77777777" w:rsidR="00673708" w:rsidRDefault="00000000">
            <w:pPr>
              <w:spacing w:after="0"/>
            </w:pPr>
            <w:r>
              <w:rPr>
                <w:sz w:val="18"/>
              </w:rPr>
              <w:t>Uncertainty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AE2A41F" w14:textId="77777777" w:rsidR="00673708" w:rsidRDefault="00000000">
            <w:pPr>
              <w:spacing w:after="0"/>
            </w:pPr>
            <w:r>
              <w:rPr>
                <w:sz w:val="18"/>
              </w:rPr>
              <w:t>Empirical residual quantiles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3BEFE92" w14:textId="77777777" w:rsidR="00673708" w:rsidRDefault="00000000">
            <w:pPr>
              <w:spacing w:after="0"/>
            </w:pPr>
            <w:r>
              <w:rPr>
                <w:sz w:val="18"/>
              </w:rPr>
              <w:t>Split conformal for Ridge intervals</w:t>
            </w:r>
          </w:p>
        </w:tc>
      </w:tr>
    </w:tbl>
    <w:p w14:paraId="62FD683F" w14:textId="77777777" w:rsidR="00673708" w:rsidRDefault="00673708">
      <w:pPr>
        <w:spacing w:after="0" w:line="40" w:lineRule="exact"/>
      </w:pPr>
    </w:p>
    <w:p w14:paraId="2E95138D" w14:textId="77777777" w:rsidR="00673708" w:rsidRDefault="00000000">
      <w:r>
        <w:t>A creates additional usable information by forecasting tomorrow's weather. Temperature affects heat-pump electricity, sunshine can influence grid import in PV homes, and recent demand captures behavioural changes; direct PV generation is not measured. Both use global models, with explicit estimates for consumers outside model fitting.</w:t>
      </w:r>
    </w:p>
    <w:p w14:paraId="281BD9D2" w14:textId="77777777" w:rsidR="00673708" w:rsidRDefault="00000000">
      <w:pPr>
        <w:pStyle w:val="Heading1"/>
      </w:pPr>
      <w:r>
        <w:t>Experimental Performance</w:t>
      </w:r>
    </w:p>
    <w:p w14:paraId="4F801FB6" w14:textId="77777777" w:rsidR="00673708" w:rsidRDefault="00000000" w:rsidP="006359CA">
      <w:pPr>
        <w:jc w:val="both"/>
      </w:pPr>
      <w:r>
        <w:t xml:space="preserve">A's frozen full-year TEST (28 Feb 2023-27 Feb 2024): </w:t>
      </w:r>
      <w:r>
        <w:rPr>
          <w:b/>
        </w:rPr>
        <w:t>portfolio WAPE 14.29%</w:t>
      </w:r>
      <w:r>
        <w:t xml:space="preserve">, versus </w:t>
      </w:r>
      <w:r>
        <w:rPr>
          <w:b/>
        </w:rPr>
        <w:t>14.47%</w:t>
      </w:r>
      <w:r>
        <w:t xml:space="preserve"> for persistence; household </w:t>
      </w:r>
      <w:r>
        <w:rPr>
          <w:b/>
        </w:rPr>
        <w:t>MAE/RMSE improve 7.7%/16.1%</w:t>
      </w:r>
      <w:r>
        <w:t xml:space="preserve">. Temperature MAE is </w:t>
      </w:r>
      <w:r>
        <w:rPr>
          <w:b/>
        </w:rPr>
        <w:t>2.50°C</w:t>
      </w:r>
      <w:r>
        <w:t xml:space="preserve">; nominal 80% P10-P90 portfolio interval coverage is </w:t>
      </w:r>
      <w:r>
        <w:rPr>
          <w:b/>
        </w:rPr>
        <w:t>79.0%</w:t>
      </w:r>
      <w:r>
        <w:t>. B's historical results below assess three predefined dates, rather than an equivalent full-year test.</w:t>
      </w:r>
    </w:p>
    <w:p w14:paraId="014D5B78" w14:textId="77777777" w:rsidR="00673708" w:rsidRDefault="00000000">
      <w:pPr>
        <w:pStyle w:val="Heading1"/>
      </w:pPr>
      <w:r>
        <w:t>Representative Day Ahead Tests</w:t>
      </w:r>
    </w:p>
    <w:p w14:paraId="0FBAAF9D" w14:textId="77777777" w:rsidR="00673708" w:rsidRDefault="00000000">
      <w:r>
        <w:t xml:space="preserve">Energy and absolute daily error are in </w:t>
      </w:r>
      <w:r>
        <w:rPr>
          <w:b/>
        </w:rPr>
        <w:t>MWh</w:t>
      </w:r>
      <w:r>
        <w:t>; error % is signed. Each method is scored against actual demand for its own observed household set. Household coverage differs, so these results illustrate behaviour rather than establish an identical-support ranking. Missing actual demand is not treated as zero.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80"/>
        <w:gridCol w:w="794"/>
        <w:gridCol w:w="1474"/>
        <w:gridCol w:w="1474"/>
        <w:gridCol w:w="1814"/>
        <w:gridCol w:w="2154"/>
      </w:tblGrid>
      <w:tr w:rsidR="00673708" w14:paraId="4B28AB6B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7EFC32D" w14:textId="77777777" w:rsidR="00673708" w:rsidRDefault="00000000"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41F499D" w14:textId="77777777" w:rsidR="00673708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F57C6F8" w14:textId="77777777" w:rsidR="00673708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Homes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578D965" w14:textId="77777777" w:rsidR="00673708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Actual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838C9D9" w14:textId="77777777" w:rsidR="00673708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Forecast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5A47D5F" w14:textId="77777777" w:rsidR="00673708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Error 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26A82CD" w14:textId="77777777" w:rsidR="00673708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Abs. error</w:t>
            </w:r>
          </w:p>
        </w:tc>
      </w:tr>
      <w:tr w:rsidR="00673708" w14:paraId="6027CDB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2450382" w14:textId="77777777" w:rsidR="00673708" w:rsidRDefault="00000000">
            <w:pPr>
              <w:spacing w:after="0"/>
            </w:pPr>
            <w:r>
              <w:rPr>
                <w:sz w:val="18"/>
              </w:rPr>
              <w:t>2023-03-15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CA488B0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F1CA885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368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979D553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13.704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1F9B747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11.379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3F90ECF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-16.96%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4BA0A3E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2.325</w:t>
            </w:r>
          </w:p>
        </w:tc>
      </w:tr>
      <w:tr w:rsidR="00673708" w14:paraId="4BB8380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20B62C8" w14:textId="77777777" w:rsidR="00673708" w:rsidRDefault="00000000">
            <w:pPr>
              <w:spacing w:after="0"/>
            </w:pPr>
            <w:r>
              <w:rPr>
                <w:sz w:val="18"/>
              </w:rPr>
              <w:t>2023-03-15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9D97E2E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7CA775C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294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D51FDA8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11.164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D7CEBD3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9.753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C6FD6AB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-12.64%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98B2FDE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1.411</w:t>
            </w:r>
          </w:p>
        </w:tc>
      </w:tr>
      <w:tr w:rsidR="00673708" w14:paraId="03F0DE5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5496ED4" w14:textId="77777777" w:rsidR="00673708" w:rsidRDefault="00000000">
            <w:pPr>
              <w:spacing w:after="0"/>
            </w:pPr>
            <w:r>
              <w:rPr>
                <w:sz w:val="18"/>
              </w:rPr>
              <w:t>2023-09-05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D2DAD82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C661CAE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381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46731D9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5.135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5F04E97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6.048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F03BAF7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+17.79%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D2873D8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0.914</w:t>
            </w:r>
          </w:p>
        </w:tc>
      </w:tr>
      <w:tr w:rsidR="00673708" w14:paraId="33D20610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A8E8446" w14:textId="77777777" w:rsidR="00673708" w:rsidRDefault="00000000">
            <w:pPr>
              <w:spacing w:after="0"/>
            </w:pPr>
            <w:r>
              <w:rPr>
                <w:sz w:val="18"/>
              </w:rPr>
              <w:t>2023-09-05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8755502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84B16ED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374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3BB5CD5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5.047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5E5564F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7.154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A2CE2FF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+41.74%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70D49B8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2.107</w:t>
            </w:r>
          </w:p>
        </w:tc>
      </w:tr>
      <w:tr w:rsidR="00673708" w14:paraId="428A947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B3F7512" w14:textId="77777777" w:rsidR="00673708" w:rsidRDefault="00000000">
            <w:pPr>
              <w:spacing w:after="0"/>
            </w:pPr>
            <w:r>
              <w:rPr>
                <w:sz w:val="18"/>
              </w:rPr>
              <w:t>2024-02-27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C7B0489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669E32C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374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73CDBEF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11.344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4CE4E92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12.104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9A8FC5A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+6.70%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2E5BCD9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0.760</w:t>
            </w:r>
          </w:p>
        </w:tc>
      </w:tr>
      <w:tr w:rsidR="00673708" w14:paraId="5F85F5D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96F8070" w14:textId="77777777" w:rsidR="00673708" w:rsidRDefault="00000000">
            <w:pPr>
              <w:spacing w:after="0"/>
            </w:pPr>
            <w:r>
              <w:rPr>
                <w:sz w:val="18"/>
              </w:rPr>
              <w:t>2024-02-27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59F314A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732AD3C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371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1E2CD055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11.257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841182F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11.214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4498B9B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-0.38%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47D8C8F" w14:textId="77777777" w:rsidR="00673708" w:rsidRDefault="00000000">
            <w:pPr>
              <w:spacing w:after="0"/>
              <w:jc w:val="center"/>
            </w:pPr>
            <w:r>
              <w:rPr>
                <w:sz w:val="18"/>
              </w:rPr>
              <w:t>0.043</w:t>
            </w:r>
          </w:p>
        </w:tc>
      </w:tr>
    </w:tbl>
    <w:p w14:paraId="3135BD55" w14:textId="77777777" w:rsidR="00673708" w:rsidRDefault="00673708">
      <w:pPr>
        <w:spacing w:after="0" w:line="40" w:lineRule="exact"/>
      </w:pPr>
    </w:p>
    <w:p w14:paraId="75AD397F" w14:textId="77777777" w:rsidR="00673708" w:rsidRDefault="00000000">
      <w:r>
        <w:t>Both methods underpredict in March and overpredict in September. B closely matches daily energy on 27 February; its -0.38% daily error does not imply the same accuracy at every 15-minute interval.</w:t>
      </w:r>
    </w:p>
    <w:p w14:paraId="1183B241" w14:textId="77777777" w:rsidR="00673708" w:rsidRDefault="00000000">
      <w:pPr>
        <w:pStyle w:val="Heading1"/>
      </w:pPr>
      <w:r>
        <w:t>Final Day Ahead Forecast 28 February 2024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252"/>
        <w:gridCol w:w="3572"/>
      </w:tblGrid>
      <w:tr w:rsidR="00673708" w14:paraId="1ABFB152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45A177F" w14:textId="77777777" w:rsidR="00673708" w:rsidRDefault="00000000">
            <w:pPr>
              <w:spacing w:after="0"/>
            </w:pPr>
            <w:r>
              <w:rPr>
                <w:b/>
                <w:sz w:val="18"/>
              </w:rPr>
              <w:t>Full portfolio result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F44193D" w14:textId="77777777" w:rsidR="00673708" w:rsidRDefault="00000000">
            <w:pPr>
              <w:spacing w:after="0"/>
            </w:pPr>
            <w:r>
              <w:rPr>
                <w:b/>
                <w:sz w:val="18"/>
              </w:rPr>
              <w:t>Approach A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2"/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288F22E" w14:textId="77777777" w:rsidR="00673708" w:rsidRDefault="00000000">
            <w:pPr>
              <w:spacing w:after="0"/>
            </w:pPr>
            <w:r>
              <w:rPr>
                <w:b/>
                <w:sz w:val="18"/>
              </w:rPr>
              <w:t>Approach B</w:t>
            </w:r>
          </w:p>
        </w:tc>
      </w:tr>
      <w:tr w:rsidR="00673708" w14:paraId="2B4012F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47024BC3" w14:textId="77777777" w:rsidR="00673708" w:rsidRDefault="00000000">
            <w:pPr>
              <w:spacing w:after="0"/>
            </w:pPr>
            <w:r>
              <w:rPr>
                <w:sz w:val="18"/>
              </w:rPr>
              <w:t>Households forecast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3E2161CA" w14:textId="77777777" w:rsidR="00673708" w:rsidRDefault="00000000">
            <w:pPr>
              <w:spacing w:after="0"/>
            </w:pPr>
            <w:r>
              <w:rPr>
                <w:b/>
                <w:sz w:val="18"/>
              </w:rPr>
              <w:t>410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1B15614" w14:textId="77777777" w:rsidR="00673708" w:rsidRDefault="00000000">
            <w:pPr>
              <w:spacing w:after="0"/>
            </w:pPr>
            <w:r>
              <w:rPr>
                <w:b/>
                <w:sz w:val="18"/>
              </w:rPr>
              <w:t>410</w:t>
            </w:r>
          </w:p>
        </w:tc>
      </w:tr>
      <w:tr w:rsidR="00673708" w14:paraId="4544C37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4251F98" w14:textId="77777777" w:rsidR="00673708" w:rsidRDefault="00000000">
            <w:pPr>
              <w:spacing w:after="0"/>
            </w:pPr>
            <w:r>
              <w:rPr>
                <w:sz w:val="18"/>
              </w:rPr>
              <w:t>Daily point forecast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2F39E017" w14:textId="77777777" w:rsidR="00673708" w:rsidRDefault="00000000">
            <w:pPr>
              <w:spacing w:after="0"/>
            </w:pPr>
            <w:r>
              <w:rPr>
                <w:b/>
                <w:sz w:val="18"/>
              </w:rPr>
              <w:t>13.015 MWh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5A568BF9" w14:textId="77777777" w:rsidR="00673708" w:rsidRDefault="00000000">
            <w:pPr>
              <w:spacing w:after="0"/>
            </w:pPr>
            <w:r>
              <w:rPr>
                <w:b/>
                <w:sz w:val="18"/>
              </w:rPr>
              <w:t>12.012 MWh</w:t>
            </w:r>
          </w:p>
        </w:tc>
      </w:tr>
      <w:tr w:rsidR="00673708" w14:paraId="4645B58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7A0ACD25" w14:textId="77777777" w:rsidR="00673708" w:rsidRDefault="00000000">
            <w:pPr>
              <w:spacing w:after="0"/>
            </w:pPr>
            <w:r>
              <w:rPr>
                <w:sz w:val="18"/>
              </w:rPr>
              <w:t>Daily uncertainty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0B6CF164" w14:textId="77777777" w:rsidR="00673708" w:rsidRDefault="00000000">
            <w:pPr>
              <w:spacing w:after="0"/>
            </w:pPr>
            <w:r>
              <w:rPr>
                <w:sz w:val="18"/>
              </w:rPr>
              <w:t xml:space="preserve">P10 </w:t>
            </w:r>
            <w:r>
              <w:rPr>
                <w:b/>
                <w:sz w:val="18"/>
              </w:rPr>
              <w:t>10.470</w:t>
            </w:r>
            <w:r>
              <w:rPr>
                <w:sz w:val="18"/>
              </w:rPr>
              <w:t xml:space="preserve">; P50 </w:t>
            </w:r>
            <w:r>
              <w:rPr>
                <w:b/>
                <w:sz w:val="18"/>
              </w:rPr>
              <w:t>12.381</w:t>
            </w:r>
            <w:r>
              <w:rPr>
                <w:sz w:val="18"/>
              </w:rPr>
              <w:t xml:space="preserve">; P90 </w:t>
            </w:r>
            <w:r>
              <w:rPr>
                <w:b/>
                <w:sz w:val="18"/>
              </w:rPr>
              <w:t>14.681 MWh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0" w:type="dxa"/>
              <w:left w:w="65" w:type="dxa"/>
              <w:bottom w:w="30" w:type="dxa"/>
              <w:right w:w="65" w:type="dxa"/>
            </w:tcMar>
            <w:vAlign w:val="center"/>
          </w:tcPr>
          <w:p w14:paraId="6D7540D9" w14:textId="77777777" w:rsidR="00673708" w:rsidRDefault="00000000">
            <w:pPr>
              <w:spacing w:after="0"/>
            </w:pPr>
            <w:r>
              <w:rPr>
                <w:sz w:val="18"/>
              </w:rPr>
              <w:t>No daily portfolio bounds available</w:t>
            </w:r>
          </w:p>
        </w:tc>
      </w:tr>
    </w:tbl>
    <w:p w14:paraId="7B51B6B5" w14:textId="77777777" w:rsidR="00673708" w:rsidRDefault="00673708">
      <w:pPr>
        <w:spacing w:after="0" w:line="40" w:lineRule="exact"/>
      </w:pPr>
    </w:p>
    <w:p w14:paraId="08DB4694" w14:textId="77777777" w:rsidR="00673708" w:rsidRDefault="00000000">
      <w:r>
        <w:t>B uses 372 Ridge forecasts, 11 previous-week profiles, 23 historical profiles and 4 portfolio imputations. Both totals include all 410 consumers. This is the first genuinely unseen next-day forecast after the available record; no actual demand or forecast error is available.</w:t>
      </w:r>
    </w:p>
    <w:p w14:paraId="5F2F42CD" w14:textId="77777777" w:rsidR="00673708" w:rsidRDefault="00000000">
      <w:pPr>
        <w:pStyle w:val="Heading1"/>
      </w:pPr>
      <w:r>
        <w:t>Key Finding</w:t>
      </w:r>
    </w:p>
    <w:p w14:paraId="3322A4AA" w14:textId="77777777" w:rsidR="00673708" w:rsidRDefault="00000000" w:rsidP="006359CA">
      <w:pPr>
        <w:jc w:val="both"/>
      </w:pPr>
      <w:r>
        <w:t>Ridge prioritises simplicity and recurring demand patterns; gradient boosting explores adaptability through predicted weather and household context. Both forecast the entire portfolio; no ensemble is imposed.</w:t>
      </w:r>
    </w:p>
    <w:p w14:paraId="5313E0B4" w14:textId="77777777" w:rsidR="00673708" w:rsidRDefault="00000000">
      <w:pPr>
        <w:pStyle w:val="Heading1"/>
      </w:pPr>
      <w:r>
        <w:t>Limitations</w:t>
      </w:r>
    </w:p>
    <w:p w14:paraId="3CA03627" w14:textId="77777777" w:rsidR="00673708" w:rsidRDefault="00000000" w:rsidP="006359CA">
      <w:pPr>
        <w:jc w:val="both"/>
      </w:pPr>
      <w:r>
        <w:t>Historical household support and information cutoffs differ, limiting direct accuracy comparisons. A's daily uncertainty coverage is 73.4%, below nominal 80%; B's conformal intervals apply to Ridge household predictions rather than the full daily portfolio.</w:t>
      </w:r>
    </w:p>
    <w:sectPr w:rsidR="00673708" w:rsidSect="00034616">
      <w:pgSz w:w="11906" w:h="16838"/>
      <w:pgMar w:top="765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934196">
    <w:abstractNumId w:val="8"/>
  </w:num>
  <w:num w:numId="2" w16cid:durableId="1241402241">
    <w:abstractNumId w:val="6"/>
  </w:num>
  <w:num w:numId="3" w16cid:durableId="1495103830">
    <w:abstractNumId w:val="5"/>
  </w:num>
  <w:num w:numId="4" w16cid:durableId="401024932">
    <w:abstractNumId w:val="4"/>
  </w:num>
  <w:num w:numId="5" w16cid:durableId="419524574">
    <w:abstractNumId w:val="7"/>
  </w:num>
  <w:num w:numId="6" w16cid:durableId="1901550912">
    <w:abstractNumId w:val="3"/>
  </w:num>
  <w:num w:numId="7" w16cid:durableId="1359425362">
    <w:abstractNumId w:val="2"/>
  </w:num>
  <w:num w:numId="8" w16cid:durableId="1472672805">
    <w:abstractNumId w:val="1"/>
  </w:num>
  <w:num w:numId="9" w16cid:durableId="14448856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44B6"/>
    <w:rsid w:val="006359CA"/>
    <w:rsid w:val="00673708"/>
    <w:rsid w:val="00935448"/>
    <w:rsid w:val="00AA1D8D"/>
    <w:rsid w:val="00B47730"/>
    <w:rsid w:val="00C31DDF"/>
    <w:rsid w:val="00CB0664"/>
    <w:rsid w:val="00F012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83F09"/>
  <w14:defaultImageDpi w14:val="300"/>
  <w15:docId w15:val="{B26515E3-5F3C-6D4C-AC32-6147EE6D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/>
      <w:outlineLvl w:val="0"/>
    </w:pPr>
    <w:rPr>
      <w:rFonts w:asciiTheme="majorHAnsi" w:eastAsiaTheme="majorEastAsia" w:hAnsiTheme="majorHAnsi" w:cstheme="majorBidi"/>
      <w:b/>
      <w:bCs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509</Words>
  <Characters>3218</Characters>
  <Application>Microsoft Office Word</Application>
  <DocSecurity>0</DocSecurity>
  <Lines>123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Day Ahead Residential Energy Forecasting</vt:lpstr>
    </vt:vector>
  </TitlesOfParts>
  <Manager/>
  <Company/>
  <LinksUpToDate>false</LinksUpToDate>
  <CharactersWithSpaces>3615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Ahead Residential Energy Forecasting</dc:title>
  <dc:subject>Comparative Modelling and Portfolio Prediction</dc:subject>
  <dc:creator>Sudip Phuyal</dc:creator>
  <cp:keywords/>
  <dc:description/>
  <cp:lastModifiedBy>Sudip Phuyal</cp:lastModifiedBy>
  <cp:revision>3</cp:revision>
  <cp:lastPrinted>2026-10-06T19:58:00Z</cp:lastPrinted>
  <dcterms:created xsi:type="dcterms:W3CDTF">2026-10-06T19:58:00Z</dcterms:created>
  <dcterms:modified xsi:type="dcterms:W3CDTF">2026-10-06T19:58:00Z</dcterms:modified>
  <cp:category/>
</cp:coreProperties>
</file>