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F4E79"/>
          <w:sz w:val="32"/>
        </w:rPr>
        <w:t>Day-Ahead Residential Electricity Forecasting</w:t>
      </w:r>
    </w:p>
    <w:p>
      <w:pPr>
        <w:spacing w:after="140"/>
        <w:jc w:val="center"/>
      </w:pPr>
      <w:r>
        <w:rPr>
          <w:i/>
          <w:color w:val="595959"/>
          <w:sz w:val="19"/>
        </w:rPr>
        <w:t>Summer School Solution - Ridge Regression with Conformal Uncertainty</w:t>
      </w:r>
    </w:p>
    <w:tbl>
      <w:tblPr>
        <w:tblW w:type="auto" w:w="0"/>
        <w:jc w:val="center"/>
        <w:tblLayout w:type="fixed"/>
        <w:tblLook w:firstColumn="1" w:firstRow="1" w:lastColumn="0" w:lastRow="0" w:noHBand="0" w:noVBand="1" w:val="04A0"/>
      </w:tblPr>
      <w:tblGrid>
        <w:gridCol w:w="3456"/>
        <w:gridCol w:w="3456"/>
        <w:gridCol w:w="3456"/>
      </w:tblGrid>
      <w:tr>
        <w:tc>
          <w:tcPr>
            <w:tcW w:type="dxa" w:w="3312"/>
            <w:vAlign w:val="center"/>
            <w:shd w:fill="EAF2F8"/>
          </w:tcPr>
          <w:p>
            <w:r>
              <w:rPr>
                <w:sz w:val="17"/>
              </w:rPr>
              <w:t>Final target</w:t>
            </w:r>
          </w:p>
        </w:tc>
        <w:tc>
          <w:tcPr>
            <w:tcW w:type="dxa" w:w="3312"/>
            <w:vAlign w:val="center"/>
            <w:shd w:fill="EAF2F8"/>
          </w:tcPr>
          <w:p>
            <w:r>
              <w:rPr>
                <w:sz w:val="17"/>
              </w:rPr>
              <w:t>28 Feb 2024</w:t>
            </w:r>
          </w:p>
        </w:tc>
        <w:tc>
          <w:tcPr>
            <w:tcW w:type="dxa" w:w="3312"/>
            <w:vAlign w:val="center"/>
            <w:shd w:fill="EAF2F8"/>
          </w:tcPr>
          <w:p>
            <w:r>
              <w:rPr>
                <w:sz w:val="16"/>
              </w:rPr>
              <w:t>410 households; forecast = 12,011.58 kWh (12.012 MWh)</w:t>
            </w:r>
          </w:p>
        </w:tc>
      </w:tr>
    </w:tbl>
    <w:p>
      <w:pPr>
        <w:spacing w:before="120" w:after="40"/>
      </w:pPr>
      <w:r>
        <w:rPr>
          <w:b/>
          <w:color w:val="1F4E79"/>
          <w:sz w:val="22"/>
        </w:rPr>
        <w:t>Approach</w:t>
      </w:r>
    </w:p>
    <w:p>
      <w:pPr>
        <w:spacing w:after="60"/>
      </w:pPr>
      <w:r>
        <w:rPr>
          <w:sz w:val="19"/>
        </w:rPr>
        <w:t>A global Ridge regression model was trained using historical 15-minute household electricity consumption. The predictors were consumption at the same time one day earlier and one week earlier, together with cyclic time-of-day and day-of-week features. The global model was applied to each household using that household's own historical inputs, and the household forecasts were summed to obtain the portfolio forecast.</w:t>
      </w:r>
    </w:p>
    <w:p>
      <w:pPr>
        <w:spacing w:after="60"/>
      </w:pPr>
      <w:r>
        <w:rPr>
          <w:sz w:val="19"/>
        </w:rPr>
        <w:t>Forecast uncertainty was quantified using split conformal prediction. The 14 days immediately before the forecast date were reserved for calibration rather than Ridge training, producing nominal 80% marginal prediction intervals without assuming a particular forecast-error distribution.</w:t>
      </w:r>
    </w:p>
    <w:p>
      <w:pPr>
        <w:spacing w:before="120" w:after="40"/>
      </w:pPr>
      <w:r>
        <w:rPr>
          <w:b/>
          <w:color w:val="1F4E79"/>
          <w:sz w:val="22"/>
        </w:rPr>
        <w:t>Out-of-sample validation</w:t>
      </w:r>
    </w:p>
    <w:p>
      <w:pPr>
        <w:spacing w:after="60"/>
      </w:pPr>
      <w:r>
        <w:rPr>
          <w:sz w:val="18"/>
        </w:rPr>
        <w:t>Before forecasting February 28, the forecasting pipeline was run on three historical target dates: March 15, 2023, September 5, 2023, and February 27, 2024. For each date, only information available before the target day was used. Forecasts were generated for all 410 household files using Ridge regression where the data requirements were satisfied and fallback methods otherwise. However, complete measured target-day profiles were available for only 368, 381, and 374 households, respectively. Therefore, full 410-household validation metrics cannot be calculated for these dates.</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1872"/>
            <w:vAlign w:val="center"/>
            <w:shd w:fill="1F4E79"/>
          </w:tcPr>
          <w:p>
            <w:r>
              <w:rPr>
                <w:sz w:val="17"/>
              </w:rPr>
              <w:t>Validation dates</w:t>
            </w:r>
          </w:p>
        </w:tc>
        <w:tc>
          <w:tcPr>
            <w:tcW w:type="dxa" w:w="2664"/>
            <w:vAlign w:val="center"/>
            <w:shd w:fill="1F4E79"/>
          </w:tcPr>
          <w:p>
            <w:r>
              <w:rPr>
                <w:sz w:val="17"/>
              </w:rPr>
              <w:t>3</w:t>
            </w:r>
          </w:p>
        </w:tc>
        <w:tc>
          <w:tcPr>
            <w:tcW w:type="dxa" w:w="2664"/>
            <w:vAlign w:val="center"/>
            <w:shd w:fill="1F4E79"/>
          </w:tcPr>
          <w:p>
            <w:r>
              <w:rPr>
                <w:sz w:val="17"/>
              </w:rPr>
              <w:t>Dates</w:t>
            </w:r>
          </w:p>
        </w:tc>
        <w:tc>
          <w:tcPr>
            <w:tcW w:type="dxa" w:w="2736"/>
            <w:vAlign w:val="center"/>
            <w:shd w:fill="1F4E79"/>
          </w:tcPr>
          <w:p>
            <w:r>
              <w:rPr>
                <w:sz w:val="17"/>
              </w:rPr>
              <w:t>15 Mar 2023; 5 Sep 2023; 27 Feb 2024</w:t>
            </w:r>
          </w:p>
        </w:tc>
      </w:tr>
      <w:tr>
        <w:tc>
          <w:tcPr>
            <w:tcW w:type="dxa" w:w="1872"/>
            <w:vAlign w:val="center"/>
          </w:tcPr>
          <w:p>
            <w:r>
              <w:rPr>
                <w:sz w:val="16"/>
              </w:rPr>
              <w:t>Final forecast</w:t>
            </w:r>
          </w:p>
        </w:tc>
        <w:tc>
          <w:tcPr>
            <w:tcW w:type="dxa" w:w="2664"/>
            <w:vAlign w:val="center"/>
          </w:tcPr>
          <w:p>
            <w:r>
              <w:rPr>
                <w:sz w:val="16"/>
              </w:rPr>
              <w:t>410 households</w:t>
            </w:r>
          </w:p>
        </w:tc>
        <w:tc>
          <w:tcPr>
            <w:tcW w:type="dxa" w:w="2664"/>
            <w:vAlign w:val="center"/>
          </w:tcPr>
          <w:p>
            <w:r>
              <w:rPr>
                <w:sz w:val="16"/>
              </w:rPr>
              <w:t>Forecast</w:t>
            </w:r>
          </w:p>
        </w:tc>
        <w:tc>
          <w:tcPr>
            <w:tcW w:type="dxa" w:w="2736"/>
            <w:vAlign w:val="center"/>
          </w:tcPr>
          <w:p>
            <w:r>
              <w:rPr>
                <w:sz w:val="16"/>
              </w:rPr>
              <w:t>12,011.58 kWh (12.012 MWh)</w:t>
            </w:r>
          </w:p>
        </w:tc>
      </w:tr>
    </w:tbl>
    <w:p>
      <w:pPr>
        <w:spacing w:before="120" w:after="40"/>
      </w:pPr>
      <w:r>
        <w:rPr>
          <w:b/>
          <w:color w:val="1F4E79"/>
          <w:sz w:val="22"/>
        </w:rPr>
        <w:t>Model choice</w:t>
      </w:r>
    </w:p>
    <w:p>
      <w:pPr>
        <w:spacing w:after="60"/>
      </w:pPr>
      <w:r>
        <w:rPr>
          <w:sz w:val="19"/>
        </w:rPr>
        <w:t>More complex alternatives, including tree-based models and consumption-pattern clustering, were explored but did not provide sufficiently consistent improvements. The simpler Ridge model was therefore retained for the final solution.</w:t>
      </w:r>
    </w:p>
    <w:p>
      <w:pPr>
        <w:spacing w:before="120" w:after="40"/>
      </w:pPr>
      <w:r>
        <w:rPr>
          <w:b/>
          <w:color w:val="1F4E79"/>
          <w:sz w:val="22"/>
        </w:rPr>
        <w:t>Final forecast and data coverage</w:t>
      </w:r>
    </w:p>
    <w:p>
      <w:pPr>
        <w:spacing w:after="60"/>
      </w:pPr>
      <w:r>
        <w:rPr>
          <w:sz w:val="18"/>
        </w:rPr>
        <w:t>The final target is the total day-ahead consumption of all 410 households for February 28, 2024. The final pipeline forecasts 372 households using Ridge regression, 11 using the previous-week profile, 23 using a historical 15-minute profile, and 4 using portfolio-based imputation. The resulting aggregate day-ahead forecast is 12,011.58 kWh (12.012 MWh).</w:t>
      </w:r>
    </w:p>
    <w:p>
      <w:pPr>
        <w:spacing w:after="60"/>
      </w:pPr>
      <w:r>
        <w:rPr>
          <w:sz w:val="18"/>
        </w:rPr>
        <w:t>The dataset contains 410 household files, of which 406 contain usable consumption data and 4 require complete imputation. Retaining fallback and imputation methods ensures that the final portfolio forecast covers all 410 household files rather than only the Ridge-eligible subset.</w:t>
      </w:r>
    </w:p>
    <w:p>
      <w:pPr>
        <w:spacing w:before="100"/>
        <w:jc w:val="center"/>
      </w:pPr>
      <w:r>
        <w:rPr>
          <w:sz w:val="19"/>
        </w:rPr>
        <w:t>Final pipeline: historical household consumption -&gt; Ridge eligibility check -&gt; global Ridge for eligible households / fallback for remaining households -&gt; 410 household forecasts -&gt; portfolio aggregation -&gt; conformal uncertainty for Ridge forecasts</w:t>
      </w:r>
    </w:p>
    <w:p>
      <w:r>
        <w:rPr>
          <w:sz w:val="18"/>
        </w:rPr>
        <w:t>Historical validation coverage with the 410-household forecasting pipeline</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sz w:val="16"/>
              </w:rPr>
              <w:t>Date</w:t>
            </w:r>
          </w:p>
        </w:tc>
        <w:tc>
          <w:tcPr>
            <w:tcW w:type="dxa" w:w="1728"/>
          </w:tcPr>
          <w:p>
            <w:r>
              <w:rPr>
                <w:sz w:val="16"/>
              </w:rPr>
              <w:t>Forecasted households</w:t>
            </w:r>
          </w:p>
        </w:tc>
        <w:tc>
          <w:tcPr>
            <w:tcW w:type="dxa" w:w="1728"/>
          </w:tcPr>
          <w:p>
            <w:r>
              <w:rPr>
                <w:sz w:val="16"/>
              </w:rPr>
              <w:t>Actual profiles available</w:t>
            </w:r>
          </w:p>
        </w:tc>
        <w:tc>
          <w:tcPr>
            <w:tcW w:type="dxa" w:w="1728"/>
          </w:tcPr>
          <w:p>
            <w:r>
              <w:rPr>
                <w:sz w:val="16"/>
              </w:rPr>
              <w:t>Ridge</w:t>
            </w:r>
          </w:p>
        </w:tc>
        <w:tc>
          <w:tcPr>
            <w:tcW w:type="dxa" w:w="1728"/>
          </w:tcPr>
          <w:p>
            <w:r>
              <w:rPr>
                <w:sz w:val="16"/>
              </w:rPr>
              <w:t>Fallback / imputation</w:t>
            </w:r>
          </w:p>
        </w:tc>
        <w:tc>
          <w:tcPr>
            <w:tcW w:type="dxa" w:w="1728"/>
          </w:tcPr>
          <w:p>
            <w:r>
              <w:rPr>
                <w:sz w:val="16"/>
              </w:rPr>
              <w:t>Validation status</w:t>
            </w:r>
          </w:p>
        </w:tc>
      </w:tr>
      <w:tr>
        <w:tc>
          <w:tcPr>
            <w:tcW w:type="dxa" w:w="1728"/>
          </w:tcPr>
          <w:p>
            <w:r>
              <w:rPr>
                <w:sz w:val="16"/>
              </w:rPr>
              <w:t>15 Mar 2023</w:t>
            </w:r>
          </w:p>
        </w:tc>
        <w:tc>
          <w:tcPr>
            <w:tcW w:type="dxa" w:w="1728"/>
          </w:tcPr>
          <w:p>
            <w:r>
              <w:rPr>
                <w:sz w:val="16"/>
              </w:rPr>
              <w:t>410</w:t>
            </w:r>
          </w:p>
        </w:tc>
        <w:tc>
          <w:tcPr>
            <w:tcW w:type="dxa" w:w="1728"/>
          </w:tcPr>
          <w:p>
            <w:r>
              <w:rPr>
                <w:sz w:val="16"/>
              </w:rPr>
              <w:t>368</w:t>
            </w:r>
          </w:p>
        </w:tc>
        <w:tc>
          <w:tcPr>
            <w:tcW w:type="dxa" w:w="1728"/>
          </w:tcPr>
          <w:p>
            <w:r>
              <w:rPr>
                <w:sz w:val="16"/>
              </w:rPr>
              <w:t>295</w:t>
            </w:r>
          </w:p>
        </w:tc>
        <w:tc>
          <w:tcPr>
            <w:tcW w:type="dxa" w:w="1728"/>
          </w:tcPr>
          <w:p>
            <w:r>
              <w:rPr>
                <w:sz w:val="16"/>
              </w:rPr>
              <w:t>115</w:t>
            </w:r>
          </w:p>
        </w:tc>
        <w:tc>
          <w:tcPr>
            <w:tcW w:type="dxa" w:w="1728"/>
          </w:tcPr>
          <w:p>
            <w:r>
              <w:rPr>
                <w:sz w:val="16"/>
              </w:rPr>
              <w:t>Full 410-household metrics unavailable</w:t>
            </w:r>
          </w:p>
        </w:tc>
      </w:tr>
      <w:tr>
        <w:tc>
          <w:tcPr>
            <w:tcW w:type="dxa" w:w="1728"/>
          </w:tcPr>
          <w:p>
            <w:r>
              <w:rPr>
                <w:sz w:val="16"/>
              </w:rPr>
              <w:t>5 Sep 2023</w:t>
            </w:r>
          </w:p>
        </w:tc>
        <w:tc>
          <w:tcPr>
            <w:tcW w:type="dxa" w:w="1728"/>
          </w:tcPr>
          <w:p>
            <w:r>
              <w:rPr>
                <w:sz w:val="16"/>
              </w:rPr>
              <w:t>410</w:t>
            </w:r>
          </w:p>
        </w:tc>
        <w:tc>
          <w:tcPr>
            <w:tcW w:type="dxa" w:w="1728"/>
          </w:tcPr>
          <w:p>
            <w:r>
              <w:rPr>
                <w:sz w:val="16"/>
              </w:rPr>
              <w:t>381</w:t>
            </w:r>
          </w:p>
        </w:tc>
        <w:tc>
          <w:tcPr>
            <w:tcW w:type="dxa" w:w="1728"/>
          </w:tcPr>
          <w:p>
            <w:r>
              <w:rPr>
                <w:sz w:val="16"/>
              </w:rPr>
              <w:t>374</w:t>
            </w:r>
          </w:p>
        </w:tc>
        <w:tc>
          <w:tcPr>
            <w:tcW w:type="dxa" w:w="1728"/>
          </w:tcPr>
          <w:p>
            <w:r>
              <w:rPr>
                <w:sz w:val="16"/>
              </w:rPr>
              <w:t>36</w:t>
            </w:r>
          </w:p>
        </w:tc>
        <w:tc>
          <w:tcPr>
            <w:tcW w:type="dxa" w:w="1728"/>
          </w:tcPr>
          <w:p>
            <w:r>
              <w:rPr>
                <w:sz w:val="16"/>
              </w:rPr>
              <w:t>Full 410-household metrics unavailable</w:t>
            </w:r>
          </w:p>
        </w:tc>
      </w:tr>
      <w:tr>
        <w:tc>
          <w:tcPr>
            <w:tcW w:type="dxa" w:w="1728"/>
          </w:tcPr>
          <w:p>
            <w:r>
              <w:rPr>
                <w:sz w:val="16"/>
              </w:rPr>
              <w:t>27 Feb 2024</w:t>
            </w:r>
          </w:p>
        </w:tc>
        <w:tc>
          <w:tcPr>
            <w:tcW w:type="dxa" w:w="1728"/>
          </w:tcPr>
          <w:p>
            <w:r>
              <w:rPr>
                <w:sz w:val="16"/>
              </w:rPr>
              <w:t>410</w:t>
            </w:r>
          </w:p>
        </w:tc>
        <w:tc>
          <w:tcPr>
            <w:tcW w:type="dxa" w:w="1728"/>
          </w:tcPr>
          <w:p>
            <w:r>
              <w:rPr>
                <w:sz w:val="16"/>
              </w:rPr>
              <w:t>374</w:t>
            </w:r>
          </w:p>
        </w:tc>
        <w:tc>
          <w:tcPr>
            <w:tcW w:type="dxa" w:w="1728"/>
          </w:tcPr>
          <w:p>
            <w:r>
              <w:rPr>
                <w:sz w:val="16"/>
              </w:rPr>
              <w:t>374</w:t>
            </w:r>
          </w:p>
        </w:tc>
        <w:tc>
          <w:tcPr>
            <w:tcW w:type="dxa" w:w="1728"/>
          </w:tcPr>
          <w:p>
            <w:r>
              <w:rPr>
                <w:sz w:val="16"/>
              </w:rPr>
              <w:t>36</w:t>
            </w:r>
          </w:p>
        </w:tc>
        <w:tc>
          <w:tcPr>
            <w:tcW w:type="dxa" w:w="1728"/>
          </w:tcPr>
          <w:p>
            <w:r>
              <w:rPr>
                <w:sz w:val="16"/>
              </w:rPr>
              <w:t>Full 410-household metrics unavailable</w:t>
            </w:r>
          </w:p>
        </w:tc>
      </w:tr>
    </w:tbl>
    <w:p>
      <w:r>
        <w:rPr>
          <w:sz w:val="18"/>
        </w:rPr>
        <w:t>Complete actual profiles were not available for all 410 households on the three validation dates; therefore, aggregate 410-household MAE, RMSE, MAPE, and daily-error metrics are not reported.</w:t>
      </w:r>
      <w:r>
        <w:rPr>
          <w:sz w:val="18"/>
        </w:rPr>
        <w:br/>
        <w:t>Final February 28 forecasting-method breakdown</w:t>
      </w:r>
    </w:p>
    <w:tbl>
      <w:tblPr>
        <w:tblW w:type="auto" w:w="0"/>
        <w:tblLook w:firstColumn="1" w:firstRow="1" w:lastColumn="0" w:lastRow="0" w:noHBand="0" w:noVBand="1" w:val="04A0"/>
      </w:tblPr>
      <w:tblGrid>
        <w:gridCol w:w="2074"/>
        <w:gridCol w:w="2074"/>
        <w:gridCol w:w="2074"/>
        <w:gridCol w:w="2074"/>
        <w:gridCol w:w="2074"/>
      </w:tblGrid>
      <w:tr>
        <w:tc>
          <w:tcPr>
            <w:tcW w:type="dxa" w:w="2074"/>
          </w:tcPr>
          <w:p>
            <w:r>
              <w:rPr>
                <w:sz w:val="16"/>
              </w:rPr>
              <w:t>Date</w:t>
            </w:r>
          </w:p>
        </w:tc>
        <w:tc>
          <w:tcPr>
            <w:tcW w:type="dxa" w:w="2074"/>
          </w:tcPr>
          <w:p>
            <w:r>
              <w:rPr>
                <w:sz w:val="16"/>
              </w:rPr>
              <w:t>Ridge</w:t>
            </w:r>
          </w:p>
        </w:tc>
        <w:tc>
          <w:tcPr>
            <w:tcW w:type="dxa" w:w="2074"/>
          </w:tcPr>
          <w:p>
            <w:r>
              <w:rPr>
                <w:sz w:val="16"/>
              </w:rPr>
              <w:t>Previous week</w:t>
            </w:r>
          </w:p>
        </w:tc>
        <w:tc>
          <w:tcPr>
            <w:tcW w:type="dxa" w:w="2074"/>
          </w:tcPr>
          <w:p>
            <w:r>
              <w:rPr>
                <w:sz w:val="16"/>
              </w:rPr>
              <w:t>Historical profile</w:t>
            </w:r>
          </w:p>
        </w:tc>
        <w:tc>
          <w:tcPr>
            <w:tcW w:type="dxa" w:w="2074"/>
          </w:tcPr>
          <w:p>
            <w:r>
              <w:rPr>
                <w:sz w:val="16"/>
              </w:rPr>
              <w:t>Portfolio imputation</w:t>
            </w:r>
          </w:p>
        </w:tc>
      </w:tr>
      <w:tr>
        <w:tc>
          <w:tcPr>
            <w:tcW w:type="dxa" w:w="2074"/>
          </w:tcPr>
          <w:p>
            <w:r>
              <w:rPr>
                <w:sz w:val="16"/>
              </w:rPr>
              <w:t>28 Feb 2024</w:t>
            </w:r>
          </w:p>
        </w:tc>
        <w:tc>
          <w:tcPr>
            <w:tcW w:type="dxa" w:w="2074"/>
          </w:tcPr>
          <w:p>
            <w:r>
              <w:rPr>
                <w:sz w:val="16"/>
              </w:rPr>
              <w:t>372</w:t>
            </w:r>
          </w:p>
        </w:tc>
        <w:tc>
          <w:tcPr>
            <w:tcW w:type="dxa" w:w="2074"/>
          </w:tcPr>
          <w:p>
            <w:r>
              <w:rPr>
                <w:sz w:val="16"/>
              </w:rPr>
              <w:t>11</w:t>
            </w:r>
          </w:p>
        </w:tc>
        <w:tc>
          <w:tcPr>
            <w:tcW w:type="dxa" w:w="2074"/>
          </w:tcPr>
          <w:p>
            <w:r>
              <w:rPr>
                <w:sz w:val="16"/>
              </w:rPr>
              <w:t>23</w:t>
            </w:r>
          </w:p>
        </w:tc>
        <w:tc>
          <w:tcPr>
            <w:tcW w:type="dxa" w:w="2074"/>
          </w:tcPr>
          <w:p>
            <w:r>
              <w:rPr>
                <w:sz w:val="16"/>
              </w:rPr>
              <w:t>4</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