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1F3864"/>
          <w:sz w:val="60"/>
        </w:rPr>
        <w:t>camunda-db-poller — End-to-End Installation &amp; Execution Guide</w:t>
      </w:r>
    </w:p>
    <w:p>
      <w:pPr>
        <w:spacing w:before="120"/>
        <w:jc w:val="center"/>
      </w:pPr>
      <w:r>
        <w:rPr>
          <w:rFonts w:ascii="Calibri" w:hAnsi="Calibri"/>
          <w:color w:val="595959"/>
          <w:sz w:val="30"/>
        </w:rPr>
        <w:t>End-to-End Installation &amp; Execution Guide</w:t>
      </w:r>
    </w:p>
    <w:p>
      <w:pPr>
        <w:spacing w:before="360" w:after="360"/>
        <w:pBdr>
          <w:bottom w:val="single" w:sz="18" w:space="1" w:color="1F3864"/>
        </w:pBdr>
      </w:pP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</w:tcPr>
          <w:p>
            <w:pPr>
              <w:jc w:val="right"/>
            </w:pPr>
            <w:r>
              <w:rPr>
                <w:rFonts w:ascii="Calibri" w:hAnsi="Calibri"/>
                <w:b/>
                <w:color w:val="1F3864"/>
                <w:sz w:val="20"/>
              </w:rPr>
              <w:t>Target platform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sz w:val="20"/>
              </w:rPr>
              <w:t>Camunda 8 SaaS</w:t>
            </w:r>
          </w:p>
        </w:tc>
      </w:tr>
      <w:tr>
        <w:tc>
          <w:tcPr>
            <w:tcW w:type="dxa" w:w="2592"/>
          </w:tcPr>
          <w:p>
            <w:pPr>
              <w:jc w:val="right"/>
            </w:pPr>
            <w:r>
              <w:rPr>
                <w:rFonts w:ascii="Calibri" w:hAnsi="Calibri"/>
                <w:b/>
                <w:color w:val="1F3864"/>
                <w:sz w:val="20"/>
              </w:rPr>
              <w:t>Document version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592"/>
          </w:tcPr>
          <w:p>
            <w:pPr>
              <w:jc w:val="right"/>
            </w:pPr>
            <w:r>
              <w:rPr>
                <w:rFonts w:ascii="Calibri" w:hAnsi="Calibri"/>
                <w:b/>
                <w:color w:val="1F3864"/>
                <w:sz w:val="20"/>
              </w:rPr>
              <w:t>Scope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sz w:val="20"/>
              </w:rPr>
              <w:t>Build the connector, provision and configure a Camunda 8 SaaS cluster, deploy the connector runtime, model and deploy a BPMN process, and execute the flow end-to-end.</w:t>
            </w:r>
          </w:p>
        </w:tc>
      </w:tr>
      <w:tr>
        <w:tc>
          <w:tcPr>
            <w:tcW w:type="dxa" w:w="2592"/>
          </w:tcPr>
          <w:p>
            <w:pPr>
              <w:jc w:val="right"/>
            </w:pPr>
            <w:r>
              <w:rPr>
                <w:rFonts w:ascii="Calibri" w:hAnsi="Calibri"/>
                <w:b/>
                <w:color w:val="1F3864"/>
                <w:sz w:val="20"/>
              </w:rPr>
              <w:t>Generated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sz w:val="20"/>
              </w:rPr>
              <w:t>22 September 2026</w:t>
            </w:r>
          </w:p>
        </w:tc>
      </w:tr>
      <w:tr>
        <w:tc>
          <w:tcPr>
            <w:tcW w:type="dxa" w:w="2592"/>
          </w:tcPr>
          <w:p>
            <w:pPr>
              <w:jc w:val="right"/>
            </w:pPr>
            <w:r>
              <w:rPr>
                <w:rFonts w:ascii="Calibri" w:hAnsi="Calibri"/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sz w:val="20"/>
              </w:rPr>
              <w:t>Contains live cluster credentials — handle as confidential</w:t>
            </w:r>
          </w:p>
        </w:tc>
      </w:tr>
    </w:tbl>
    <w:p>
      <w:r>
        <w:br w:type="page"/>
      </w:r>
    </w:p>
    <w:p>
      <w:pPr>
        <w:pStyle w:val="Heading1"/>
        <w:spacing w:after="280"/>
      </w:pPr>
      <w:r>
        <w:rPr>
          <w:color w:val="1F3864"/>
        </w:rPr>
        <w:t>Table of Contents</w:t>
      </w:r>
    </w:p>
    <w:p>
      <w:pPr>
        <w:spacing w:after="80"/>
        <w:ind w:left="0"/>
      </w:pPr>
      <w:hyperlink w:anchor="heading_0">
        <w:r>
          <w:rPr>
            <w:rFonts w:ascii="Calibri"/>
            <w:sz w:val="23"/>
            <w:b/>
            <w:color w:val="1F3864"/>
          </w:rPr>
          <w:t xml:space="preserve">1. Overview</w:t>
        </w:r>
      </w:hyperlink>
    </w:p>
    <w:p>
      <w:pPr>
        <w:spacing w:after="80"/>
        <w:ind w:left="360"/>
      </w:pPr>
      <w:hyperlink w:anchor="heading_1">
        <w:r>
          <w:rPr>
            <w:rFonts w:ascii="Calibri"/>
            <w:sz w:val="20"/>
            <w:color w:val="333333"/>
          </w:rPr>
          <w:t xml:space="preserve">1.1 Architecture</w:t>
        </w:r>
      </w:hyperlink>
    </w:p>
    <w:p>
      <w:pPr>
        <w:spacing w:after="80"/>
        <w:ind w:left="360"/>
      </w:pPr>
      <w:hyperlink w:anchor="heading_2">
        <w:r>
          <w:rPr>
            <w:rFonts w:ascii="Calibri"/>
            <w:sz w:val="20"/>
            <w:color w:val="333333"/>
          </w:rPr>
          <w:t xml:space="preserve">1.2 Payload Shape</w:t>
        </w:r>
      </w:hyperlink>
    </w:p>
    <w:p>
      <w:pPr>
        <w:spacing w:after="80"/>
        <w:ind w:left="0"/>
      </w:pPr>
      <w:hyperlink w:anchor="heading_3">
        <w:r>
          <w:rPr>
            <w:rFonts w:ascii="Calibri"/>
            <w:sz w:val="23"/>
            <w:b/>
            <w:color w:val="1F3864"/>
          </w:rPr>
          <w:t xml:space="preserve">2. Prerequisites</w:t>
        </w:r>
      </w:hyperlink>
    </w:p>
    <w:p>
      <w:pPr>
        <w:spacing w:after="80"/>
        <w:ind w:left="0"/>
      </w:pPr>
      <w:hyperlink w:anchor="heading_4">
        <w:r>
          <w:rPr>
            <w:rFonts w:ascii="Calibri"/>
            <w:sz w:val="23"/>
            <w:b/>
            <w:color w:val="1F3864"/>
          </w:rPr>
          <w:t xml:space="preserve">3. Installing on Camunda 8 SaaS</w:t>
        </w:r>
      </w:hyperlink>
    </w:p>
    <w:p>
      <w:pPr>
        <w:spacing w:after="80"/>
        <w:ind w:left="360"/>
      </w:pPr>
      <w:hyperlink w:anchor="heading_5">
        <w:r>
          <w:rPr>
            <w:rFonts w:ascii="Calibri"/>
            <w:sz w:val="20"/>
            <w:color w:val="333333"/>
          </w:rPr>
          <w:t xml:space="preserve">3.1 Create a Camunda SaaS Account</w:t>
        </w:r>
      </w:hyperlink>
    </w:p>
    <w:p>
      <w:pPr>
        <w:spacing w:after="80"/>
        <w:ind w:left="360"/>
      </w:pPr>
      <w:hyperlink w:anchor="heading_6">
        <w:r>
          <w:rPr>
            <w:rFonts w:ascii="Calibri"/>
            <w:sz w:val="20"/>
            <w:color w:val="333333"/>
          </w:rPr>
          <w:t xml:space="preserve">3.2 Create a Cluster</w:t>
        </w:r>
      </w:hyperlink>
    </w:p>
    <w:p>
      <w:pPr>
        <w:spacing w:after="80"/>
        <w:ind w:left="360"/>
      </w:pPr>
      <w:hyperlink w:anchor="heading_7">
        <w:r>
          <w:rPr>
            <w:rFonts w:ascii="Calibri"/>
            <w:sz w:val="20"/>
            <w:color w:val="333333"/>
          </w:rPr>
          <w:t xml:space="preserve">3.3 Create an API Client</w:t>
        </w:r>
      </w:hyperlink>
    </w:p>
    <w:p>
      <w:pPr>
        <w:spacing w:after="80"/>
        <w:ind w:left="360"/>
      </w:pPr>
      <w:hyperlink w:anchor="heading_8">
        <w:r>
          <w:rPr>
            <w:rFonts w:ascii="Calibri"/>
            <w:sz w:val="20"/>
            <w:color w:val="333333"/>
          </w:rPr>
          <w:t xml:space="preserve">3.4 Sample SaaS Configuration</w:t>
        </w:r>
      </w:hyperlink>
    </w:p>
    <w:p>
      <w:pPr>
        <w:spacing w:after="80"/>
        <w:ind w:left="0"/>
      </w:pPr>
      <w:hyperlink w:anchor="heading_9">
        <w:r>
          <w:rPr>
            <w:rFonts w:ascii="Calibri"/>
            <w:sz w:val="23"/>
            <w:b/>
            <w:color w:val="1F3864"/>
          </w:rPr>
          <w:t xml:space="preserve">4. Build the Connector</w:t>
        </w:r>
      </w:hyperlink>
    </w:p>
    <w:p>
      <w:pPr>
        <w:spacing w:after="80"/>
        <w:ind w:left="0"/>
      </w:pPr>
      <w:hyperlink w:anchor="heading_10">
        <w:r>
          <w:rPr>
            <w:rFonts w:ascii="Calibri"/>
            <w:sz w:val="23"/>
            <w:b/>
            <w:color w:val="1F3864"/>
          </w:rPr>
          <w:t xml:space="preserve">5. Configure Local Credentials (.env)</w:t>
        </w:r>
      </w:hyperlink>
    </w:p>
    <w:p>
      <w:pPr>
        <w:spacing w:after="80"/>
        <w:ind w:left="0"/>
      </w:pPr>
      <w:hyperlink w:anchor="heading_11">
        <w:r>
          <w:rPr>
            <w:rFonts w:ascii="Calibri"/>
            <w:sz w:val="23"/>
            <w:b/>
            <w:color w:val="1F3864"/>
          </w:rPr>
          <w:t xml:space="preserve">6. Deploy the Connector Runtime</w:t>
        </w:r>
      </w:hyperlink>
    </w:p>
    <w:p>
      <w:pPr>
        <w:spacing w:after="80"/>
        <w:ind w:left="360"/>
      </w:pPr>
      <w:hyperlink w:anchor="heading_12">
        <w:r>
          <w:rPr>
            <w:rFonts w:ascii="Calibri"/>
            <w:sz w:val="20"/>
            <w:color w:val="333333"/>
          </w:rPr>
          <w:t xml:space="preserve">6.1 Run the Container</w:t>
        </w:r>
      </w:hyperlink>
    </w:p>
    <w:p>
      <w:pPr>
        <w:spacing w:after="80"/>
        <w:ind w:left="360"/>
      </w:pPr>
      <w:hyperlink w:anchor="heading_13">
        <w:r>
          <w:rPr>
            <w:rFonts w:ascii="Calibri"/>
            <w:sz w:val="20"/>
            <w:color w:val="333333"/>
          </w:rPr>
          <w:t xml:space="preserve">6.2 Verify the Deployment</w:t>
        </w:r>
      </w:hyperlink>
    </w:p>
    <w:p>
      <w:pPr>
        <w:spacing w:after="80"/>
        <w:ind w:left="0"/>
      </w:pPr>
      <w:hyperlink w:anchor="heading_14">
        <w:r>
          <w:rPr>
            <w:rFonts w:ascii="Calibri"/>
            <w:sz w:val="23"/>
            <w:b/>
            <w:color w:val="1F3864"/>
          </w:rPr>
          <w:t xml:space="preserve">7. Prepare a Test Database</w:t>
        </w:r>
      </w:hyperlink>
    </w:p>
    <w:p>
      <w:pPr>
        <w:spacing w:after="80"/>
        <w:ind w:left="0"/>
      </w:pPr>
      <w:hyperlink w:anchor="heading_15">
        <w:r>
          <w:rPr>
            <w:rFonts w:ascii="Calibri"/>
            <w:sz w:val="23"/>
            <w:b/>
            <w:color w:val="1F3864"/>
          </w:rPr>
          <w:t xml:space="preserve">8. Model and Deploy the BPMN Process</w:t>
        </w:r>
      </w:hyperlink>
    </w:p>
    <w:p>
      <w:pPr>
        <w:spacing w:after="80"/>
        <w:ind w:left="360"/>
      </w:pPr>
      <w:hyperlink w:anchor="heading_16">
        <w:r>
          <w:rPr>
            <w:rFonts w:ascii="Calibri"/>
            <w:sz w:val="20"/>
            <w:color w:val="333333"/>
          </w:rPr>
          <w:t xml:space="preserve">8.1 Import the Element Template</w:t>
        </w:r>
      </w:hyperlink>
    </w:p>
    <w:p>
      <w:pPr>
        <w:spacing w:after="80"/>
        <w:ind w:left="360"/>
      </w:pPr>
      <w:hyperlink w:anchor="heading_17">
        <w:r>
          <w:rPr>
            <w:rFonts w:ascii="Calibri"/>
            <w:sz w:val="20"/>
            <w:color w:val="333333"/>
          </w:rPr>
          <w:t xml:space="preserve">8.2 Configure the Connector Properties</w:t>
        </w:r>
      </w:hyperlink>
    </w:p>
    <w:p>
      <w:pPr>
        <w:spacing w:after="80"/>
        <w:ind w:left="360"/>
      </w:pPr>
      <w:hyperlink w:anchor="heading_18">
        <w:r>
          <w:rPr>
            <w:rFonts w:ascii="Calibri"/>
            <w:sz w:val="20"/>
            <w:color w:val="333333"/>
          </w:rPr>
          <w:t xml:space="preserve">8.3 Deploy to the SaaS Cluster</w:t>
        </w:r>
      </w:hyperlink>
    </w:p>
    <w:p>
      <w:pPr>
        <w:spacing w:after="80"/>
        <w:ind w:left="0"/>
      </w:pPr>
      <w:hyperlink w:anchor="heading_19">
        <w:r>
          <w:rPr>
            <w:rFonts w:ascii="Calibri"/>
            <w:sz w:val="23"/>
            <w:b/>
            <w:color w:val="1F3864"/>
          </w:rPr>
          <w:t xml:space="preserve">9. Execute End-to-End</w:t>
        </w:r>
      </w:hyperlink>
    </w:p>
    <w:p>
      <w:pPr>
        <w:spacing w:after="80"/>
        <w:ind w:left="0"/>
      </w:pPr>
      <w:hyperlink w:anchor="heading_20">
        <w:r>
          <w:rPr>
            <w:rFonts w:ascii="Calibri"/>
            <w:sz w:val="23"/>
            <w:b/>
            <w:color w:val="1F3864"/>
          </w:rPr>
          <w:t xml:space="preserve">10. Lifecycle Management</w:t>
        </w:r>
      </w:hyperlink>
    </w:p>
    <w:p>
      <w:pPr>
        <w:spacing w:after="80"/>
        <w:ind w:left="0"/>
      </w:pPr>
      <w:hyperlink w:anchor="heading_21">
        <w:r>
          <w:rPr>
            <w:rFonts w:ascii="Calibri"/>
            <w:sz w:val="23"/>
            <w:b/>
            <w:color w:val="1F3864"/>
          </w:rPr>
          <w:t xml:space="preserve">11. Troubleshooting</w:t>
        </w:r>
      </w:hyperlink>
    </w:p>
    <w:p>
      <w:pPr>
        <w:spacing w:after="80"/>
        <w:ind w:left="360"/>
      </w:pPr>
      <w:hyperlink w:anchor="heading_22">
        <w:r>
          <w:rPr>
            <w:rFonts w:ascii="Calibri"/>
            <w:sz w:val="20"/>
            <w:color w:val="333333"/>
          </w:rPr>
          <w:t xml:space="preserve">Useful Diagnostic Commands</w:t>
        </w:r>
      </w:hyperlink>
    </w:p>
    <w:p>
      <w:pPr>
        <w:spacing w:after="80"/>
        <w:ind w:left="0"/>
      </w:pPr>
      <w:hyperlink w:anchor="heading_23">
        <w:r>
          <w:rPr>
            <w:rFonts w:ascii="Calibri"/>
            <w:sz w:val="23"/>
            <w:b/>
            <w:color w:val="1F3864"/>
          </w:rPr>
          <w:t xml:space="preserve">Appendix A — Recreating .env</w:t>
        </w:r>
      </w:hyperlink>
    </w:p>
    <w:p>
      <w:pPr>
        <w:spacing w:after="80"/>
        <w:ind w:left="0"/>
      </w:pPr>
      <w:hyperlink w:anchor="heading_24">
        <w:r>
          <w:rPr>
            <w:rFonts w:ascii="Calibri"/>
            <w:sz w:val="23"/>
            <w:b/>
            <w:color w:val="1F3864"/>
          </w:rPr>
          <w:t xml:space="preserve">Appendix B — Environment Variable Reference</w:t>
        </w:r>
      </w:hyperlink>
    </w:p>
    <w:p>
      <w:r>
        <w:br w:type="page"/>
      </w:r>
    </w:p>
    <w:p>
      <w:bookmarkStart w:id="0" w:name="heading_0"/>
      <w:pPr>
        <w:pStyle w:val="Heading2"/>
      </w:pPr>
      <w:bookmarkEnd w:id="0"/>
      <w:r>
        <w:rPr>
          <w:color w:val="1F3864"/>
        </w:rPr>
        <w:t>1. Overview</w:t>
      </w:r>
    </w:p>
    <w:p>
      <w:pPr>
        <w:spacing w:after="160"/>
      </w:pPr>
      <w:r>
        <w:rPr>
          <w:rFonts w:ascii="Consolas" w:hAnsi="Consolas"/>
          <w:color w:val="B03600"/>
          <w:sz w:val="19"/>
        </w:rPr>
        <w:t>camunda-db-poller</w:t>
      </w:r>
      <w:r>
        <w:rPr>
          <w:rFonts w:ascii="Calibri" w:hAnsi="Calibri"/>
          <w:b w:val="0"/>
          <w:sz w:val="21"/>
        </w:rPr>
        <w:t xml:space="preserve"> is a community Camunda 8 </w:t>
      </w:r>
      <w:r>
        <w:rPr>
          <w:rFonts w:ascii="Calibri" w:hAnsi="Calibri"/>
          <w:b/>
          <w:sz w:val="21"/>
        </w:rPr>
        <w:t>inbound connector</w:t>
      </w:r>
      <w:r>
        <w:rPr>
          <w:rFonts w:ascii="Calibri" w:hAnsi="Calibri"/>
          <w:b w:val="0"/>
          <w:sz w:val="21"/>
        </w:rPr>
        <w:t>: it polls</w:t>
      </w:r>
    </w:p>
    <w:p>
      <w:pPr>
        <w:spacing w:after="160"/>
      </w:pPr>
      <w:r>
        <w:rPr>
          <w:rFonts w:ascii="Calibri" w:hAnsi="Calibri"/>
          <w:b w:val="0"/>
          <w:sz w:val="21"/>
        </w:rPr>
        <w:t>a JDBC database on a fixed interval and turns new or updated rows into BPMN</w:t>
      </w:r>
    </w:p>
    <w:p>
      <w:pPr>
        <w:spacing w:after="160"/>
      </w:pPr>
      <w:r>
        <w:rPr>
          <w:rFonts w:ascii="Calibri" w:hAnsi="Calibri"/>
          <w:b w:val="0"/>
          <w:sz w:val="21"/>
        </w:rPr>
        <w:t xml:space="preserve">messages, without any custom Java delegate or batch job. Configure a </w:t>
      </w:r>
      <w:r>
        <w:rPr>
          <w:rFonts w:ascii="Consolas" w:hAnsi="Consolas"/>
          <w:color w:val="B03600"/>
          <w:sz w:val="19"/>
        </w:rPr>
        <w:t>SELECT</w:t>
      </w:r>
    </w:p>
    <w:p>
      <w:pPr>
        <w:spacing w:after="160"/>
      </w:pPr>
      <w:r>
        <w:rPr>
          <w:rFonts w:ascii="Calibri" w:hAnsi="Calibri"/>
          <w:b w:val="0"/>
          <w:sz w:val="21"/>
        </w:rPr>
        <w:t>query, pick a watermark column, and every matching row starts or continues a</w:t>
      </w:r>
    </w:p>
    <w:p>
      <w:pPr>
        <w:spacing w:after="160"/>
      </w:pPr>
      <w:r>
        <w:rPr>
          <w:rFonts w:ascii="Calibri" w:hAnsi="Calibri"/>
          <w:b w:val="0"/>
          <w:sz w:val="21"/>
        </w:rPr>
        <w:t>process instance.</w:t>
      </w:r>
    </w:p>
    <w:p>
      <w:bookmarkStart w:id="1" w:name="heading_1"/>
      <w:pPr>
        <w:pStyle w:val="Heading3"/>
      </w:pPr>
      <w:bookmarkEnd w:id="1"/>
      <w:r>
        <w:rPr>
          <w:color w:val="2E2E2E"/>
        </w:rPr>
        <w:t>1.1 Architecture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648"/>
      </w:tblGrid>
      <w:tr>
        <w:tc>
          <w:tcPr>
            <w:tcW w:type="dxa" w:w="9648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Connector Runtime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activate()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-&gt; daemon thread "db-poller-&lt;processId&gt;"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pollOnce():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1. read watermark            (InMemoryWatermarkStore)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2. build SQL                 (replace :lastWatermark placeholder)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3. PreparedStatement.setXxx  (bind watermark, no string concat)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4. executeQuery -&gt; iterate ResultSet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5. correlateWithResult(RowPayload)  --&gt; Zeebe (gRPC)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6. advance highestWatermarkSeen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(repeats on a fixed delay = pollingIntervalSeconds)</w:t>
            </w:r>
          </w:p>
        </w:tc>
      </w:tr>
    </w:tbl>
    <w:p>
      <w:pPr>
        <w:spacing w:after="120"/>
      </w:pPr>
    </w:p>
    <w:p>
      <w:bookmarkStart w:id="2" w:name="heading_2"/>
      <w:pPr>
        <w:pStyle w:val="Heading3"/>
      </w:pPr>
      <w:bookmarkEnd w:id="2"/>
      <w:r>
        <w:rPr>
          <w:color w:val="2E2E2E"/>
        </w:rPr>
        <w:t>1.2 Payload Shape</w:t>
      </w:r>
    </w:p>
    <w:p>
      <w:pPr>
        <w:spacing w:after="160"/>
      </w:pPr>
      <w:r>
        <w:rPr>
          <w:rFonts w:ascii="Calibri" w:hAnsi="Calibri"/>
          <w:b w:val="0"/>
          <w:sz w:val="21"/>
        </w:rPr>
        <w:t xml:space="preserve">Every row is delivered to Zeebe as a </w:t>
      </w:r>
      <w:r>
        <w:rPr>
          <w:rFonts w:ascii="Consolas" w:hAnsi="Consolas"/>
          <w:color w:val="B03600"/>
          <w:sz w:val="19"/>
        </w:rPr>
        <w:t>RowPayload</w:t>
      </w:r>
      <w:r>
        <w:rPr>
          <w:rFonts w:ascii="Calibri" w:hAnsi="Calibri"/>
          <w:b w:val="0"/>
          <w:sz w:val="21"/>
        </w:rPr>
        <w:t>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648"/>
      </w:tblGrid>
      <w:tr>
        <w:tc>
          <w:tcPr>
            <w:tcW w:type="dxa" w:w="9648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"row":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"id": 42,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"status": "PENDING",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"updated_at": "2024-01-15T10:30:00Z",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"amount": 199.99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"metadata":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"dialect":    "POSTGRES",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"watermark":  "2024-01-15T10:30:00Z",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"polledAt":   "2024-01-15T10:30:01.123Z",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"instanceId": "order-fulfillment"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>
      <w:pPr>
        <w:spacing w:after="120"/>
      </w:pPr>
    </w:p>
    <w:p>
      <w:r>
        <w:br w:type="page"/>
      </w:r>
    </w:p>
    <w:p>
      <w:bookmarkStart w:id="3" w:name="heading_3"/>
      <w:pPr>
        <w:pStyle w:val="Heading2"/>
      </w:pPr>
      <w:bookmarkEnd w:id="3"/>
      <w:r>
        <w:rPr>
          <w:color w:val="1F3864"/>
        </w:rPr>
        <w:t>2. Prerequisites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216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216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 w:val="0"/>
                <w:sz w:val="19"/>
              </w:rPr>
              <w:t>1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sz w:val="19"/>
              </w:rPr>
              <w:t>JDK 17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B03600"/>
                <w:sz w:val="17"/>
              </w:rPr>
              <w:t>pom.xml</w:t>
            </w:r>
            <w:r>
              <w:rPr>
                <w:rFonts w:ascii="Calibri" w:hAnsi="Calibri"/>
                <w:b w:val="0"/>
                <w:sz w:val="19"/>
              </w:rPr>
              <w:t xml:space="preserve"> targets Java 17. Set </w:t>
            </w:r>
            <w:r>
              <w:rPr>
                <w:rFonts w:ascii="Consolas" w:hAnsi="Consolas"/>
                <w:color w:val="B03600"/>
                <w:sz w:val="17"/>
              </w:rPr>
              <w:t>JAVA_HOME</w:t>
            </w:r>
            <w:r>
              <w:rPr>
                <w:rFonts w:ascii="Calibri" w:hAnsi="Calibri"/>
                <w:b w:val="0"/>
                <w:sz w:val="19"/>
              </w:rPr>
              <w:t xml:space="preserve"> to a JDK 17 install before building.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sz w:val="19"/>
              </w:rPr>
              <w:t>Maven 3.9+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sz w:val="19"/>
              </w:rPr>
              <w:t xml:space="preserve">Check with </w:t>
            </w:r>
            <w:r>
              <w:rPr>
                <w:rFonts w:ascii="Consolas" w:hAnsi="Consolas"/>
                <w:color w:val="B03600"/>
                <w:sz w:val="17"/>
              </w:rPr>
              <w:t>mvn -version</w:t>
            </w:r>
            <w:r>
              <w:rPr>
                <w:rFonts w:ascii="Calibri" w:hAnsi="Calibri"/>
                <w:b w:val="0"/>
                <w:sz w:val="19"/>
              </w:rPr>
              <w:t>.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 w:val="0"/>
                <w:sz w:val="19"/>
              </w:rPr>
              <w:t>3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sz w:val="19"/>
              </w:rPr>
              <w:t>Docker Desktop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sz w:val="19"/>
              </w:rPr>
              <w:t>Must be running, daemon reachable (</w:t>
            </w:r>
            <w:r>
              <w:rPr>
                <w:rFonts w:ascii="Consolas" w:hAnsi="Consolas"/>
                <w:color w:val="B03600"/>
                <w:sz w:val="17"/>
              </w:rPr>
              <w:t>docker info</w:t>
            </w:r>
            <w:r>
              <w:rPr>
                <w:rFonts w:ascii="Calibri" w:hAnsi="Calibri"/>
                <w:b w:val="0"/>
                <w:sz w:val="19"/>
              </w:rPr>
              <w:t>).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 w:val="0"/>
                <w:sz w:val="19"/>
              </w:rPr>
              <w:t>4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sz w:val="19"/>
              </w:rPr>
              <w:t>A Camunda account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sz w:val="19"/>
              </w:rPr>
              <w:t xml:space="preserve">Free or paid — see </w:t>
            </w:r>
            <w:hyperlink w:anchor="3-installing-on-camunda-8-saas">
              <w:r>
                <w:rPr>
                  <w:color w:val="1155CC"/>
                  <w:u w:val="single"/>
                  <w:rFonts w:ascii="Calibri"/>
                </w:rPr>
                <w:t xml:space="preserve">Section 3</w:t>
              </w:r>
            </w:hyperlink>
            <w:r>
              <w:rPr>
                <w:rFonts w:ascii="Calibri" w:hAnsi="Calibri"/>
                <w:b w:val="0"/>
                <w:sz w:val="19"/>
              </w:rPr>
              <w:t xml:space="preserve"> if you don't have a cluster yet.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 w:val="0"/>
                <w:sz w:val="19"/>
              </w:rPr>
              <w:t>5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sz w:val="19"/>
              </w:rPr>
              <w:t>Camunda Modeler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sz w:val="19"/>
              </w:rPr>
              <w:t xml:space="preserve">Used to author and deploy the BPMN process. </w:t>
            </w:r>
            <w:hyperlink r:id="rId13">
              <w:r>
                <w:rPr>
                  <w:color w:val="1155CC"/>
                  <w:u w:val="single"/>
                  <w:rFonts w:ascii="Calibri"/>
                </w:rPr>
                <w:t xml:space="preserve">Download</w:t>
              </w:r>
            </w:hyperlink>
            <w:r>
              <w:rPr>
                <w:rFonts w:ascii="Calibri" w:hAnsi="Calibri"/>
                <w:b w:val="0"/>
                <w:sz w:val="19"/>
              </w:rPr>
              <w:t>.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 w:val="0"/>
                <w:sz w:val="19"/>
              </w:rPr>
              <w:t>6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sz w:val="19"/>
              </w:rPr>
              <w:t>A test database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sz w:val="19"/>
              </w:rPr>
              <w:t>PostgreSQL, MySQL, or H2. This guide provisions a throwaway PostgreSQL container so the whole flow is self-contained.</w:t>
            </w:r>
          </w:p>
        </w:tc>
      </w:tr>
    </w:tbl>
    <w:p>
      <w:pPr>
        <w:spacing w:after="120"/>
      </w:pPr>
    </w:p>
    <w:p>
      <w:r>
        <w:br w:type="page"/>
      </w:r>
    </w:p>
    <w:p>
      <w:bookmarkStart w:id="4" w:name="heading_4"/>
      <w:pPr>
        <w:pStyle w:val="Heading2"/>
      </w:pPr>
      <w:bookmarkEnd w:id="4"/>
      <w:r>
        <w:rPr>
          <w:color w:val="1F3864"/>
        </w:rPr>
        <w:t>3. Installing on Camunda 8 SaaS</w:t>
      </w:r>
    </w:p>
    <w:p>
      <w:pPr>
        <w:spacing w:after="160"/>
      </w:pPr>
      <w:r>
        <w:rPr>
          <w:rFonts w:ascii="Calibri" w:hAnsi="Calibri"/>
          <w:b w:val="0"/>
          <w:sz w:val="21"/>
        </w:rPr>
        <w:t>This section provisions the Camunda 8 SaaS cluster and API credentials the</w:t>
      </w:r>
    </w:p>
    <w:p>
      <w:pPr>
        <w:spacing w:after="160"/>
      </w:pPr>
      <w:r>
        <w:rPr>
          <w:rFonts w:ascii="Calibri" w:hAnsi="Calibri"/>
          <w:b w:val="0"/>
          <w:sz w:val="21"/>
        </w:rPr>
        <w:t xml:space="preserve">connector will run against. Skip to </w:t>
      </w:r>
      <w:hyperlink w:anchor="34-sample-saas-configuration">
        <w:r>
          <w:rPr>
            <w:color w:val="1155CC"/>
            <w:u w:val="single"/>
            <w:rFonts w:ascii="Calibri"/>
          </w:rPr>
          <w:t xml:space="preserve">Section 3.4</w:t>
        </w:r>
      </w:hyperlink>
    </w:p>
    <w:p>
      <w:pPr>
        <w:spacing w:after="160"/>
      </w:pPr>
      <w:r>
        <w:rPr>
          <w:rFonts w:ascii="Calibri" w:hAnsi="Calibri"/>
          <w:b w:val="0"/>
          <w:sz w:val="21"/>
        </w:rPr>
        <w:t>if you already have a cluster and client.</w:t>
      </w:r>
    </w:p>
    <w:p>
      <w:bookmarkStart w:id="5" w:name="heading_5"/>
      <w:pPr>
        <w:pStyle w:val="Heading3"/>
      </w:pPr>
      <w:bookmarkEnd w:id="5"/>
      <w:r>
        <w:rPr>
          <w:color w:val="2E2E2E"/>
        </w:rPr>
        <w:t>3.1 Create a Camunda SaaS Account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 xml:space="preserve">Go to the </w:t>
      </w:r>
      <w:hyperlink r:id="rId14">
        <w:r>
          <w:rPr>
            <w:color w:val="1155CC"/>
            <w:u w:val="single"/>
            <w:rFonts w:ascii="Calibri"/>
          </w:rPr>
          <w:t xml:space="preserve">Camunda Console</w:t>
        </w:r>
      </w:hyperlink>
      <w:r>
        <w:rPr>
          <w:rFonts w:ascii="Calibri" w:hAnsi="Calibri"/>
          <w:b w:val="0"/>
          <w:sz w:val="21"/>
        </w:rPr>
        <w:t>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Sign up (or sign in) with your email, Google, or GitHub account.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Accept the workspace / organization prompt on first login — Camunda</w:t>
      </w:r>
    </w:p>
    <w:p>
      <w:pPr>
        <w:spacing w:after="160"/>
      </w:pPr>
      <w:r>
        <w:rPr>
          <w:rFonts w:ascii="Calibri" w:hAnsi="Calibri"/>
          <w:b w:val="0"/>
          <w:sz w:val="21"/>
        </w:rPr>
        <w:t>creates a default organization for you.</w:t>
      </w:r>
    </w:p>
    <w:p>
      <w:bookmarkStart w:id="6" w:name="heading_6"/>
      <w:pPr>
        <w:pStyle w:val="Heading3"/>
      </w:pPr>
      <w:bookmarkEnd w:id="6"/>
      <w:r>
        <w:rPr>
          <w:color w:val="2E2E2E"/>
        </w:rPr>
        <w:t>3.2 Create a Cluster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 xml:space="preserve">In the Console, select </w:t>
      </w:r>
      <w:r>
        <w:rPr>
          <w:rFonts w:ascii="Calibri" w:hAnsi="Calibri"/>
          <w:b/>
          <w:sz w:val="21"/>
        </w:rPr>
        <w:t>Clusters</w:t>
      </w:r>
      <w:r>
        <w:rPr>
          <w:rFonts w:ascii="Calibri" w:hAnsi="Calibri"/>
          <w:b w:val="0"/>
          <w:sz w:val="21"/>
        </w:rPr>
        <w:t xml:space="preserve"> in the left navigation.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 xml:space="preserve">Click </w:t>
      </w:r>
      <w:r>
        <w:rPr>
          <w:rFonts w:ascii="Calibri" w:hAnsi="Calibri"/>
          <w:b/>
          <w:sz w:val="21"/>
        </w:rPr>
        <w:t>Create new cluster</w:t>
      </w:r>
      <w:r>
        <w:rPr>
          <w:rFonts w:ascii="Calibri" w:hAnsi="Calibri"/>
          <w:b w:val="0"/>
          <w:sz w:val="21"/>
        </w:rPr>
        <w:t>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Choose:</w:t>
      </w:r>
    </w:p>
    <w:p>
      <w:pPr>
        <w:spacing w:after="160"/>
      </w:pPr>
      <w:r>
        <w:rPr>
          <w:rFonts w:ascii="Calibri" w:hAnsi="Calibri"/>
          <w:b w:val="0"/>
          <w:sz w:val="21"/>
        </w:rPr>
        <w:t xml:space="preserve">- </w:t>
      </w:r>
      <w:r>
        <w:rPr>
          <w:rFonts w:ascii="Calibri" w:hAnsi="Calibri"/>
          <w:b/>
          <w:sz w:val="21"/>
        </w:rPr>
        <w:t>Plan</w:t>
      </w:r>
      <w:r>
        <w:rPr>
          <w:rFonts w:ascii="Calibri" w:hAnsi="Calibri"/>
          <w:b w:val="0"/>
          <w:sz w:val="21"/>
        </w:rPr>
        <w:t>: Trial/Free plan is sufficient for this guide.</w:t>
      </w:r>
    </w:p>
    <w:p>
      <w:pPr>
        <w:spacing w:after="160"/>
      </w:pPr>
      <w:r>
        <w:rPr>
          <w:rFonts w:ascii="Calibri" w:hAnsi="Calibri"/>
          <w:b w:val="0"/>
          <w:sz w:val="21"/>
        </w:rPr>
        <w:t xml:space="preserve">- </w:t>
      </w:r>
      <w:r>
        <w:rPr>
          <w:rFonts w:ascii="Calibri" w:hAnsi="Calibri"/>
          <w:b/>
          <w:sz w:val="21"/>
        </w:rPr>
        <w:t>Region</w:t>
      </w:r>
      <w:r>
        <w:rPr>
          <w:rFonts w:ascii="Calibri" w:hAnsi="Calibri"/>
          <w:b w:val="0"/>
          <w:sz w:val="21"/>
        </w:rPr>
        <w:t xml:space="preserve">: e.g. </w:t>
      </w:r>
      <w:r>
        <w:rPr>
          <w:rFonts w:ascii="Consolas" w:hAnsi="Consolas"/>
          <w:color w:val="B03600"/>
          <w:sz w:val="19"/>
        </w:rPr>
        <w:t>Singapore (sin-2)</w:t>
      </w:r>
      <w:r>
        <w:rPr>
          <w:rFonts w:ascii="Calibri" w:hAnsi="Calibri"/>
          <w:b w:val="0"/>
          <w:sz w:val="21"/>
        </w:rPr>
        <w:t>.</w:t>
      </w:r>
    </w:p>
    <w:p>
      <w:pPr>
        <w:spacing w:after="160"/>
      </w:pPr>
      <w:r>
        <w:rPr>
          <w:rFonts w:ascii="Calibri" w:hAnsi="Calibri"/>
          <w:b w:val="0"/>
          <w:sz w:val="21"/>
        </w:rPr>
        <w:t xml:space="preserve">- </w:t>
      </w:r>
      <w:r>
        <w:rPr>
          <w:rFonts w:ascii="Calibri" w:hAnsi="Calibri"/>
          <w:b/>
          <w:sz w:val="21"/>
        </w:rPr>
        <w:t>Cluster name</w:t>
      </w:r>
      <w:r>
        <w:rPr>
          <w:rFonts w:ascii="Calibri" w:hAnsi="Calibri"/>
          <w:b w:val="0"/>
          <w:sz w:val="21"/>
        </w:rPr>
        <w:t xml:space="preserve">: e.g. </w:t>
      </w:r>
      <w:r>
        <w:rPr>
          <w:rFonts w:ascii="Consolas" w:hAnsi="Consolas"/>
          <w:color w:val="B03600"/>
          <w:sz w:val="19"/>
        </w:rPr>
        <w:t>db-poller-cluster</w:t>
      </w:r>
      <w:r>
        <w:rPr>
          <w:rFonts w:ascii="Calibri" w:hAnsi="Calibri"/>
          <w:b w:val="0"/>
          <w:sz w:val="21"/>
        </w:rPr>
        <w:t>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 xml:space="preserve">Click </w:t>
      </w:r>
      <w:r>
        <w:rPr>
          <w:rFonts w:ascii="Calibri" w:hAnsi="Calibri"/>
          <w:b/>
          <w:sz w:val="21"/>
        </w:rPr>
        <w:t>Create</w:t>
      </w:r>
      <w:r>
        <w:rPr>
          <w:rFonts w:ascii="Calibri" w:hAnsi="Calibri"/>
          <w:b w:val="0"/>
          <w:sz w:val="21"/>
        </w:rPr>
        <w:t>. Provisioning takes a few minutes; the cluster status</w:t>
      </w:r>
    </w:p>
    <w:p>
      <w:pPr>
        <w:spacing w:after="160"/>
      </w:pPr>
      <w:r>
        <w:rPr>
          <w:rFonts w:ascii="Calibri" w:hAnsi="Calibri"/>
          <w:b w:val="0"/>
          <w:sz w:val="21"/>
        </w:rPr>
        <w:t>moves from *Creating* to *Healthy*.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 xml:space="preserve">Open the cluster and copy its </w:t>
      </w:r>
      <w:r>
        <w:rPr>
          <w:rFonts w:ascii="Calibri" w:hAnsi="Calibri"/>
          <w:b/>
          <w:sz w:val="21"/>
        </w:rPr>
        <w:t>Cluster ID</w:t>
      </w:r>
      <w:r>
        <w:rPr>
          <w:rFonts w:ascii="Calibri" w:hAnsi="Calibri"/>
          <w:b w:val="0"/>
          <w:sz w:val="21"/>
        </w:rPr>
        <w:t xml:space="preserve"> from the cluster's overview</w:t>
      </w:r>
    </w:p>
    <w:p>
      <w:pPr>
        <w:spacing w:after="160"/>
      </w:pPr>
      <w:r>
        <w:rPr>
          <w:rFonts w:ascii="Calibri" w:hAnsi="Calibri"/>
          <w:b w:val="0"/>
          <w:sz w:val="21"/>
        </w:rPr>
        <w:t xml:space="preserve">page (also visible in the URL: </w:t>
      </w:r>
      <w:r>
        <w:rPr>
          <w:rFonts w:ascii="Consolas" w:hAnsi="Consolas"/>
          <w:color w:val="B03600"/>
          <w:sz w:val="19"/>
        </w:rPr>
        <w:t>.../cluster/&lt;cluster-id&gt;</w:t>
      </w:r>
      <w:r>
        <w:rPr>
          <w:rFonts w:ascii="Calibri" w:hAnsi="Calibri"/>
          <w:b w:val="0"/>
          <w:sz w:val="21"/>
        </w:rPr>
        <w:t>).</w:t>
      </w:r>
    </w:p>
    <w:p>
      <w:bookmarkStart w:id="7" w:name="heading_7"/>
      <w:pPr>
        <w:pStyle w:val="Heading3"/>
      </w:pPr>
      <w:bookmarkEnd w:id="7"/>
      <w:r>
        <w:rPr>
          <w:color w:val="2E2E2E"/>
        </w:rPr>
        <w:t>3.3 Create an API Client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 xml:space="preserve">Inside the cluster, go to the </w:t>
      </w:r>
      <w:r>
        <w:rPr>
          <w:rFonts w:ascii="Calibri" w:hAnsi="Calibri"/>
          <w:b/>
          <w:sz w:val="21"/>
        </w:rPr>
        <w:t>API</w:t>
      </w:r>
      <w:r>
        <w:rPr>
          <w:rFonts w:ascii="Calibri" w:hAnsi="Calibri"/>
          <w:b w:val="0"/>
          <w:sz w:val="21"/>
        </w:rPr>
        <w:t xml:space="preserve"> tab.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 xml:space="preserve">Click </w:t>
      </w:r>
      <w:r>
        <w:rPr>
          <w:rFonts w:ascii="Calibri" w:hAnsi="Calibri"/>
          <w:b/>
          <w:sz w:val="21"/>
        </w:rPr>
        <w:t>Create new client</w:t>
      </w:r>
      <w:r>
        <w:rPr>
          <w:rFonts w:ascii="Calibri" w:hAnsi="Calibri"/>
          <w:b w:val="0"/>
          <w:sz w:val="21"/>
        </w:rPr>
        <w:t>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 xml:space="preserve">Give it a name, e.g. </w:t>
      </w:r>
      <w:r>
        <w:rPr>
          <w:rFonts w:ascii="Consolas" w:hAnsi="Consolas"/>
          <w:color w:val="B03600"/>
          <w:sz w:val="19"/>
        </w:rPr>
        <w:t>db-poller-client</w:t>
      </w:r>
      <w:r>
        <w:rPr>
          <w:rFonts w:ascii="Calibri" w:hAnsi="Calibri"/>
          <w:b w:val="0"/>
          <w:sz w:val="21"/>
        </w:rPr>
        <w:t>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 xml:space="preserve">Under </w:t>
      </w:r>
      <w:r>
        <w:rPr>
          <w:rFonts w:ascii="Calibri" w:hAnsi="Calibri"/>
          <w:b/>
          <w:sz w:val="21"/>
        </w:rPr>
        <w:t>Scopes</w:t>
      </w:r>
      <w:r>
        <w:rPr>
          <w:rFonts w:ascii="Calibri" w:hAnsi="Calibri"/>
          <w:b w:val="0"/>
          <w:sz w:val="21"/>
        </w:rPr>
        <w:t xml:space="preserve">, enable at minimum </w:t>
      </w:r>
      <w:r>
        <w:rPr>
          <w:rFonts w:ascii="Calibri" w:hAnsi="Calibri"/>
          <w:b/>
          <w:sz w:val="21"/>
        </w:rPr>
        <w:t>Zeebe</w:t>
      </w:r>
      <w:r>
        <w:rPr>
          <w:rFonts w:ascii="Calibri" w:hAnsi="Calibri"/>
          <w:b w:val="0"/>
          <w:sz w:val="21"/>
        </w:rPr>
        <w:t>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 xml:space="preserve">Click </w:t>
      </w:r>
      <w:r>
        <w:rPr>
          <w:rFonts w:ascii="Calibri" w:hAnsi="Calibri"/>
          <w:b/>
          <w:sz w:val="21"/>
        </w:rPr>
        <w:t>Create</w:t>
      </w:r>
      <w:r>
        <w:rPr>
          <w:rFonts w:ascii="Calibri" w:hAnsi="Calibri"/>
          <w:b w:val="0"/>
          <w:sz w:val="21"/>
        </w:rPr>
        <w:t xml:space="preserve"> — the </w:t>
      </w:r>
      <w:r>
        <w:rPr>
          <w:rFonts w:ascii="Calibri" w:hAnsi="Calibri"/>
          <w:b/>
          <w:sz w:val="21"/>
        </w:rPr>
        <w:t>Client ID</w:t>
      </w:r>
      <w:r>
        <w:rPr>
          <w:rFonts w:ascii="Calibri" w:hAnsi="Calibri"/>
          <w:b w:val="0"/>
          <w:sz w:val="21"/>
        </w:rPr>
        <w:t xml:space="preserve"> and </w:t>
      </w:r>
      <w:r>
        <w:rPr>
          <w:rFonts w:ascii="Calibri" w:hAnsi="Calibri"/>
          <w:b/>
          <w:sz w:val="21"/>
        </w:rPr>
        <w:t>Client Secret</w:t>
      </w:r>
      <w:r>
        <w:rPr>
          <w:rFonts w:ascii="Calibri" w:hAnsi="Calibri"/>
          <w:b w:val="0"/>
          <w:sz w:val="21"/>
        </w:rPr>
        <w:t xml:space="preserve"> are shown</w:t>
      </w:r>
    </w:p>
    <w:p>
      <w:pPr>
        <w:spacing w:after="160"/>
      </w:pPr>
      <w:r>
        <w:rPr>
          <w:rFonts w:ascii="Calibri" w:hAnsi="Calibri"/>
          <w:b/>
          <w:sz w:val="21"/>
        </w:rPr>
        <w:t>once</w:t>
      </w:r>
      <w:r>
        <w:rPr>
          <w:rFonts w:ascii="Calibri" w:hAnsi="Calibri"/>
          <w:b w:val="0"/>
          <w:sz w:val="21"/>
        </w:rPr>
        <w:t>. Copy both immediately and store them securely (a password</w:t>
      </w:r>
    </w:p>
    <w:p>
      <w:pPr>
        <w:spacing w:after="160"/>
      </w:pPr>
      <w:r>
        <w:rPr>
          <w:rFonts w:ascii="Calibri" w:hAnsi="Calibri"/>
          <w:b w:val="0"/>
          <w:sz w:val="21"/>
        </w:rPr>
        <w:t xml:space="preserve">manager or your local </w:t>
      </w:r>
      <w:r>
        <w:rPr>
          <w:rFonts w:ascii="Consolas" w:hAnsi="Consolas"/>
          <w:color w:val="B03600"/>
          <w:sz w:val="19"/>
        </w:rPr>
        <w:t>.env</w:t>
      </w:r>
      <w:r>
        <w:rPr>
          <w:rFonts w:ascii="Calibri" w:hAnsi="Calibri"/>
          <w:b w:val="0"/>
          <w:sz w:val="21"/>
        </w:rPr>
        <w:t xml:space="preserve"> file — never a committed file).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 xml:space="preserve">The client's </w:t>
      </w:r>
      <w:r>
        <w:rPr>
          <w:rFonts w:ascii="Calibri" w:hAnsi="Calibri"/>
          <w:b/>
          <w:sz w:val="21"/>
        </w:rPr>
        <w:t>OAuth Token URL</w:t>
      </w:r>
      <w:r>
        <w:rPr>
          <w:rFonts w:ascii="Calibri" w:hAnsi="Calibri"/>
          <w:b w:val="0"/>
          <w:sz w:val="21"/>
        </w:rPr>
        <w:t xml:space="preserve"> and </w:t>
      </w:r>
      <w:r>
        <w:rPr>
          <w:rFonts w:ascii="Calibri" w:hAnsi="Calibri"/>
          <w:b/>
          <w:sz w:val="21"/>
        </w:rPr>
        <w:t>Audience</w:t>
      </w:r>
      <w:r>
        <w:rPr>
          <w:rFonts w:ascii="Calibri" w:hAnsi="Calibri"/>
          <w:b w:val="0"/>
          <w:sz w:val="21"/>
        </w:rPr>
        <w:t xml:space="preserve"> are shown on the same</w:t>
      </w:r>
    </w:p>
    <w:p>
      <w:pPr>
        <w:spacing w:after="160"/>
      </w:pPr>
      <w:r>
        <w:rPr>
          <w:rFonts w:ascii="Calibri" w:hAnsi="Calibri"/>
          <w:b w:val="0"/>
          <w:sz w:val="21"/>
        </w:rPr>
        <w:t>screen; for Camunda SaaS these are fixed values:</w:t>
      </w:r>
    </w:p>
    <w:p>
      <w:pPr>
        <w:spacing w:after="160"/>
      </w:pPr>
      <w:r>
        <w:rPr>
          <w:rFonts w:ascii="Calibri" w:hAnsi="Calibri"/>
          <w:b w:val="0"/>
          <w:sz w:val="21"/>
        </w:rPr>
        <w:t xml:space="preserve">- Token URL: </w:t>
      </w:r>
      <w:r>
        <w:rPr>
          <w:rFonts w:ascii="Consolas" w:hAnsi="Consolas"/>
          <w:color w:val="B03600"/>
          <w:sz w:val="19"/>
        </w:rPr>
        <w:t>https://login.cloud.camunda.io/oauth/token</w:t>
      </w:r>
    </w:p>
    <w:p>
      <w:pPr>
        <w:spacing w:after="160"/>
      </w:pPr>
      <w:r>
        <w:rPr>
          <w:rFonts w:ascii="Calibri" w:hAnsi="Calibri"/>
          <w:b w:val="0"/>
          <w:sz w:val="21"/>
        </w:rPr>
        <w:t xml:space="preserve">- Audience: </w:t>
      </w:r>
      <w:r>
        <w:rPr>
          <w:rFonts w:ascii="Consolas" w:hAnsi="Consolas"/>
          <w:color w:val="B03600"/>
          <w:sz w:val="19"/>
        </w:rPr>
        <w:t>zeebe.camunda.io</w:t>
      </w:r>
    </w:p>
    <w:p>
      <w:bookmarkStart w:id="8" w:name="heading_8"/>
      <w:pPr>
        <w:pStyle w:val="Heading3"/>
      </w:pPr>
      <w:bookmarkEnd w:id="8"/>
      <w:r>
        <w:rPr>
          <w:color w:val="2E2E2E"/>
        </w:rPr>
        <w:t>3.4 Sample SaaS Configuration</w:t>
      </w:r>
    </w:p>
    <w:p>
      <w:pPr>
        <w:spacing w:after="160"/>
      </w:pPr>
      <w:r>
        <w:rPr>
          <w:rFonts w:ascii="Calibri" w:hAnsi="Calibri"/>
          <w:b w:val="0"/>
          <w:sz w:val="21"/>
        </w:rPr>
        <w:t>The values below are this project's actual provisioned cluster, used</w:t>
      </w:r>
    </w:p>
    <w:p>
      <w:pPr>
        <w:spacing w:after="160"/>
      </w:pPr>
      <w:r>
        <w:rPr>
          <w:rFonts w:ascii="Calibri" w:hAnsi="Calibri"/>
          <w:b w:val="0"/>
          <w:sz w:val="21"/>
        </w:rPr>
        <w:t>throughout the rest of this guide as a worked example. Treat these exactly</w:t>
      </w:r>
    </w:p>
    <w:p>
      <w:pPr>
        <w:spacing w:after="160"/>
      </w:pPr>
      <w:r>
        <w:rPr>
          <w:rFonts w:ascii="Calibri" w:hAnsi="Calibri"/>
          <w:b w:val="0"/>
          <w:sz w:val="21"/>
        </w:rPr>
        <w:t>like a password: keep them out of source control and don't share this</w:t>
      </w:r>
    </w:p>
    <w:p>
      <w:pPr>
        <w:spacing w:after="160"/>
      </w:pPr>
      <w:r>
        <w:rPr>
          <w:rFonts w:ascii="Calibri" w:hAnsi="Calibri"/>
          <w:b w:val="0"/>
          <w:sz w:val="21"/>
        </w:rPr>
        <w:t>document outside people who should have cluster access.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4824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824"/>
          </w:tcPr>
          <w:p>
            <w:r>
              <w:rPr>
                <w:rFonts w:ascii="Consolas" w:hAnsi="Consolas"/>
                <w:color w:val="B03600"/>
                <w:sz w:val="17"/>
              </w:rPr>
              <w:t>CAMUNDA_REGION_ID</w:t>
            </w:r>
          </w:p>
        </w:tc>
        <w:tc>
          <w:tcPr>
            <w:tcW w:type="dxa" w:w="4824"/>
          </w:tcPr>
          <w:p>
            <w:r>
              <w:rPr>
                <w:rFonts w:ascii="Consolas" w:hAnsi="Consolas"/>
                <w:color w:val="B03600"/>
                <w:sz w:val="17"/>
              </w:rPr>
              <w:t>sin-2</w:t>
            </w:r>
          </w:p>
        </w:tc>
      </w:tr>
      <w:tr>
        <w:tc>
          <w:tcPr>
            <w:tcW w:type="dxa" w:w="4824"/>
          </w:tcPr>
          <w:p>
            <w:r>
              <w:rPr>
                <w:rFonts w:ascii="Consolas" w:hAnsi="Consolas"/>
                <w:color w:val="B03600"/>
                <w:sz w:val="17"/>
              </w:rPr>
              <w:t>CAMUNDA_CLUSTER_ID</w:t>
            </w:r>
          </w:p>
        </w:tc>
        <w:tc>
          <w:tcPr>
            <w:tcW w:type="dxa" w:w="4824"/>
          </w:tcPr>
          <w:p>
            <w:r>
              <w:rPr>
                <w:rFonts w:ascii="Consolas" w:hAnsi="Consolas"/>
                <w:color w:val="B03600"/>
                <w:sz w:val="17"/>
              </w:rPr>
              <w:t>6b1873fb-1baa-4922-8136-5bb42ddcbc4f</w:t>
            </w:r>
          </w:p>
        </w:tc>
      </w:tr>
      <w:tr>
        <w:tc>
          <w:tcPr>
            <w:tcW w:type="dxa" w:w="4824"/>
          </w:tcPr>
          <w:p>
            <w:r>
              <w:rPr>
                <w:rFonts w:ascii="Consolas" w:hAnsi="Consolas"/>
                <w:color w:val="B03600"/>
                <w:sz w:val="17"/>
              </w:rPr>
              <w:t>CAMUNDA_CLIENT_ID</w:t>
            </w:r>
          </w:p>
        </w:tc>
        <w:tc>
          <w:tcPr>
            <w:tcW w:type="dxa" w:w="4824"/>
          </w:tcPr>
          <w:p>
            <w:r>
              <w:rPr>
                <w:rFonts w:ascii="Consolas" w:hAnsi="Consolas"/>
                <w:color w:val="B03600"/>
                <w:sz w:val="17"/>
              </w:rPr>
              <w:t>1HlV.YWTWEj6ccY1D-EaLxS26YV5R7RH</w:t>
            </w:r>
          </w:p>
        </w:tc>
      </w:tr>
      <w:tr>
        <w:tc>
          <w:tcPr>
            <w:tcW w:type="dxa" w:w="4824"/>
          </w:tcPr>
          <w:p>
            <w:r>
              <w:rPr>
                <w:rFonts w:ascii="Consolas" w:hAnsi="Consolas"/>
                <w:color w:val="B03600"/>
                <w:sz w:val="17"/>
              </w:rPr>
              <w:t>CAMUNDA_CLIENT_SECRET</w:t>
            </w:r>
          </w:p>
        </w:tc>
        <w:tc>
          <w:tcPr>
            <w:tcW w:type="dxa" w:w="4824"/>
          </w:tcPr>
          <w:p>
            <w:r>
              <w:rPr>
                <w:rFonts w:ascii="Consolas" w:hAnsi="Consolas"/>
                <w:color w:val="B03600"/>
                <w:sz w:val="17"/>
              </w:rPr>
              <w:t>rWhQntsplyxnLZeO72lL6WezsLAmV-jZjX0f~IVUCPZaYyit0UXZ.3TaohKSu.2v</w:t>
            </w:r>
          </w:p>
        </w:tc>
      </w:tr>
      <w:tr>
        <w:tc>
          <w:tcPr>
            <w:tcW w:type="dxa" w:w="4824"/>
          </w:tcPr>
          <w:p>
            <w:r>
              <w:rPr>
                <w:rFonts w:ascii="Consolas" w:hAnsi="Consolas"/>
                <w:color w:val="B03600"/>
                <w:sz w:val="17"/>
              </w:rPr>
              <w:t>CAMUNDA_OAUTH_URL</w:t>
            </w:r>
          </w:p>
        </w:tc>
        <w:tc>
          <w:tcPr>
            <w:tcW w:type="dxa" w:w="4824"/>
          </w:tcPr>
          <w:p>
            <w:r>
              <w:rPr>
                <w:rFonts w:ascii="Consolas" w:hAnsi="Consolas"/>
                <w:color w:val="B03600"/>
                <w:sz w:val="17"/>
              </w:rPr>
              <w:t>https://login.cloud.camunda.io/oauth/token</w:t>
            </w:r>
          </w:p>
        </w:tc>
      </w:tr>
      <w:tr>
        <w:tc>
          <w:tcPr>
            <w:tcW w:type="dxa" w:w="4824"/>
          </w:tcPr>
          <w:p>
            <w:r>
              <w:rPr>
                <w:rFonts w:ascii="Consolas" w:hAnsi="Consolas"/>
                <w:color w:val="B03600"/>
                <w:sz w:val="17"/>
              </w:rPr>
              <w:t>CAMUNDA_TOKEN_AUDIENCE</w:t>
            </w:r>
          </w:p>
        </w:tc>
        <w:tc>
          <w:tcPr>
            <w:tcW w:type="dxa" w:w="4824"/>
          </w:tcPr>
          <w:p>
            <w:r>
              <w:rPr>
                <w:rFonts w:ascii="Consolas" w:hAnsi="Consolas"/>
                <w:color w:val="B03600"/>
                <w:sz w:val="17"/>
              </w:rPr>
              <w:t>zeebe.camunda.io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Calibri" w:hAnsi="Calibri"/>
          <w:b w:val="0"/>
          <w:sz w:val="21"/>
        </w:rPr>
        <w:t>These are the names Camunda Console shows you. The Connector Runtime's</w:t>
      </w:r>
    </w:p>
    <w:p>
      <w:pPr>
        <w:spacing w:after="160"/>
      </w:pPr>
      <w:r>
        <w:rPr>
          <w:rFonts w:ascii="Calibri" w:hAnsi="Calibri"/>
          <w:b w:val="0"/>
          <w:sz w:val="21"/>
        </w:rPr>
        <w:t xml:space="preserve">Spring Boot configuration binds to a </w:t>
      </w:r>
      <w:r>
        <w:rPr>
          <w:rFonts w:ascii="Calibri" w:hAnsi="Calibri"/>
          <w:b/>
          <w:sz w:val="21"/>
        </w:rPr>
        <w:t>different</w:t>
      </w:r>
      <w:r>
        <w:rPr>
          <w:rFonts w:ascii="Calibri" w:hAnsi="Calibri"/>
          <w:b w:val="0"/>
          <w:sz w:val="21"/>
        </w:rPr>
        <w:t xml:space="preserve"> set of property names</w:t>
      </w:r>
    </w:p>
    <w:p>
      <w:pPr>
        <w:spacing w:after="160"/>
      </w:pPr>
      <w:r>
        <w:rPr>
          <w:rFonts w:ascii="Calibri" w:hAnsi="Calibri"/>
          <w:b w:val="0"/>
          <w:sz w:val="21"/>
        </w:rPr>
        <w:t>(</w:t>
      </w:r>
      <w:r>
        <w:rPr>
          <w:rFonts w:ascii="Consolas" w:hAnsi="Consolas"/>
          <w:color w:val="B03600"/>
          <w:sz w:val="19"/>
        </w:rPr>
        <w:t>camunda.client.*</w:t>
      </w:r>
      <w:r>
        <w:rPr>
          <w:rFonts w:ascii="Calibri" w:hAnsi="Calibri"/>
          <w:b w:val="0"/>
          <w:sz w:val="21"/>
        </w:rPr>
        <w:t xml:space="preserve">) — </w:t>
      </w:r>
      <w:hyperlink w:anchor="5-configure-local-credentials-env">
        <w:r>
          <w:rPr>
            <w:color w:val="1155CC"/>
            <w:u w:val="single"/>
            <w:rFonts w:ascii="Calibri"/>
          </w:rPr>
          <w:t xml:space="preserve">Section 5</w:t>
        </w:r>
      </w:hyperlink>
      <w:r>
        <w:rPr>
          <w:rFonts w:ascii="Calibri" w:hAnsi="Calibri"/>
          <w:b w:val="0"/>
          <w:sz w:val="21"/>
        </w:rPr>
        <w:t xml:space="preserve"> shows</w:t>
      </w:r>
    </w:p>
    <w:p>
      <w:pPr>
        <w:spacing w:after="160"/>
      </w:pPr>
      <w:r>
        <w:rPr>
          <w:rFonts w:ascii="Calibri" w:hAnsi="Calibri"/>
          <w:b w:val="0"/>
          <w:sz w:val="21"/>
        </w:rPr>
        <w:t>the exact translation. This is the single most common setup mistake: using</w:t>
      </w:r>
    </w:p>
    <w:p>
      <w:pPr>
        <w:spacing w:after="160"/>
      </w:pPr>
      <w:r>
        <w:rPr>
          <w:rFonts w:ascii="Calibri" w:hAnsi="Calibri"/>
          <w:b w:val="0"/>
          <w:sz w:val="21"/>
        </w:rPr>
        <w:t>the Console's variable names directly as Docker environment variables</w:t>
      </w:r>
    </w:p>
    <w:p>
      <w:pPr>
        <w:spacing w:after="160"/>
      </w:pPr>
      <w:r>
        <w:rPr>
          <w:rFonts w:ascii="Calibri" w:hAnsi="Calibri"/>
          <w:b w:val="0"/>
          <w:sz w:val="21"/>
        </w:rPr>
        <w:t>silently produces an unauthenticated client (</w:t>
      </w:r>
      <w:r>
        <w:rPr>
          <w:rFonts w:ascii="Consolas" w:hAnsi="Consolas"/>
          <w:color w:val="B03600"/>
          <w:sz w:val="19"/>
        </w:rPr>
        <w:t>auth.method</w:t>
      </w:r>
      <w:r>
        <w:rPr>
          <w:rFonts w:ascii="Calibri" w:hAnsi="Calibri"/>
          <w:b w:val="0"/>
          <w:sz w:val="21"/>
        </w:rPr>
        <w:t xml:space="preserve"> defaults to</w:t>
      </w:r>
    </w:p>
    <w:p>
      <w:pPr>
        <w:spacing w:after="160"/>
      </w:pPr>
      <w:r>
        <w:rPr>
          <w:rFonts w:ascii="Consolas" w:hAnsi="Consolas"/>
          <w:color w:val="B03600"/>
          <w:sz w:val="19"/>
        </w:rPr>
        <w:t>none</w:t>
      </w:r>
      <w:r>
        <w:rPr>
          <w:rFonts w:ascii="Calibri" w:hAnsi="Calibri"/>
          <w:b w:val="0"/>
          <w:sz w:val="21"/>
        </w:rPr>
        <w:t>) rather than an error.</w:t>
      </w:r>
    </w:p>
    <w:p>
      <w:r>
        <w:br w:type="page"/>
      </w:r>
    </w:p>
    <w:p>
      <w:bookmarkStart w:id="9" w:name="heading_9"/>
      <w:pPr>
        <w:pStyle w:val="Heading2"/>
      </w:pPr>
      <w:bookmarkEnd w:id="9"/>
      <w:r>
        <w:rPr>
          <w:color w:val="1F3864"/>
        </w:rPr>
        <w:t>4. Build the Connector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648"/>
      </w:tblGrid>
      <w:tr>
        <w:tc>
          <w:tcPr>
            <w:tcW w:type="dxa" w:w="9648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$env:JAVA_HOME = "C:\Program Files\Java\jdk-17"   # adjust to your JDK 17 path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mvn -q clean package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Calibri" w:hAnsi="Calibri"/>
          <w:b w:val="0"/>
          <w:sz w:val="21"/>
        </w:rPr>
        <w:t xml:space="preserve">This produces </w:t>
      </w:r>
      <w:r>
        <w:rPr>
          <w:rFonts w:ascii="Consolas" w:hAnsi="Consolas"/>
          <w:color w:val="B03600"/>
          <w:sz w:val="19"/>
        </w:rPr>
        <w:t>target/camunda-db-poller-1.0.0-SNAPSHOT-with-dependencies.jar</w:t>
      </w:r>
    </w:p>
    <w:p>
      <w:pPr>
        <w:spacing w:after="160"/>
      </w:pPr>
      <w:r>
        <w:rPr>
          <w:rFonts w:ascii="Calibri" w:hAnsi="Calibri"/>
          <w:b w:val="0"/>
          <w:sz w:val="21"/>
        </w:rPr>
        <w:t>— the shaded jar the runtime image loads.</w:t>
      </w:r>
    </w:p>
    <w:p>
      <w:pPr>
        <w:spacing w:after="160"/>
      </w:pPr>
      <w:r>
        <w:rPr>
          <w:rFonts w:ascii="Calibri" w:hAnsi="Calibri"/>
          <w:b/>
          <w:sz w:val="21"/>
        </w:rPr>
        <w:t>Why the `pom.xml` dependency scopes matter:</w:t>
      </w:r>
      <w:r>
        <w:rPr>
          <w:rFonts w:ascii="Calibri" w:hAnsi="Calibri"/>
          <w:b w:val="0"/>
          <w:sz w:val="21"/>
        </w:rPr>
        <w:t xml:space="preserve"> several dependencies are</w:t>
      </w:r>
    </w:p>
    <w:p>
      <w:pPr>
        <w:spacing w:after="160"/>
      </w:pPr>
      <w:r>
        <w:rPr>
          <w:rFonts w:ascii="Calibri" w:hAnsi="Calibri"/>
          <w:b w:val="0"/>
          <w:sz w:val="21"/>
        </w:rPr>
        <w:t xml:space="preserve">deliberately </w:t>
      </w:r>
      <w:r>
        <w:rPr>
          <w:rFonts w:ascii="Consolas" w:hAnsi="Consolas"/>
          <w:color w:val="B03600"/>
          <w:sz w:val="19"/>
        </w:rPr>
        <w:t>provided</w:t>
      </w:r>
      <w:r>
        <w:rPr>
          <w:rFonts w:ascii="Calibri" w:hAnsi="Calibri"/>
          <w:b w:val="0"/>
          <w:sz w:val="21"/>
        </w:rPr>
        <w:t xml:space="preserve"> (excluded from the shaded jar) or have exclusions,</w:t>
      </w:r>
    </w:p>
    <w:p>
      <w:pPr>
        <w:spacing w:after="160"/>
      </w:pPr>
      <w:r>
        <w:rPr>
          <w:rFonts w:ascii="Calibri" w:hAnsi="Calibri"/>
          <w:b w:val="0"/>
          <w:sz w:val="21"/>
        </w:rPr>
        <w:t>to avoid classpath conflicts with the runtime image. This isn't arbitrary —</w:t>
      </w:r>
    </w:p>
    <w:p>
      <w:pPr>
        <w:spacing w:after="160"/>
      </w:pPr>
      <w:r>
        <w:rPr>
          <w:rFonts w:ascii="Calibri" w:hAnsi="Calibri"/>
          <w:b w:val="0"/>
          <w:sz w:val="21"/>
        </w:rPr>
        <w:t xml:space="preserve">see </w:t>
      </w:r>
      <w:hyperlink w:anchor="11-troubleshooting">
        <w:r>
          <w:rPr>
            <w:color w:val="1155CC"/>
            <w:u w:val="single"/>
            <w:rFonts w:ascii="Calibri"/>
          </w:rPr>
          <w:t xml:space="preserve">Section 11</w:t>
        </w:r>
      </w:hyperlink>
      <w:r>
        <w:rPr>
          <w:rFonts w:ascii="Calibri" w:hAnsi="Calibri"/>
          <w:b w:val="0"/>
          <w:sz w:val="21"/>
        </w:rPr>
        <w:t xml:space="preserve"> for the exact failures each one fixes.</w:t>
      </w:r>
    </w:p>
    <w:p>
      <w:r>
        <w:br w:type="page"/>
      </w:r>
    </w:p>
    <w:p>
      <w:bookmarkStart w:id="10" w:name="heading_10"/>
      <w:pPr>
        <w:pStyle w:val="Heading2"/>
      </w:pPr>
      <w:bookmarkEnd w:id="10"/>
      <w:r>
        <w:rPr>
          <w:color w:val="1F3864"/>
        </w:rPr>
        <w:t>5. Configure Local Credentials (.env)</w:t>
      </w:r>
    </w:p>
    <w:p>
      <w:pPr>
        <w:spacing w:after="160"/>
      </w:pPr>
      <w:r>
        <w:rPr>
          <w:rFonts w:ascii="Calibri" w:hAnsi="Calibri"/>
          <w:b w:val="0"/>
          <w:sz w:val="21"/>
        </w:rPr>
        <w:t xml:space="preserve">Create a </w:t>
      </w:r>
      <w:r>
        <w:rPr>
          <w:rFonts w:ascii="Consolas" w:hAnsi="Consolas"/>
          <w:color w:val="B03600"/>
          <w:sz w:val="19"/>
        </w:rPr>
        <w:t>.env</w:t>
      </w:r>
      <w:r>
        <w:rPr>
          <w:rFonts w:ascii="Calibri" w:hAnsi="Calibri"/>
          <w:b w:val="0"/>
          <w:sz w:val="21"/>
        </w:rPr>
        <w:t xml:space="preserve"> file at the project root (already listed in </w:t>
      </w:r>
      <w:r>
        <w:rPr>
          <w:rFonts w:ascii="Consolas" w:hAnsi="Consolas"/>
          <w:color w:val="B03600"/>
          <w:sz w:val="19"/>
        </w:rPr>
        <w:t>.gitignore</w:t>
      </w:r>
      <w:r>
        <w:rPr>
          <w:rFonts w:ascii="Calibri" w:hAnsi="Calibri"/>
          <w:b w:val="0"/>
          <w:sz w:val="21"/>
        </w:rPr>
        <w:t xml:space="preserve"> —</w:t>
      </w:r>
    </w:p>
    <w:p>
      <w:pPr>
        <w:spacing w:after="160"/>
      </w:pPr>
      <w:r>
        <w:rPr>
          <w:rFonts w:ascii="Calibri" w:hAnsi="Calibri"/>
          <w:b w:val="0"/>
          <w:sz w:val="21"/>
        </w:rPr>
        <w:t>verify it stays that way). Translate the Console values from</w:t>
      </w:r>
    </w:p>
    <w:p>
      <w:pPr>
        <w:spacing w:after="160"/>
      </w:pPr>
      <w:hyperlink w:anchor="34-sample-saas-configuration">
        <w:r>
          <w:rPr>
            <w:color w:val="1155CC"/>
            <w:u w:val="single"/>
            <w:rFonts w:ascii="Calibri"/>
          </w:rPr>
          <w:t xml:space="preserve">Section 3.4</w:t>
        </w:r>
      </w:hyperlink>
      <w:r>
        <w:rPr>
          <w:rFonts w:ascii="Calibri" w:hAnsi="Calibri"/>
          <w:b w:val="0"/>
          <w:sz w:val="21"/>
        </w:rPr>
        <w:t xml:space="preserve"> into the property names the</w:t>
      </w:r>
    </w:p>
    <w:p>
      <w:pPr>
        <w:spacing w:after="160"/>
      </w:pPr>
      <w:r>
        <w:rPr>
          <w:rFonts w:ascii="Calibri" w:hAnsi="Calibri"/>
          <w:b w:val="0"/>
          <w:sz w:val="21"/>
        </w:rPr>
        <w:t>runtime actually binds to: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Console variable</w:t>
            </w:r>
          </w:p>
        </w:tc>
        <w:tc>
          <w:tcPr>
            <w:tcW w:type="dxa" w:w="4824"/>
            <w:shd w:val="clear" w:color="auto" w:fill="1F3864"/>
          </w:tcPr>
          <w:p>
            <w:r>
              <w:rPr>
                <w:rFonts w:ascii="Consolas" w:hAnsi="Consolas"/>
                <w:color w:val="B03600"/>
                <w:sz w:val="18"/>
              </w:rPr>
              <w:t>.env</w:t>
            </w:r>
            <w:r>
              <w:rPr>
                <w:rFonts w:ascii="Calibri" w:hAnsi="Calibri"/>
                <w:b/>
                <w:color w:val="FFFFFF"/>
                <w:sz w:val="20"/>
              </w:rPr>
              <w:t xml:space="preserve"> variable (what the runtime reads)</w:t>
            </w:r>
          </w:p>
        </w:tc>
      </w:tr>
      <w:tr>
        <w:tc>
          <w:tcPr>
            <w:tcW w:type="dxa" w:w="4824"/>
          </w:tcPr>
          <w:p>
            <w:r>
              <w:rPr>
                <w:rFonts w:ascii="Consolas" w:hAnsi="Consolas"/>
                <w:color w:val="B03600"/>
                <w:sz w:val="17"/>
              </w:rPr>
              <w:t>CAMUNDA_REGION_ID</w:t>
            </w:r>
          </w:p>
        </w:tc>
        <w:tc>
          <w:tcPr>
            <w:tcW w:type="dxa" w:w="4824"/>
          </w:tcPr>
          <w:p>
            <w:r>
              <w:rPr>
                <w:rFonts w:ascii="Consolas" w:hAnsi="Consolas"/>
                <w:color w:val="B03600"/>
                <w:sz w:val="17"/>
              </w:rPr>
              <w:t>CAMUNDA_CLIENT_CLOUD_REGION</w:t>
            </w:r>
          </w:p>
        </w:tc>
      </w:tr>
      <w:tr>
        <w:tc>
          <w:tcPr>
            <w:tcW w:type="dxa" w:w="4824"/>
          </w:tcPr>
          <w:p>
            <w:r>
              <w:rPr>
                <w:rFonts w:ascii="Consolas" w:hAnsi="Consolas"/>
                <w:color w:val="B03600"/>
                <w:sz w:val="17"/>
              </w:rPr>
              <w:t>CAMUNDA_CLUSTER_ID</w:t>
            </w:r>
          </w:p>
        </w:tc>
        <w:tc>
          <w:tcPr>
            <w:tcW w:type="dxa" w:w="4824"/>
          </w:tcPr>
          <w:p>
            <w:r>
              <w:rPr>
                <w:rFonts w:ascii="Consolas" w:hAnsi="Consolas"/>
                <w:color w:val="B03600"/>
                <w:sz w:val="17"/>
              </w:rPr>
              <w:t>CAMUNDA_CLIENT_CLOUD_CLUSTERID</w:t>
            </w:r>
          </w:p>
        </w:tc>
      </w:tr>
      <w:tr>
        <w:tc>
          <w:tcPr>
            <w:tcW w:type="dxa" w:w="4824"/>
          </w:tcPr>
          <w:p>
            <w:r>
              <w:rPr>
                <w:rFonts w:ascii="Consolas" w:hAnsi="Consolas"/>
                <w:color w:val="B03600"/>
                <w:sz w:val="17"/>
              </w:rPr>
              <w:t>CAMUNDA_CLIENT_ID</w:t>
            </w:r>
          </w:p>
        </w:tc>
        <w:tc>
          <w:tcPr>
            <w:tcW w:type="dxa" w:w="4824"/>
          </w:tcPr>
          <w:p>
            <w:r>
              <w:rPr>
                <w:rFonts w:ascii="Consolas" w:hAnsi="Consolas"/>
                <w:color w:val="B03600"/>
                <w:sz w:val="17"/>
              </w:rPr>
              <w:t>CAMUNDA_CLIENT_AUTH_CLIENTID</w:t>
            </w:r>
          </w:p>
        </w:tc>
      </w:tr>
      <w:tr>
        <w:tc>
          <w:tcPr>
            <w:tcW w:type="dxa" w:w="4824"/>
          </w:tcPr>
          <w:p>
            <w:r>
              <w:rPr>
                <w:rFonts w:ascii="Consolas" w:hAnsi="Consolas"/>
                <w:color w:val="B03600"/>
                <w:sz w:val="17"/>
              </w:rPr>
              <w:t>CAMUNDA_CLIENT_SECRET</w:t>
            </w:r>
          </w:p>
        </w:tc>
        <w:tc>
          <w:tcPr>
            <w:tcW w:type="dxa" w:w="4824"/>
          </w:tcPr>
          <w:p>
            <w:r>
              <w:rPr>
                <w:rFonts w:ascii="Consolas" w:hAnsi="Consolas"/>
                <w:color w:val="B03600"/>
                <w:sz w:val="17"/>
              </w:rPr>
              <w:t>CAMUNDA_CLIENT_AUTH_CLIENTSECRET</w:t>
            </w:r>
          </w:p>
        </w:tc>
      </w:tr>
      <w:tr>
        <w:tc>
          <w:tcPr>
            <w:tcW w:type="dxa" w:w="4824"/>
          </w:tcPr>
          <w:p>
            <w:r>
              <w:rPr>
                <w:rFonts w:ascii="Consolas" w:hAnsi="Consolas"/>
                <w:color w:val="B03600"/>
                <w:sz w:val="17"/>
              </w:rPr>
              <w:t>CAMUNDA_OAUTH_URL</w:t>
            </w:r>
          </w:p>
        </w:tc>
        <w:tc>
          <w:tcPr>
            <w:tcW w:type="dxa" w:w="4824"/>
          </w:tcPr>
          <w:p>
            <w:r>
              <w:rPr>
                <w:rFonts w:ascii="Consolas" w:hAnsi="Consolas"/>
                <w:color w:val="B03600"/>
                <w:sz w:val="17"/>
              </w:rPr>
              <w:t>CAMUNDA_CLIENT_AUTH_TOKENURL</w:t>
            </w:r>
          </w:p>
        </w:tc>
      </w:tr>
      <w:tr>
        <w:tc>
          <w:tcPr>
            <w:tcW w:type="dxa" w:w="4824"/>
          </w:tcPr>
          <w:p>
            <w:r>
              <w:rPr>
                <w:rFonts w:ascii="Consolas" w:hAnsi="Consolas"/>
                <w:color w:val="B03600"/>
                <w:sz w:val="17"/>
              </w:rPr>
              <w:t>CAMUNDA_TOKEN_AUDIENCE</w:t>
            </w:r>
          </w:p>
        </w:tc>
        <w:tc>
          <w:tcPr>
            <w:tcW w:type="dxa" w:w="4824"/>
          </w:tcPr>
          <w:p>
            <w:r>
              <w:rPr>
                <w:rFonts w:ascii="Consolas" w:hAnsi="Consolas"/>
                <w:color w:val="B03600"/>
                <w:sz w:val="17"/>
              </w:rPr>
              <w:t>CAMUNDA_CLIENT_AUTH_AUDIENCE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b w:val="0"/>
                <w:sz w:val="19"/>
              </w:rPr>
              <w:t>*(none — required by SaaS mode)*</w:t>
            </w:r>
          </w:p>
        </w:tc>
        <w:tc>
          <w:tcPr>
            <w:tcW w:type="dxa" w:w="4824"/>
          </w:tcPr>
          <w:p>
            <w:r>
              <w:rPr>
                <w:rFonts w:ascii="Consolas" w:hAnsi="Consolas"/>
                <w:color w:val="B03600"/>
                <w:sz w:val="17"/>
              </w:rPr>
              <w:t>CAMUNDA_CLIENT_MODE=saas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Calibri" w:hAnsi="Calibri"/>
          <w:b w:val="0"/>
          <w:sz w:val="21"/>
        </w:rPr>
        <w:t xml:space="preserve">Resulting </w:t>
      </w:r>
      <w:r>
        <w:rPr>
          <w:rFonts w:ascii="Consolas" w:hAnsi="Consolas"/>
          <w:color w:val="B03600"/>
          <w:sz w:val="19"/>
        </w:rPr>
        <w:t>.env</w:t>
      </w:r>
      <w:r>
        <w:rPr>
          <w:rFonts w:ascii="Calibri" w:hAnsi="Calibri"/>
          <w:b w:val="0"/>
          <w:sz w:val="21"/>
        </w:rPr>
        <w:t>, using the sample cluster from Section 3.4: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648"/>
      </w:tblGrid>
      <w:tr>
        <w:tc>
          <w:tcPr>
            <w:tcW w:type="dxa" w:w="9648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CAMUNDA_CLIENT_MODE=saas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CAMUNDA_CLIENT_CLOUD_REGION=sin-2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CAMUNDA_CLIENT_CLOUD_CLUSTERID=6b1873fb-1baa-4922-8136-5bb42ddcbc4f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CAMUNDA_CLIENT_AUTH_CLIENTID=1HlV.YWTWEj6ccY1D-EaLxS26YV5R7RH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CAMUNDA_CLIENT_AUTH_CLIENTSECRET=rWhQntsplyxnLZeO72lL6WezsLAmV-jZjX0f~IVUCPZaYyit0UXZ.3TaohKSu.2v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CAMUNDA_CLIENT_AUTH_TOKENURL=https://login.cloud.camunda.io/oauth/token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CAMUNDA_CLIENT_AUTH_AUDIENCE=zeebe.camunda.io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Calibri" w:hAnsi="Calibri"/>
          <w:b w:val="0"/>
          <w:sz w:val="21"/>
        </w:rPr>
        <w:t xml:space="preserve">This is already saved for you as </w:t>
      </w:r>
      <w:r>
        <w:rPr>
          <w:rFonts w:ascii="Consolas" w:hAnsi="Consolas"/>
          <w:color w:val="B03600"/>
          <w:sz w:val="19"/>
        </w:rPr>
        <w:t>.env</w:t>
      </w:r>
      <w:r>
        <w:rPr>
          <w:rFonts w:ascii="Calibri" w:hAnsi="Calibri"/>
          <w:b w:val="0"/>
          <w:sz w:val="21"/>
        </w:rPr>
        <w:t xml:space="preserve"> in the project root.</w:t>
      </w:r>
    </w:p>
    <w:p>
      <w:r>
        <w:br w:type="page"/>
      </w:r>
    </w:p>
    <w:p>
      <w:bookmarkStart w:id="11" w:name="heading_11"/>
      <w:pPr>
        <w:pStyle w:val="Heading2"/>
      </w:pPr>
      <w:bookmarkEnd w:id="11"/>
      <w:r>
        <w:rPr>
          <w:color w:val="1F3864"/>
        </w:rPr>
        <w:t>6. Deploy the Connector Runtime</w:t>
      </w:r>
    </w:p>
    <w:p>
      <w:bookmarkStart w:id="12" w:name="heading_12"/>
      <w:pPr>
        <w:pStyle w:val="Heading3"/>
      </w:pPr>
      <w:bookmarkEnd w:id="12"/>
      <w:r>
        <w:rPr>
          <w:color w:val="2E2E2E"/>
        </w:rPr>
        <w:t>6.1 Run the Container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648"/>
      </w:tblGrid>
      <w:tr>
        <w:tc>
          <w:tcPr>
            <w:tcW w:type="dxa" w:w="9648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docker rm -f camunda-db-poller 2&gt;$null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docker run -d --name camunda-db-poller `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--env-file .env `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-v "${PWD}\target\camunda-db-poller-1.0.0-SNAPSHOT-with-dependencies.jar:/opt/app/camunda-db-poller.jar" `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camunda/connectors-bundle:latest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Calibri" w:hAnsi="Calibri"/>
          <w:b w:val="0"/>
          <w:sz w:val="21"/>
        </w:rPr>
        <w:t>This starts a Spring Boot process inside the container that: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 xml:space="preserve">Authenticates to </w:t>
      </w:r>
      <w:r>
        <w:rPr>
          <w:rFonts w:ascii="Consolas" w:hAnsi="Consolas"/>
          <w:color w:val="B03600"/>
          <w:sz w:val="19"/>
        </w:rPr>
        <w:t>CAMUNDA_CLIENT_AUTH_TOKENURL</w:t>
      </w:r>
      <w:r>
        <w:rPr>
          <w:rFonts w:ascii="Calibri" w:hAnsi="Calibri"/>
          <w:b w:val="0"/>
          <w:sz w:val="21"/>
        </w:rPr>
        <w:t xml:space="preserve"> via OAuth</w:t>
      </w:r>
    </w:p>
    <w:p>
      <w:pPr>
        <w:spacing w:after="160"/>
      </w:pPr>
      <w:r>
        <w:rPr>
          <w:rFonts w:ascii="Calibri" w:hAnsi="Calibri"/>
          <w:b w:val="0"/>
          <w:sz w:val="21"/>
        </w:rPr>
        <w:t>client-credentials, using your client ID/secret.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Opens a gRPC connection to your cluster's Zeebe gateway</w:t>
      </w:r>
    </w:p>
    <w:p>
      <w:pPr>
        <w:spacing w:after="160"/>
      </w:pPr>
      <w:r>
        <w:rPr>
          <w:rFonts w:ascii="Calibri" w:hAnsi="Calibri"/>
          <w:b w:val="0"/>
          <w:sz w:val="21"/>
        </w:rPr>
        <w:t>(</w:t>
      </w:r>
      <w:r>
        <w:rPr>
          <w:rFonts w:ascii="Consolas" w:hAnsi="Consolas"/>
          <w:color w:val="B03600"/>
          <w:sz w:val="19"/>
        </w:rPr>
        <w:t>https://&lt;cluster-id&gt;.&lt;region&gt;.zeebe.camunda.io:443</w:t>
      </w:r>
      <w:r>
        <w:rPr>
          <w:rFonts w:ascii="Calibri" w:hAnsi="Calibri"/>
          <w:b w:val="0"/>
          <w:sz w:val="21"/>
        </w:rPr>
        <w:t>, derived</w:t>
      </w:r>
    </w:p>
    <w:p>
      <w:pPr>
        <w:spacing w:after="160"/>
      </w:pPr>
      <w:r>
        <w:rPr>
          <w:rFonts w:ascii="Calibri" w:hAnsi="Calibri"/>
          <w:b w:val="0"/>
          <w:sz w:val="21"/>
        </w:rPr>
        <w:t xml:space="preserve">automatically from </w:t>
      </w:r>
      <w:r>
        <w:rPr>
          <w:rFonts w:ascii="Consolas" w:hAnsi="Consolas"/>
          <w:color w:val="B03600"/>
          <w:sz w:val="19"/>
        </w:rPr>
        <w:t>CAMUNDA_CLIENT_CLOUD_*</w:t>
      </w:r>
      <w:r>
        <w:rPr>
          <w:rFonts w:ascii="Calibri" w:hAnsi="Calibri"/>
          <w:b w:val="0"/>
          <w:sz w:val="21"/>
        </w:rPr>
        <w:t>).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 xml:space="preserve">Loads </w:t>
      </w:r>
      <w:r>
        <w:rPr>
          <w:rFonts w:ascii="Consolas" w:hAnsi="Consolas"/>
          <w:color w:val="B03600"/>
          <w:sz w:val="19"/>
        </w:rPr>
        <w:t>camunda-db-poller.jar</w:t>
      </w:r>
      <w:r>
        <w:rPr>
          <w:rFonts w:ascii="Calibri" w:hAnsi="Calibri"/>
          <w:b w:val="0"/>
          <w:sz w:val="21"/>
        </w:rPr>
        <w:t xml:space="preserve"> from </w:t>
      </w:r>
      <w:r>
        <w:rPr>
          <w:rFonts w:ascii="Consolas" w:hAnsi="Consolas"/>
          <w:color w:val="B03600"/>
          <w:sz w:val="19"/>
        </w:rPr>
        <w:t>/opt/app/</w:t>
      </w:r>
      <w:r>
        <w:rPr>
          <w:rFonts w:ascii="Calibri" w:hAnsi="Calibri"/>
          <w:b w:val="0"/>
          <w:sz w:val="21"/>
        </w:rPr>
        <w:t xml:space="preserve"> and registers</w:t>
      </w:r>
    </w:p>
    <w:p>
      <w:pPr>
        <w:spacing w:after="160"/>
      </w:pPr>
      <w:r>
        <w:rPr>
          <w:rFonts w:ascii="Consolas" w:hAnsi="Consolas"/>
          <w:color w:val="B03600"/>
          <w:sz w:val="19"/>
        </w:rPr>
        <w:t>io.camunda:camunda-db-poller:1</w:t>
      </w:r>
      <w:r>
        <w:rPr>
          <w:rFonts w:ascii="Calibri" w:hAnsi="Calibri"/>
          <w:b w:val="0"/>
          <w:sz w:val="21"/>
        </w:rPr>
        <w:t xml:space="preserve"> as an available inbound connector type</w:t>
      </w:r>
    </w:p>
    <w:p>
      <w:pPr>
        <w:spacing w:after="160"/>
      </w:pPr>
      <w:r>
        <w:rPr>
          <w:rFonts w:ascii="Calibri" w:hAnsi="Calibri"/>
          <w:b w:val="0"/>
          <w:sz w:val="21"/>
        </w:rPr>
        <w:t xml:space="preserve">(see </w:t>
      </w:r>
      <w:r>
        <w:rPr>
          <w:rFonts w:ascii="Consolas" w:hAnsi="Consolas"/>
          <w:color w:val="B03600"/>
          <w:sz w:val="19"/>
        </w:rPr>
        <w:t>DbPollerConnectorExecutable.TYPE</w:t>
      </w:r>
      <w:r>
        <w:rPr>
          <w:rFonts w:ascii="Calibri" w:hAnsi="Calibri"/>
          <w:b w:val="0"/>
          <w:sz w:val="21"/>
        </w:rPr>
        <w:t>).</w:t>
      </w:r>
    </w:p>
    <w:p>
      <w:bookmarkStart w:id="13" w:name="heading_13"/>
      <w:pPr>
        <w:pStyle w:val="Heading3"/>
      </w:pPr>
      <w:bookmarkEnd w:id="13"/>
      <w:r>
        <w:rPr>
          <w:color w:val="2E2E2E"/>
        </w:rPr>
        <w:t>6.2 Verify the Deployment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648"/>
      </w:tblGrid>
      <w:tr>
        <w:tc>
          <w:tcPr>
            <w:tcW w:type="dxa" w:w="9648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docker ps --filter name=camunda-db-poller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docker exec camunda-db-poller wget -qO- http://localhost:8080/actuator/health/liveness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Calibri" w:hAnsi="Calibri"/>
          <w:b w:val="0"/>
          <w:sz w:val="21"/>
        </w:rPr>
        <w:t>Expected output: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648"/>
      </w:tblGrid>
      <w:tr>
        <w:tc>
          <w:tcPr>
            <w:tcW w:type="dxa" w:w="9648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{"status":"UP","components":{"zeebeClient":{"status":"UP","details":{"anyPartitionHealthy":true,"numBrokers":3}}}}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Calibri" w:hAnsi="Calibri"/>
          <w:b w:val="0"/>
          <w:sz w:val="21"/>
        </w:rPr>
        <w:t xml:space="preserve">If it's not </w:t>
      </w:r>
      <w:r>
        <w:rPr>
          <w:rFonts w:ascii="Consolas" w:hAnsi="Consolas"/>
          <w:color w:val="B03600"/>
          <w:sz w:val="19"/>
        </w:rPr>
        <w:t>UP</w:t>
      </w:r>
      <w:r>
        <w:rPr>
          <w:rFonts w:ascii="Calibri" w:hAnsi="Calibri"/>
          <w:b w:val="0"/>
          <w:sz w:val="21"/>
        </w:rPr>
        <w:t xml:space="preserve">, go to </w:t>
      </w:r>
      <w:hyperlink w:anchor="11-troubleshooting">
        <w:r>
          <w:rPr>
            <w:color w:val="1155CC"/>
            <w:u w:val="single"/>
            <w:rFonts w:ascii="Calibri"/>
          </w:rPr>
          <w:t xml:space="preserve">Section 11</w:t>
        </w:r>
      </w:hyperlink>
      <w:r>
        <w:rPr>
          <w:rFonts w:ascii="Calibri" w:hAnsi="Calibri"/>
          <w:b w:val="0"/>
          <w:sz w:val="21"/>
        </w:rPr>
        <w:t>.</w:t>
      </w:r>
    </w:p>
    <w:p>
      <w:r>
        <w:br w:type="page"/>
      </w:r>
    </w:p>
    <w:p>
      <w:bookmarkStart w:id="14" w:name="heading_14"/>
      <w:pPr>
        <w:pStyle w:val="Heading2"/>
      </w:pPr>
      <w:bookmarkEnd w:id="14"/>
      <w:r>
        <w:rPr>
          <w:color w:val="1F3864"/>
        </w:rPr>
        <w:t>7. Prepare a Test Database</w:t>
      </w:r>
    </w:p>
    <w:p>
      <w:pPr>
        <w:spacing w:after="160"/>
      </w:pPr>
      <w:r>
        <w:rPr>
          <w:rFonts w:ascii="Calibri" w:hAnsi="Calibri"/>
          <w:b w:val="0"/>
          <w:sz w:val="21"/>
        </w:rPr>
        <w:t>This gives you something real to poll. Skip this section and point at your</w:t>
      </w:r>
    </w:p>
    <w:p>
      <w:pPr>
        <w:spacing w:after="160"/>
      </w:pPr>
      <w:r>
        <w:rPr>
          <w:rFonts w:ascii="Calibri" w:hAnsi="Calibri"/>
          <w:b w:val="0"/>
          <w:sz w:val="21"/>
        </w:rPr>
        <w:t>own database if you already have one.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648"/>
      </w:tblGrid>
      <w:tr>
        <w:tc>
          <w:tcPr>
            <w:tcW w:type="dxa" w:w="9648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docker run -d --name db-poller-test-pg `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-e POSTGRES_USER=camunda_poller `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-e POSTGRES_PASSWORD=change_me `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-e POSTGRES_DB=orders `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-p 5432:5432 `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postgres:16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Calibri" w:hAnsi="Calibri"/>
          <w:b w:val="0"/>
          <w:sz w:val="21"/>
        </w:rPr>
        <w:t>Create the table the sample configuration in Section 8.2 expects: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648"/>
      </w:tblGrid>
      <w:tr>
        <w:tc>
          <w:tcPr>
            <w:tcW w:type="dxa" w:w="9648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docker exec -i db-poller-test-pg psql -U camunda_poller -d orders -c 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CREATE TABLE orders 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id         SERIAL PRIMARY KEY,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order_id   TEXT NOT NULL,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status     TEXT NOT NULL,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amount     NUMERIC NOT NULL,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updated_at TIMESTAMPTZ NOT NULL DEFAULT now()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"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Calibri" w:hAnsi="Calibri"/>
          <w:b w:val="0"/>
          <w:sz w:val="21"/>
        </w:rPr>
        <w:t>Because the connector runtime runs in its own container, it reaches this</w:t>
      </w:r>
    </w:p>
    <w:p>
      <w:pPr>
        <w:spacing w:after="160"/>
      </w:pPr>
      <w:r>
        <w:rPr>
          <w:rFonts w:ascii="Calibri" w:hAnsi="Calibri"/>
          <w:b w:val="0"/>
          <w:sz w:val="21"/>
        </w:rPr>
        <w:t xml:space="preserve">Postgres container via the Docker Desktop host bridge, not </w:t>
      </w:r>
      <w:r>
        <w:rPr>
          <w:rFonts w:ascii="Consolas" w:hAnsi="Consolas"/>
          <w:color w:val="B03600"/>
          <w:sz w:val="19"/>
        </w:rPr>
        <w:t>localhost</w:t>
      </w:r>
      <w:r>
        <w:rPr>
          <w:rFonts w:ascii="Calibri" w:hAnsi="Calibri"/>
          <w:b w:val="0"/>
          <w:sz w:val="21"/>
        </w:rPr>
        <w:t>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648"/>
      </w:tblGrid>
      <w:tr>
        <w:tc>
          <w:tcPr>
            <w:tcW w:type="dxa" w:w="9648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jdbc:postgresql://host.docker.internal:5432/orders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Calibri" w:hAnsi="Calibri"/>
          <w:b w:val="0"/>
          <w:sz w:val="21"/>
        </w:rPr>
        <w:t>On Linux hosts without Docker Desktop, put both containers on a</w:t>
      </w:r>
    </w:p>
    <w:p>
      <w:pPr>
        <w:spacing w:after="160"/>
      </w:pPr>
      <w:r>
        <w:rPr>
          <w:rFonts w:ascii="Calibri" w:hAnsi="Calibri"/>
          <w:b w:val="0"/>
          <w:sz w:val="21"/>
        </w:rPr>
        <w:t xml:space="preserve">user-defined </w:t>
      </w:r>
      <w:r>
        <w:rPr>
          <w:rFonts w:ascii="Consolas" w:hAnsi="Consolas"/>
          <w:color w:val="B03600"/>
          <w:sz w:val="19"/>
        </w:rPr>
        <w:t>docker network</w:t>
      </w:r>
      <w:r>
        <w:rPr>
          <w:rFonts w:ascii="Calibri" w:hAnsi="Calibri"/>
          <w:b w:val="0"/>
          <w:sz w:val="21"/>
        </w:rPr>
        <w:t xml:space="preserve"> and use the Postgres container's name as the</w:t>
      </w:r>
    </w:p>
    <w:p>
      <w:pPr>
        <w:spacing w:after="160"/>
      </w:pPr>
      <w:r>
        <w:rPr>
          <w:rFonts w:ascii="Calibri" w:hAnsi="Calibri"/>
          <w:b w:val="0"/>
          <w:sz w:val="21"/>
        </w:rPr>
        <w:t>host instead.</w:t>
      </w:r>
    </w:p>
    <w:p>
      <w:r>
        <w:br w:type="page"/>
      </w:r>
    </w:p>
    <w:p>
      <w:bookmarkStart w:id="15" w:name="heading_15"/>
      <w:pPr>
        <w:pStyle w:val="Heading2"/>
      </w:pPr>
      <w:bookmarkEnd w:id="15"/>
      <w:r>
        <w:rPr>
          <w:color w:val="1F3864"/>
        </w:rPr>
        <w:t>8. Model and Deploy the BPMN Process</w:t>
      </w:r>
    </w:p>
    <w:p>
      <w:bookmarkStart w:id="16" w:name="heading_16"/>
      <w:pPr>
        <w:pStyle w:val="Heading3"/>
      </w:pPr>
      <w:bookmarkEnd w:id="16"/>
      <w:r>
        <w:rPr>
          <w:color w:val="2E2E2E"/>
        </w:rPr>
        <w:t>8.1 Import the Element Template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Open Camunda Modeler.</w:t>
      </w:r>
    </w:p>
    <w:p>
      <w:pPr>
        <w:pStyle w:val="ListNumber"/>
      </w:pPr>
      <w:r>
        <w:rPr>
          <w:rFonts w:ascii="Calibri" w:hAnsi="Calibri"/>
          <w:b/>
          <w:sz w:val="21"/>
        </w:rPr>
        <w:t>File → Import Element Template…</w:t>
      </w:r>
      <w:r>
        <w:rPr>
          <w:rFonts w:ascii="Calibri" w:hAnsi="Calibri"/>
          <w:b w:val="0"/>
          <w:sz w:val="21"/>
        </w:rPr>
        <w:t xml:space="preserve"> → select</w:t>
      </w:r>
    </w:p>
    <w:p>
      <w:pPr>
        <w:spacing w:after="160"/>
      </w:pPr>
      <w:r>
        <w:rPr>
          <w:rFonts w:ascii="Consolas" w:hAnsi="Consolas"/>
          <w:color w:val="B03600"/>
          <w:sz w:val="19"/>
        </w:rPr>
        <w:t>element-templates/db-poller-inbound-connector.json</w:t>
      </w:r>
      <w:r>
        <w:rPr>
          <w:rFonts w:ascii="Calibri" w:hAnsi="Calibri"/>
          <w:b w:val="0"/>
          <w:sz w:val="21"/>
        </w:rPr>
        <w:t xml:space="preserve"> from this repo.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 xml:space="preserve">Create a new BPMN diagram with a </w:t>
      </w:r>
      <w:r>
        <w:rPr>
          <w:rFonts w:ascii="Calibri" w:hAnsi="Calibri"/>
          <w:b/>
          <w:sz w:val="21"/>
        </w:rPr>
        <w:t>Message Start Event</w:t>
      </w:r>
      <w:r>
        <w:rPr>
          <w:rFonts w:ascii="Calibri" w:hAnsi="Calibri"/>
          <w:b w:val="0"/>
          <w:sz w:val="21"/>
        </w:rPr>
        <w:t>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 xml:space="preserve">Select the event, open </w:t>
      </w:r>
      <w:r>
        <w:rPr>
          <w:rFonts w:ascii="Calibri" w:hAnsi="Calibri"/>
          <w:b/>
          <w:sz w:val="21"/>
        </w:rPr>
        <w:t>Properties Panel → Template</w:t>
      </w:r>
      <w:r>
        <w:rPr>
          <w:rFonts w:ascii="Calibri" w:hAnsi="Calibri"/>
          <w:b w:val="0"/>
          <w:sz w:val="21"/>
        </w:rPr>
        <w:t>, and pick</w:t>
      </w:r>
    </w:p>
    <w:p>
      <w:pPr>
        <w:spacing w:after="160"/>
      </w:pPr>
      <w:r>
        <w:rPr>
          <w:rFonts w:ascii="Calibri" w:hAnsi="Calibri"/>
          <w:b/>
          <w:sz w:val="21"/>
        </w:rPr>
        <w:t>Database Polling Connector</w:t>
      </w:r>
      <w:r>
        <w:rPr>
          <w:rFonts w:ascii="Calibri" w:hAnsi="Calibri"/>
          <w:b w:val="0"/>
          <w:sz w:val="21"/>
        </w:rPr>
        <w:t>.</w:t>
      </w:r>
    </w:p>
    <w:p>
      <w:bookmarkStart w:id="17" w:name="heading_17"/>
      <w:pPr>
        <w:pStyle w:val="Heading3"/>
      </w:pPr>
      <w:bookmarkEnd w:id="17"/>
      <w:r>
        <w:rPr>
          <w:color w:val="2E2E2E"/>
        </w:rPr>
        <w:t>8.2 Configure the Connector Properties</w:t>
      </w:r>
    </w:p>
    <w:p>
      <w:pPr>
        <w:spacing w:after="160"/>
      </w:pPr>
      <w:r>
        <w:rPr>
          <w:rFonts w:ascii="Calibri" w:hAnsi="Calibri"/>
          <w:b w:val="0"/>
          <w:sz w:val="21"/>
        </w:rPr>
        <w:t>Fill in the Properties Panel using the test database from Section 7: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824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b w:val="0"/>
                <w:sz w:val="19"/>
              </w:rPr>
              <w:t>JDBC URL</w:t>
            </w:r>
          </w:p>
        </w:tc>
        <w:tc>
          <w:tcPr>
            <w:tcW w:type="dxa" w:w="4824"/>
          </w:tcPr>
          <w:p>
            <w:r>
              <w:rPr>
                <w:rFonts w:ascii="Consolas" w:hAnsi="Consolas"/>
                <w:color w:val="B03600"/>
                <w:sz w:val="17"/>
              </w:rPr>
              <w:t>jdbc:postgresql://host.docker.internal:5432/orders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b w:val="0"/>
                <w:sz w:val="19"/>
              </w:rPr>
              <w:t>Username</w:t>
            </w:r>
          </w:p>
        </w:tc>
        <w:tc>
          <w:tcPr>
            <w:tcW w:type="dxa" w:w="4824"/>
          </w:tcPr>
          <w:p>
            <w:r>
              <w:rPr>
                <w:rFonts w:ascii="Consolas" w:hAnsi="Consolas"/>
                <w:color w:val="B03600"/>
                <w:sz w:val="17"/>
              </w:rPr>
              <w:t>camunda_poller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b w:val="0"/>
                <w:sz w:val="19"/>
              </w:rPr>
              <w:t>Password</w:t>
            </w:r>
          </w:p>
        </w:tc>
        <w:tc>
          <w:tcPr>
            <w:tcW w:type="dxa" w:w="4824"/>
          </w:tcPr>
          <w:p>
            <w:r>
              <w:rPr>
                <w:rFonts w:ascii="Consolas" w:hAnsi="Consolas"/>
                <w:color w:val="B03600"/>
                <w:sz w:val="17"/>
              </w:rPr>
              <w:t>change_me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b w:val="0"/>
                <w:sz w:val="19"/>
              </w:rPr>
              <w:t>Polling Query</w:t>
            </w:r>
          </w:p>
        </w:tc>
        <w:tc>
          <w:tcPr>
            <w:tcW w:type="dxa" w:w="4824"/>
          </w:tcPr>
          <w:p>
            <w:r>
              <w:rPr>
                <w:rFonts w:ascii="Consolas" w:hAnsi="Consolas"/>
                <w:color w:val="B03600"/>
                <w:sz w:val="17"/>
              </w:rPr>
              <w:t>SELECT * FROM orders WHERE updated_at &gt; :lastWatermark ORDER BY updated_at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b w:val="0"/>
                <w:sz w:val="19"/>
              </w:rPr>
              <w:t>Watermark Column</w:t>
            </w:r>
          </w:p>
        </w:tc>
        <w:tc>
          <w:tcPr>
            <w:tcW w:type="dxa" w:w="4824"/>
          </w:tcPr>
          <w:p>
            <w:r>
              <w:rPr>
                <w:rFonts w:ascii="Consolas" w:hAnsi="Consolas"/>
                <w:color w:val="B03600"/>
                <w:sz w:val="17"/>
              </w:rPr>
              <w:t>updated_at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b w:val="0"/>
                <w:sz w:val="19"/>
              </w:rPr>
              <w:t>Watermark Type</w:t>
            </w:r>
          </w:p>
        </w:tc>
        <w:tc>
          <w:tcPr>
            <w:tcW w:type="dxa" w:w="4824"/>
          </w:tcPr>
          <w:p>
            <w:r>
              <w:rPr>
                <w:rFonts w:ascii="Consolas" w:hAnsi="Consolas"/>
                <w:color w:val="B03600"/>
                <w:sz w:val="17"/>
              </w:rPr>
              <w:t>TIMESTAMP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b w:val="0"/>
                <w:sz w:val="19"/>
              </w:rPr>
              <w:t>Initial Watermark</w:t>
            </w:r>
          </w:p>
        </w:tc>
        <w:tc>
          <w:tcPr>
            <w:tcW w:type="dxa" w:w="4824"/>
          </w:tcPr>
          <w:p>
            <w:r>
              <w:rPr>
                <w:rFonts w:ascii="Consolas" w:hAnsi="Consolas"/>
                <w:color w:val="B03600"/>
                <w:sz w:val="17"/>
              </w:rPr>
              <w:t>1970-01-01T00:00:00Z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b w:val="0"/>
                <w:sz w:val="19"/>
              </w:rPr>
              <w:t>Polling Interval (s)</w:t>
            </w:r>
          </w:p>
        </w:tc>
        <w:tc>
          <w:tcPr>
            <w:tcW w:type="dxa" w:w="4824"/>
          </w:tcPr>
          <w:p>
            <w:r>
              <w:rPr>
                <w:rFonts w:ascii="Consolas" w:hAnsi="Consolas"/>
                <w:color w:val="B03600"/>
                <w:sz w:val="17"/>
              </w:rPr>
              <w:t>10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b w:val="0"/>
                <w:sz w:val="19"/>
              </w:rPr>
              <w:t>Batch Size</w:t>
            </w:r>
          </w:p>
        </w:tc>
        <w:tc>
          <w:tcPr>
            <w:tcW w:type="dxa" w:w="4824"/>
          </w:tcPr>
          <w:p>
            <w:r>
              <w:rPr>
                <w:rFonts w:ascii="Consolas" w:hAnsi="Consolas"/>
                <w:color w:val="B03600"/>
                <w:sz w:val="17"/>
              </w:rPr>
              <w:t>100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b w:val="0"/>
                <w:sz w:val="19"/>
              </w:rPr>
              <w:t>Correlation Key</w:t>
            </w:r>
          </w:p>
        </w:tc>
        <w:tc>
          <w:tcPr>
            <w:tcW w:type="dxa" w:w="4824"/>
          </w:tcPr>
          <w:p>
            <w:r>
              <w:rPr>
                <w:rFonts w:ascii="Consolas" w:hAnsi="Consolas"/>
                <w:color w:val="B03600"/>
                <w:sz w:val="17"/>
              </w:rPr>
              <w:t>= row.order_id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b w:val="0"/>
                <w:sz w:val="19"/>
              </w:rPr>
              <w:t>Result Variable</w:t>
            </w:r>
          </w:p>
        </w:tc>
        <w:tc>
          <w:tcPr>
            <w:tcW w:type="dxa" w:w="4824"/>
          </w:tcPr>
          <w:p>
            <w:r>
              <w:rPr>
                <w:rFonts w:ascii="Consolas" w:hAnsi="Consolas"/>
                <w:color w:val="B03600"/>
                <w:sz w:val="17"/>
              </w:rPr>
              <w:t>orderRow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Calibri" w:hAnsi="Calibri"/>
          <w:b w:val="0"/>
          <w:sz w:val="21"/>
        </w:rPr>
        <w:t xml:space="preserve">Give the Message Start Event a </w:t>
      </w:r>
      <w:r>
        <w:rPr>
          <w:rFonts w:ascii="Calibri" w:hAnsi="Calibri"/>
          <w:b/>
          <w:sz w:val="21"/>
        </w:rPr>
        <w:t>message name</w:t>
      </w:r>
      <w:r>
        <w:rPr>
          <w:rFonts w:ascii="Calibri" w:hAnsi="Calibri"/>
          <w:b w:val="0"/>
          <w:sz w:val="21"/>
        </w:rPr>
        <w:t xml:space="preserve">, e.g. </w:t>
      </w:r>
      <w:r>
        <w:rPr>
          <w:rFonts w:ascii="Consolas" w:hAnsi="Consolas"/>
          <w:color w:val="B03600"/>
          <w:sz w:val="19"/>
        </w:rPr>
        <w:t>OrderReceived</w:t>
      </w:r>
      <w:r>
        <w:rPr>
          <w:rFonts w:ascii="Calibri" w:hAnsi="Calibri"/>
          <w:b w:val="0"/>
          <w:sz w:val="21"/>
        </w:rPr>
        <w:t>, and</w:t>
      </w:r>
    </w:p>
    <w:p>
      <w:pPr>
        <w:spacing w:after="160"/>
      </w:pPr>
      <w:r>
        <w:rPr>
          <w:rFonts w:ascii="Calibri" w:hAnsi="Calibri"/>
          <w:b w:val="0"/>
          <w:sz w:val="21"/>
        </w:rPr>
        <w:t xml:space="preserve">set the process's </w:t>
      </w:r>
      <w:r>
        <w:rPr>
          <w:rFonts w:ascii="Calibri" w:hAnsi="Calibri"/>
          <w:b/>
          <w:sz w:val="21"/>
        </w:rPr>
        <w:t>BPMN Process ID</w:t>
      </w:r>
      <w:r>
        <w:rPr>
          <w:rFonts w:ascii="Calibri" w:hAnsi="Calibri"/>
          <w:b w:val="0"/>
          <w:sz w:val="21"/>
        </w:rPr>
        <w:t xml:space="preserve">, e.g. </w:t>
      </w:r>
      <w:r>
        <w:rPr>
          <w:rFonts w:ascii="Consolas" w:hAnsi="Consolas"/>
          <w:color w:val="B03600"/>
          <w:sz w:val="19"/>
        </w:rPr>
        <w:t>order-fulfillment</w:t>
      </w:r>
      <w:r>
        <w:rPr>
          <w:rFonts w:ascii="Calibri" w:hAnsi="Calibri"/>
          <w:b w:val="0"/>
          <w:sz w:val="21"/>
        </w:rPr>
        <w:t>. Add a</w:t>
      </w:r>
    </w:p>
    <w:p>
      <w:pPr>
        <w:spacing w:after="160"/>
      </w:pPr>
      <w:r>
        <w:rPr>
          <w:rFonts w:ascii="Calibri" w:hAnsi="Calibri"/>
          <w:b w:val="0"/>
          <w:sz w:val="21"/>
        </w:rPr>
        <w:t>simple downstream flow (e.g. a single End Event) so the process has</w:t>
      </w:r>
    </w:p>
    <w:p>
      <w:pPr>
        <w:spacing w:after="160"/>
      </w:pPr>
      <w:r>
        <w:rPr>
          <w:rFonts w:ascii="Calibri" w:hAnsi="Calibri"/>
          <w:b w:val="0"/>
          <w:sz w:val="21"/>
        </w:rPr>
        <w:t>somewhere to go.</w:t>
      </w:r>
    </w:p>
    <w:p>
      <w:bookmarkStart w:id="18" w:name="heading_18"/>
      <w:pPr>
        <w:pStyle w:val="Heading3"/>
      </w:pPr>
      <w:bookmarkEnd w:id="18"/>
      <w:r>
        <w:rPr>
          <w:color w:val="2E2E2E"/>
        </w:rPr>
        <w:t>8.3 Deploy to the SaaS Cluster</w:t>
      </w:r>
    </w:p>
    <w:p>
      <w:pPr>
        <w:spacing w:after="160"/>
      </w:pPr>
      <w:r>
        <w:rPr>
          <w:rFonts w:ascii="Calibri" w:hAnsi="Calibri"/>
          <w:b w:val="0"/>
          <w:sz w:val="21"/>
        </w:rPr>
        <w:t>In Camunda Modeler: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 xml:space="preserve">Click </w:t>
      </w:r>
      <w:r>
        <w:rPr>
          <w:rFonts w:ascii="Calibri" w:hAnsi="Calibri"/>
          <w:b/>
          <w:sz w:val="21"/>
        </w:rPr>
        <w:t>Deploy</w:t>
      </w:r>
      <w:r>
        <w:rPr>
          <w:rFonts w:ascii="Calibri" w:hAnsi="Calibri"/>
          <w:b w:val="0"/>
          <w:sz w:val="21"/>
        </w:rPr>
        <w:t xml:space="preserve"> (rocket icon, top-right).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 xml:space="preserve">Choose </w:t>
      </w:r>
      <w:r>
        <w:rPr>
          <w:rFonts w:ascii="Calibri" w:hAnsi="Calibri"/>
          <w:b/>
          <w:sz w:val="21"/>
        </w:rPr>
        <w:t>Camunda 8 SaaS</w:t>
      </w:r>
      <w:r>
        <w:rPr>
          <w:rFonts w:ascii="Calibri" w:hAnsi="Calibri"/>
          <w:b w:val="0"/>
          <w:sz w:val="21"/>
        </w:rPr>
        <w:t xml:space="preserve"> as the deployment target.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Enter the cluster and client details from Section 3 (Cluster ID, Region,</w:t>
      </w:r>
    </w:p>
    <w:p>
      <w:pPr>
        <w:spacing w:after="160"/>
      </w:pPr>
      <w:r>
        <w:rPr>
          <w:rFonts w:ascii="Calibri" w:hAnsi="Calibri"/>
          <w:b w:val="0"/>
          <w:sz w:val="21"/>
        </w:rPr>
        <w:t>Client ID, Client Secret).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Deploy.</w:t>
      </w:r>
    </w:p>
    <w:p>
      <w:pPr>
        <w:spacing w:after="160"/>
      </w:pPr>
      <w:r>
        <w:rPr>
          <w:rFonts w:ascii="Calibri" w:hAnsi="Calibri"/>
          <w:b w:val="0"/>
          <w:sz w:val="21"/>
        </w:rPr>
        <w:t>Once deployed, the running connector runtime picks up the new process</w:t>
      </w:r>
    </w:p>
    <w:p>
      <w:pPr>
        <w:spacing w:after="160"/>
      </w:pPr>
      <w:r>
        <w:rPr>
          <w:rFonts w:ascii="Calibri" w:hAnsi="Calibri"/>
          <w:b w:val="0"/>
          <w:sz w:val="21"/>
        </w:rPr>
        <w:t xml:space="preserve">definition (via </w:t>
      </w:r>
      <w:r>
        <w:rPr>
          <w:rFonts w:ascii="Consolas" w:hAnsi="Consolas"/>
          <w:color w:val="B03600"/>
          <w:sz w:val="19"/>
        </w:rPr>
        <w:t>ProcessDefinitionImportConfiguration</w:t>
      </w:r>
      <w:r>
        <w:rPr>
          <w:rFonts w:ascii="Calibri" w:hAnsi="Calibri"/>
          <w:b w:val="0"/>
          <w:sz w:val="21"/>
        </w:rPr>
        <w:t>, polling every few</w:t>
      </w:r>
    </w:p>
    <w:p>
      <w:pPr>
        <w:spacing w:after="160"/>
      </w:pPr>
      <w:r>
        <w:rPr>
          <w:rFonts w:ascii="Calibri" w:hAnsi="Calibri"/>
          <w:b w:val="0"/>
          <w:sz w:val="21"/>
        </w:rPr>
        <w:t>seconds) and activates the DB poller for it — you'll see a log line like: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648"/>
      </w:tblGrid>
      <w:tr>
        <w:tc>
          <w:tcPr>
            <w:tcW w:type="dxa" w:w="9648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Activating DB Poller: dialect=POSTGRES, interval=10s, batchSize=100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Calibri" w:hAnsi="Calibri"/>
          <w:b w:val="0"/>
          <w:sz w:val="21"/>
        </w:rPr>
        <w:t>Check for it: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648"/>
      </w:tblGrid>
      <w:tr>
        <w:tc>
          <w:tcPr>
            <w:tcW w:type="dxa" w:w="9648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docker logs camunda-db-poller --tail 50</w:t>
            </w:r>
          </w:p>
        </w:tc>
      </w:tr>
    </w:tbl>
    <w:p>
      <w:pPr>
        <w:spacing w:after="120"/>
      </w:pPr>
    </w:p>
    <w:p>
      <w:pPr>
        <w:shd w:val="clear" w:color="auto" w:fill="EFF3FA"/>
        <w:spacing w:before="120" w:after="120"/>
        <w:ind w:left="360"/>
      </w:pPr>
      <w:r>
        <w:rPr>
          <w:rFonts w:ascii="Calibri" w:hAnsi="Calibri"/>
          <w:b w:val="0"/>
          <w:sz w:val="20"/>
        </w:rPr>
        <w:t xml:space="preserve">If your cluster is affected by the known REST-endpoint issue noted in </w:t>
      </w:r>
      <w:hyperlink w:anchor="11-troubleshooting">
        <w:r>
          <w:rPr>
            <w:color w:val="1155CC"/>
            <w:u w:val="single"/>
            <w:rFonts w:ascii="Calibri"/>
          </w:rPr>
          <w:t xml:space="preserve">Section 11</w:t>
        </w:r>
      </w:hyperlink>
      <w:r>
        <w:rPr>
          <w:rFonts w:ascii="Calibri" w:hAnsi="Calibri"/>
          <w:b w:val="0"/>
          <w:sz w:val="20"/>
        </w:rPr>
        <w:t>, process definition import may not pick up the new process automatically. Restarting the container after deployment (</w:t>
      </w:r>
      <w:r>
        <w:rPr>
          <w:rFonts w:ascii="Consolas" w:hAnsi="Consolas"/>
          <w:color w:val="B03600"/>
          <w:sz w:val="18"/>
        </w:rPr>
        <w:t>docker restart camunda-db-poller</w:t>
      </w:r>
      <w:r>
        <w:rPr>
          <w:rFonts w:ascii="Calibri" w:hAnsi="Calibri"/>
          <w:b w:val="0"/>
          <w:sz w:val="20"/>
        </w:rPr>
        <w:t>) forces a fresh SPI/process discovery pass and is a reliable workaround.</w:t>
      </w:r>
    </w:p>
    <w:p>
      <w:r>
        <w:br w:type="page"/>
      </w:r>
    </w:p>
    <w:p>
      <w:bookmarkStart w:id="19" w:name="heading_19"/>
      <w:pPr>
        <w:pStyle w:val="Heading2"/>
      </w:pPr>
      <w:bookmarkEnd w:id="19"/>
      <w:r>
        <w:rPr>
          <w:color w:val="1F3864"/>
        </w:rPr>
        <w:t>9. Execute End-to-End</w:t>
      </w:r>
    </w:p>
    <w:p>
      <w:pPr>
        <w:spacing w:after="160"/>
      </w:pPr>
      <w:r>
        <w:rPr>
          <w:rFonts w:ascii="Calibri" w:hAnsi="Calibri"/>
          <w:b w:val="0"/>
          <w:sz w:val="21"/>
        </w:rPr>
        <w:t>Insert a row into the test table: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648"/>
      </w:tblGrid>
      <w:tr>
        <w:tc>
          <w:tcPr>
            <w:tcW w:type="dxa" w:w="9648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docker exec -i db-poller-test-pg psql -U camunda_poller -d orders -c 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INSERT INTO orders (order_id, status, amount) VALUES ('ORD-1001', 'PENDING', 199.99);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"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Calibri" w:hAnsi="Calibri"/>
          <w:b w:val="0"/>
          <w:sz w:val="21"/>
        </w:rPr>
        <w:t>Within one polling interval (10s in this example), the connector should: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 xml:space="preserve">Read the row via </w:t>
      </w:r>
      <w:r>
        <w:rPr>
          <w:rFonts w:ascii="Consolas" w:hAnsi="Consolas"/>
          <w:color w:val="B03600"/>
          <w:sz w:val="19"/>
        </w:rPr>
        <w:t>PollingService.pollOnce()</w:t>
      </w:r>
      <w:r>
        <w:rPr>
          <w:rFonts w:ascii="Calibri" w:hAnsi="Calibri"/>
          <w:b w:val="0"/>
          <w:sz w:val="21"/>
        </w:rPr>
        <w:t>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 xml:space="preserve">Build a </w:t>
      </w:r>
      <w:r>
        <w:rPr>
          <w:rFonts w:ascii="Consolas" w:hAnsi="Consolas"/>
          <w:color w:val="B03600"/>
          <w:sz w:val="19"/>
        </w:rPr>
        <w:t>RowPayload</w:t>
      </w:r>
      <w:r>
        <w:rPr>
          <w:rFonts w:ascii="Calibri" w:hAnsi="Calibri"/>
          <w:b w:val="0"/>
          <w:sz w:val="21"/>
        </w:rPr>
        <w:t xml:space="preserve"> and correlate it as message </w:t>
      </w:r>
      <w:r>
        <w:rPr>
          <w:rFonts w:ascii="Consolas" w:hAnsi="Consolas"/>
          <w:color w:val="B03600"/>
          <w:sz w:val="19"/>
        </w:rPr>
        <w:t>OrderReceived</w:t>
      </w:r>
      <w:r>
        <w:rPr>
          <w:rFonts w:ascii="Calibri" w:hAnsi="Calibri"/>
          <w:b w:val="0"/>
          <w:sz w:val="21"/>
        </w:rPr>
        <w:t xml:space="preserve"> with</w:t>
      </w:r>
    </w:p>
    <w:p>
      <w:pPr>
        <w:spacing w:after="160"/>
      </w:pPr>
      <w:r>
        <w:rPr>
          <w:rFonts w:ascii="Calibri" w:hAnsi="Calibri"/>
          <w:b w:val="0"/>
          <w:sz w:val="21"/>
        </w:rPr>
        <w:t xml:space="preserve">correlation key </w:t>
      </w:r>
      <w:r>
        <w:rPr>
          <w:rFonts w:ascii="Consolas" w:hAnsi="Consolas"/>
          <w:color w:val="B03600"/>
          <w:sz w:val="19"/>
        </w:rPr>
        <w:t>ORD-1001</w:t>
      </w:r>
      <w:r>
        <w:rPr>
          <w:rFonts w:ascii="Calibri" w:hAnsi="Calibri"/>
          <w:b w:val="0"/>
          <w:sz w:val="21"/>
        </w:rPr>
        <w:t>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 xml:space="preserve">Start a new instance of the </w:t>
      </w:r>
      <w:r>
        <w:rPr>
          <w:rFonts w:ascii="Consolas" w:hAnsi="Consolas"/>
          <w:color w:val="B03600"/>
          <w:sz w:val="19"/>
        </w:rPr>
        <w:t>order-fulfillment</w:t>
      </w:r>
      <w:r>
        <w:rPr>
          <w:rFonts w:ascii="Calibri" w:hAnsi="Calibri"/>
          <w:b w:val="0"/>
          <w:sz w:val="21"/>
        </w:rPr>
        <w:t xml:space="preserve"> process, with process</w:t>
      </w:r>
    </w:p>
    <w:p>
      <w:pPr>
        <w:spacing w:after="160"/>
      </w:pPr>
      <w:r>
        <w:rPr>
          <w:rFonts w:ascii="Calibri" w:hAnsi="Calibri"/>
          <w:b w:val="0"/>
          <w:sz w:val="21"/>
        </w:rPr>
        <w:t xml:space="preserve">variable </w:t>
      </w:r>
      <w:r>
        <w:rPr>
          <w:rFonts w:ascii="Consolas" w:hAnsi="Consolas"/>
          <w:color w:val="B03600"/>
          <w:sz w:val="19"/>
        </w:rPr>
        <w:t>orderRow</w:t>
      </w:r>
      <w:r>
        <w:rPr>
          <w:rFonts w:ascii="Calibri" w:hAnsi="Calibri"/>
          <w:b w:val="0"/>
          <w:sz w:val="21"/>
        </w:rPr>
        <w:t xml:space="preserve"> set to the row payload.</w:t>
      </w:r>
    </w:p>
    <w:p>
      <w:pPr>
        <w:spacing w:after="160"/>
      </w:pPr>
      <w:r>
        <w:rPr>
          <w:rFonts w:ascii="Calibri" w:hAnsi="Calibri"/>
          <w:b w:val="0"/>
          <w:sz w:val="21"/>
        </w:rPr>
        <w:t xml:space="preserve">Confirm it in </w:t>
      </w:r>
      <w:r>
        <w:rPr>
          <w:rFonts w:ascii="Calibri" w:hAnsi="Calibri"/>
          <w:b/>
          <w:sz w:val="21"/>
        </w:rPr>
        <w:t>Camunda Operate</w:t>
      </w:r>
      <w:r>
        <w:rPr>
          <w:rFonts w:ascii="Calibri" w:hAnsi="Calibri"/>
          <w:b w:val="0"/>
          <w:sz w:val="21"/>
        </w:rPr>
        <w:t xml:space="preserve"> (part of your SaaS cluster console):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Navigate to your cluster's Operate URL.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 xml:space="preserve">Filter by process </w:t>
      </w:r>
      <w:r>
        <w:rPr>
          <w:rFonts w:ascii="Consolas" w:hAnsi="Consolas"/>
          <w:color w:val="B03600"/>
          <w:sz w:val="19"/>
        </w:rPr>
        <w:t>order-fulfillment</w:t>
      </w:r>
      <w:r>
        <w:rPr>
          <w:rFonts w:ascii="Calibri" w:hAnsi="Calibri"/>
          <w:b w:val="0"/>
          <w:sz w:val="21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You should see a new instance, started at the time of the insert, with</w:t>
      </w:r>
    </w:p>
    <w:p>
      <w:pPr>
        <w:spacing w:after="160"/>
      </w:pPr>
      <w:r>
        <w:rPr>
          <w:rFonts w:ascii="Consolas" w:hAnsi="Consolas"/>
          <w:color w:val="B03600"/>
          <w:sz w:val="19"/>
        </w:rPr>
        <w:t>orderRow</w:t>
      </w:r>
      <w:r>
        <w:rPr>
          <w:rFonts w:ascii="Calibri" w:hAnsi="Calibri"/>
          <w:b w:val="0"/>
          <w:sz w:val="21"/>
        </w:rPr>
        <w:t xml:space="preserve"> in its variables.</w:t>
      </w:r>
    </w:p>
    <w:p>
      <w:pPr>
        <w:spacing w:after="160"/>
      </w:pPr>
      <w:r>
        <w:rPr>
          <w:rFonts w:ascii="Calibri" w:hAnsi="Calibri"/>
          <w:b w:val="0"/>
          <w:sz w:val="21"/>
        </w:rPr>
        <w:t>Or check the connector's own logs for the poll cycle: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648"/>
      </w:tblGrid>
      <w:tr>
        <w:tc>
          <w:tcPr>
            <w:tcW w:type="dxa" w:w="9648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docker logs camunda-db-poller --tail 20</w:t>
            </w:r>
          </w:p>
        </w:tc>
      </w:tr>
    </w:tbl>
    <w:p>
      <w:pPr>
        <w:spacing w:after="120"/>
      </w:pPr>
    </w:p>
    <w:p>
      <w:r>
        <w:br w:type="page"/>
      </w:r>
    </w:p>
    <w:p>
      <w:bookmarkStart w:id="20" w:name="heading_20"/>
      <w:pPr>
        <w:pStyle w:val="Heading2"/>
      </w:pPr>
      <w:bookmarkEnd w:id="20"/>
      <w:r>
        <w:rPr>
          <w:color w:val="1F3864"/>
        </w:rPr>
        <w:t>10. Lifecycle Management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648"/>
      </w:tblGrid>
      <w:tr>
        <w:tc>
          <w:tcPr>
            <w:tcW w:type="dxa" w:w="9648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docker stop camunda-db-poller       # stop, keep container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docker start camunda-db-poller      # resume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docker restart camunda-db-poller    # restart (forces a fresh process-definition import pass)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docker rm -f camunda-db-poller      # remove entirely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Calibri" w:hAnsi="Calibri"/>
          <w:b w:val="0"/>
          <w:sz w:val="21"/>
        </w:rPr>
        <w:t>To redeploy after a code change: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648"/>
      </w:tblGrid>
      <w:tr>
        <w:tc>
          <w:tcPr>
            <w:tcW w:type="dxa" w:w="9648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$env:JAVA_HOME = "C:\Program Files\Java\jdk-17"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mvn -q clean package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docker rm -f camunda-db-poller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docker run -d --name camunda-db-poller --env-file .env `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-v "${PWD}\target\camunda-db-poller-1.0.0-SNAPSHOT-with-dependencies.jar:/opt/app/camunda-db-poller.jar" `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camunda/connectors-bundle:latest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Calibri" w:hAnsi="Calibri"/>
          <w:b w:val="0"/>
          <w:sz w:val="21"/>
        </w:rPr>
        <w:t>To tear down the test database: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648"/>
      </w:tblGrid>
      <w:tr>
        <w:tc>
          <w:tcPr>
            <w:tcW w:type="dxa" w:w="9648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docker rm -f db-poller-test-pg</w:t>
            </w:r>
          </w:p>
        </w:tc>
      </w:tr>
    </w:tbl>
    <w:p>
      <w:pPr>
        <w:spacing w:after="120"/>
      </w:pPr>
    </w:p>
    <w:p>
      <w:r>
        <w:br w:type="page"/>
      </w:r>
    </w:p>
    <w:p>
      <w:bookmarkStart w:id="21" w:name="heading_21"/>
      <w:pPr>
        <w:pStyle w:val="Heading2"/>
      </w:pPr>
      <w:bookmarkEnd w:id="21"/>
      <w:r>
        <w:rPr>
          <w:color w:val="1F3864"/>
        </w:rPr>
        <w:t>11. Troubleshooting</w:t>
      </w:r>
    </w:p>
    <w:p>
      <w:pPr>
        <w:spacing w:after="160"/>
      </w:pPr>
      <w:r>
        <w:rPr>
          <w:rFonts w:ascii="Calibri" w:hAnsi="Calibri"/>
          <w:b w:val="0"/>
          <w:sz w:val="21"/>
        </w:rPr>
        <w:t>These are real failures hit and fixed while first standing this up —</w:t>
      </w:r>
    </w:p>
    <w:p>
      <w:pPr>
        <w:spacing w:after="160"/>
      </w:pPr>
      <w:r>
        <w:rPr>
          <w:rFonts w:ascii="Calibri" w:hAnsi="Calibri"/>
          <w:b w:val="0"/>
          <w:sz w:val="21"/>
        </w:rPr>
        <w:t>useful if you see the same symptoms after a dependency bump or on a fresh</w:t>
      </w:r>
    </w:p>
    <w:p>
      <w:pPr>
        <w:spacing w:after="160"/>
      </w:pPr>
      <w:r>
        <w:rPr>
          <w:rFonts w:ascii="Calibri" w:hAnsi="Calibri"/>
          <w:b w:val="0"/>
          <w:sz w:val="21"/>
        </w:rPr>
        <w:t>machine.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Symptom</w:t>
            </w:r>
          </w:p>
        </w:tc>
        <w:tc>
          <w:tcPr>
            <w:tcW w:type="dxa" w:w="3216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Cause</w:t>
            </w:r>
          </w:p>
        </w:tc>
        <w:tc>
          <w:tcPr>
            <w:tcW w:type="dxa" w:w="3216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color w:val="B03600"/>
                <w:sz w:val="17"/>
              </w:rPr>
              <w:t>mvn package</w:t>
            </w:r>
            <w:r>
              <w:rPr>
                <w:rFonts w:ascii="Calibri" w:hAnsi="Calibri"/>
                <w:b w:val="0"/>
                <w:sz w:val="19"/>
              </w:rPr>
              <w:t xml:space="preserve"> fails: </w:t>
            </w:r>
            <w:r>
              <w:rPr>
                <w:rFonts w:ascii="Consolas" w:hAnsi="Consolas"/>
                <w:color w:val="B03600"/>
                <w:sz w:val="17"/>
              </w:rPr>
              <w:t>invalid target release: 25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sz w:val="19"/>
              </w:rPr>
              <w:t>No JDK 25 installed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B03600"/>
                <w:sz w:val="17"/>
              </w:rPr>
              <w:t>pom.xml</w:t>
            </w:r>
            <w:r>
              <w:rPr>
                <w:rFonts w:ascii="Calibri" w:hAnsi="Calibri"/>
                <w:b w:val="0"/>
                <w:sz w:val="19"/>
              </w:rPr>
              <w:t xml:space="preserve"> now targets Java 17; make sure </w:t>
            </w:r>
            <w:r>
              <w:rPr>
                <w:rFonts w:ascii="Consolas" w:hAnsi="Consolas"/>
                <w:color w:val="B03600"/>
                <w:sz w:val="17"/>
              </w:rPr>
              <w:t>JAVA_HOME</w:t>
            </w:r>
            <w:r>
              <w:rPr>
                <w:rFonts w:ascii="Calibri" w:hAnsi="Calibri"/>
                <w:b w:val="0"/>
                <w:sz w:val="19"/>
              </w:rPr>
              <w:t xml:space="preserve"> points at a JDK 17.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 w:val="0"/>
                <w:sz w:val="19"/>
              </w:rPr>
              <w:t xml:space="preserve">Container exits immediately; log shows </w:t>
            </w:r>
            <w:r>
              <w:rPr>
                <w:rFonts w:ascii="Consolas" w:hAnsi="Consolas"/>
                <w:color w:val="B03600"/>
                <w:sz w:val="17"/>
              </w:rPr>
              <w:t>LoggerFactory is not a Logback LoggerContext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sz w:val="19"/>
              </w:rPr>
              <w:t xml:space="preserve">Shaded jar bundled its own </w:t>
            </w:r>
            <w:r>
              <w:rPr>
                <w:rFonts w:ascii="Consolas" w:hAnsi="Consolas"/>
                <w:color w:val="B03600"/>
                <w:sz w:val="17"/>
              </w:rPr>
              <w:t>slf4j-api</w:t>
            </w:r>
            <w:r>
              <w:rPr>
                <w:rFonts w:ascii="Calibri" w:hAnsi="Calibri"/>
                <w:b w:val="0"/>
                <w:sz w:val="19"/>
              </w:rPr>
              <w:t>, shadowing the runtime's Logback wiring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sz w:val="19"/>
              </w:rPr>
              <w:t xml:space="preserve">Keep </w:t>
            </w:r>
            <w:r>
              <w:rPr>
                <w:rFonts w:ascii="Consolas" w:hAnsi="Consolas"/>
                <w:color w:val="B03600"/>
                <w:sz w:val="17"/>
              </w:rPr>
              <w:t>slf4j-api</w:t>
            </w:r>
            <w:r>
              <w:rPr>
                <w:rFonts w:ascii="Calibri" w:hAnsi="Calibri"/>
                <w:b w:val="0"/>
                <w:sz w:val="19"/>
              </w:rPr>
              <w:t xml:space="preserve"> at </w:t>
            </w:r>
            <w:r>
              <w:rPr>
                <w:rFonts w:ascii="Consolas" w:hAnsi="Consolas"/>
                <w:color w:val="B03600"/>
                <w:sz w:val="17"/>
              </w:rPr>
              <w:t>provided</w:t>
            </w:r>
            <w:r>
              <w:rPr>
                <w:rFonts w:ascii="Calibri" w:hAnsi="Calibri"/>
                <w:b w:val="0"/>
                <w:sz w:val="19"/>
              </w:rPr>
              <w:t xml:space="preserve"> scope in </w:t>
            </w:r>
            <w:r>
              <w:rPr>
                <w:rFonts w:ascii="Consolas" w:hAnsi="Consolas"/>
                <w:color w:val="B03600"/>
                <w:sz w:val="17"/>
              </w:rPr>
              <w:t>pom.xml</w:t>
            </w:r>
            <w:r>
              <w:rPr>
                <w:rFonts w:ascii="Calibri" w:hAnsi="Calibri"/>
                <w:b w:val="0"/>
                <w:sz w:val="19"/>
              </w:rPr>
              <w:t xml:space="preserve"> (already done).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 w:val="0"/>
                <w:sz w:val="19"/>
              </w:rPr>
              <w:t xml:space="preserve">Container exits; log shows </w:t>
            </w:r>
            <w:r>
              <w:rPr>
                <w:rFonts w:ascii="Consolas" w:hAnsi="Consolas"/>
                <w:color w:val="B03600"/>
                <w:sz w:val="17"/>
              </w:rPr>
              <w:t>Scala module ... requires Jackson Databind version &gt;= 2.22.0 ... Found ... 2.18.0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sz w:val="19"/>
              </w:rPr>
              <w:t xml:space="preserve">Shaded jar bundled an older </w:t>
            </w:r>
            <w:r>
              <w:rPr>
                <w:rFonts w:ascii="Consolas" w:hAnsi="Consolas"/>
                <w:color w:val="B03600"/>
                <w:sz w:val="17"/>
              </w:rPr>
              <w:t>jackson-databind</w:t>
            </w:r>
            <w:r>
              <w:rPr>
                <w:rFonts w:ascii="Calibri" w:hAnsi="Calibri"/>
                <w:b w:val="0"/>
                <w:sz w:val="19"/>
              </w:rPr>
              <w:t xml:space="preserve"> than the runtime uses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sz w:val="19"/>
              </w:rPr>
              <w:t xml:space="preserve">Keep </w:t>
            </w:r>
            <w:r>
              <w:rPr>
                <w:rFonts w:ascii="Consolas" w:hAnsi="Consolas"/>
                <w:color w:val="B03600"/>
                <w:sz w:val="17"/>
              </w:rPr>
              <w:t>jackson-databind</w:t>
            </w:r>
            <w:r>
              <w:rPr>
                <w:rFonts w:ascii="Calibri" w:hAnsi="Calibri"/>
                <w:b w:val="0"/>
                <w:sz w:val="19"/>
              </w:rPr>
              <w:t>/</w:t>
            </w:r>
            <w:r>
              <w:rPr>
                <w:rFonts w:ascii="Consolas" w:hAnsi="Consolas"/>
                <w:color w:val="B03600"/>
                <w:sz w:val="17"/>
              </w:rPr>
              <w:t>jackson-datatype-jsr310</w:t>
            </w:r>
            <w:r>
              <w:rPr>
                <w:rFonts w:ascii="Calibri" w:hAnsi="Calibri"/>
                <w:b w:val="0"/>
                <w:sz w:val="19"/>
              </w:rPr>
              <w:t xml:space="preserve"> at </w:t>
            </w:r>
            <w:r>
              <w:rPr>
                <w:rFonts w:ascii="Consolas" w:hAnsi="Consolas"/>
                <w:color w:val="B03600"/>
                <w:sz w:val="17"/>
              </w:rPr>
              <w:t>provided</w:t>
            </w:r>
            <w:r>
              <w:rPr>
                <w:rFonts w:ascii="Calibri" w:hAnsi="Calibri"/>
                <w:b w:val="0"/>
                <w:sz w:val="19"/>
              </w:rPr>
              <w:t xml:space="preserve"> scope (already done).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 w:val="0"/>
                <w:sz w:val="19"/>
              </w:rPr>
              <w:t xml:space="preserve">Container exits; log shows </w:t>
            </w:r>
            <w:r>
              <w:rPr>
                <w:rFonts w:ascii="Consolas" w:hAnsi="Consolas"/>
                <w:color w:val="B03600"/>
                <w:sz w:val="17"/>
              </w:rPr>
              <w:t>NoClassDefFoundError: io/camunda/connector/api/inbound/InboundConnectorExecutable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sz w:val="19"/>
              </w:rPr>
              <w:t>The runtime loads custom connector jars (</w:t>
            </w:r>
            <w:r>
              <w:rPr>
                <w:rFonts w:ascii="Consolas" w:hAnsi="Consolas"/>
                <w:color w:val="B03600"/>
                <w:sz w:val="17"/>
              </w:rPr>
              <w:t>/opt/app/*.jar</w:t>
            </w:r>
            <w:r>
              <w:rPr>
                <w:rFonts w:ascii="Calibri" w:hAnsi="Calibri"/>
                <w:b w:val="0"/>
                <w:sz w:val="19"/>
              </w:rPr>
              <w:t>) through an isolated classloader for SPI/</w:t>
            </w:r>
            <w:r>
              <w:rPr>
                <w:rFonts w:ascii="Consolas" w:hAnsi="Consolas"/>
                <w:color w:val="B03600"/>
                <w:sz w:val="17"/>
              </w:rPr>
              <w:t>ServiceLoader</w:t>
            </w:r>
            <w:r>
              <w:rPr>
                <w:rFonts w:ascii="Calibri" w:hAnsi="Calibri"/>
                <w:b w:val="0"/>
                <w:sz w:val="19"/>
              </w:rPr>
              <w:t xml:space="preserve"> discovery — it can't see the runtime's own </w:t>
            </w:r>
            <w:r>
              <w:rPr>
                <w:rFonts w:ascii="Consolas" w:hAnsi="Consolas"/>
                <w:color w:val="B03600"/>
                <w:sz w:val="17"/>
              </w:rPr>
              <w:t>connector-core</w:t>
            </w:r>
            <w:r>
              <w:rPr>
                <w:rFonts w:ascii="Calibri" w:hAnsi="Calibri"/>
                <w:b w:val="0"/>
                <w:sz w:val="19"/>
              </w:rPr>
              <w:t xml:space="preserve"> classes from that isolated loader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B03600"/>
                <w:sz w:val="17"/>
              </w:rPr>
              <w:t>connector-core</w:t>
            </w:r>
            <w:r>
              <w:rPr>
                <w:rFonts w:ascii="Calibri" w:hAnsi="Calibri"/>
                <w:b w:val="0"/>
                <w:sz w:val="19"/>
              </w:rPr>
              <w:t xml:space="preserve"> must </w:t>
            </w:r>
            <w:r>
              <w:rPr>
                <w:rFonts w:ascii="Calibri" w:hAnsi="Calibri"/>
                <w:b/>
                <w:sz w:val="19"/>
              </w:rPr>
              <w:t>not</w:t>
            </w:r>
            <w:r>
              <w:rPr>
                <w:rFonts w:ascii="Calibri" w:hAnsi="Calibri"/>
                <w:b w:val="0"/>
                <w:sz w:val="19"/>
              </w:rPr>
              <w:t xml:space="preserve"> be </w:t>
            </w:r>
            <w:r>
              <w:rPr>
                <w:rFonts w:ascii="Consolas" w:hAnsi="Consolas"/>
                <w:color w:val="B03600"/>
                <w:sz w:val="17"/>
              </w:rPr>
              <w:t>provided</w:t>
            </w:r>
            <w:r>
              <w:rPr>
                <w:rFonts w:ascii="Calibri" w:hAnsi="Calibri"/>
                <w:b w:val="0"/>
                <w:sz w:val="19"/>
              </w:rPr>
              <w:t>; bundle it into the jar (already done) and pin it to the same version as the runtime image (</w:t>
            </w:r>
            <w:r>
              <w:rPr>
                <w:rFonts w:ascii="Consolas" w:hAnsi="Consolas"/>
                <w:color w:val="B03600"/>
                <w:sz w:val="17"/>
              </w:rPr>
              <w:t>8.9.12</w:t>
            </w:r>
            <w:r>
              <w:rPr>
                <w:rFonts w:ascii="Calibri" w:hAnsi="Calibri"/>
                <w:b w:val="0"/>
                <w:sz w:val="19"/>
              </w:rPr>
              <w:t>).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 w:val="0"/>
                <w:sz w:val="19"/>
              </w:rPr>
              <w:t xml:space="preserve">Container exits; log shows </w:t>
            </w:r>
            <w:r>
              <w:rPr>
                <w:rFonts w:ascii="Consolas" w:hAnsi="Consolas"/>
                <w:color w:val="B03600"/>
                <w:sz w:val="17"/>
              </w:rPr>
              <w:t>Detected incompatible Protobuf Gencode/Runtime versions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B03600"/>
                <w:sz w:val="17"/>
              </w:rPr>
              <w:t>connector-core</w:t>
            </w:r>
            <w:r>
              <w:rPr>
                <w:rFonts w:ascii="Calibri" w:hAnsi="Calibri"/>
                <w:b w:val="0"/>
                <w:sz w:val="19"/>
              </w:rPr>
              <w:t xml:space="preserve"> and </w:t>
            </w:r>
            <w:r>
              <w:rPr>
                <w:rFonts w:ascii="Consolas" w:hAnsi="Consolas"/>
                <w:color w:val="B03600"/>
                <w:sz w:val="17"/>
              </w:rPr>
              <w:t>mysql-connector-j</w:t>
            </w:r>
            <w:r>
              <w:rPr>
                <w:rFonts w:ascii="Calibri" w:hAnsi="Calibri"/>
                <w:b w:val="0"/>
                <w:sz w:val="19"/>
              </w:rPr>
              <w:t xml:space="preserve"> both transitively pull an older </w:t>
            </w:r>
            <w:r>
              <w:rPr>
                <w:rFonts w:ascii="Consolas" w:hAnsi="Consolas"/>
                <w:color w:val="B03600"/>
                <w:sz w:val="17"/>
              </w:rPr>
              <w:t>protobuf-java</w:t>
            </w:r>
            <w:r>
              <w:rPr>
                <w:rFonts w:ascii="Calibri" w:hAnsi="Calibri"/>
                <w:b w:val="0"/>
                <w:sz w:val="19"/>
              </w:rPr>
              <w:t xml:space="preserve"> that conflicts with the runtime's own gRPC stubs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sz w:val="19"/>
              </w:rPr>
              <w:t xml:space="preserve">Both have a </w:t>
            </w:r>
            <w:r>
              <w:rPr>
                <w:rFonts w:ascii="Consolas" w:hAnsi="Consolas"/>
                <w:color w:val="B03600"/>
                <w:sz w:val="17"/>
              </w:rPr>
              <w:t>&lt;exclusion&gt;</w:t>
            </w:r>
            <w:r>
              <w:rPr>
                <w:rFonts w:ascii="Calibri" w:hAnsi="Calibri"/>
                <w:b w:val="0"/>
                <w:sz w:val="19"/>
              </w:rPr>
              <w:t xml:space="preserve"> on </w:t>
            </w:r>
            <w:r>
              <w:rPr>
                <w:rFonts w:ascii="Consolas" w:hAnsi="Consolas"/>
                <w:color w:val="B03600"/>
                <w:sz w:val="17"/>
              </w:rPr>
              <w:t>com.google.protobuf:protobuf-java</w:t>
            </w:r>
            <w:r>
              <w:rPr>
                <w:rFonts w:ascii="Calibri" w:hAnsi="Calibri"/>
                <w:b w:val="0"/>
                <w:sz w:val="19"/>
              </w:rPr>
              <w:t xml:space="preserve"> in </w:t>
            </w:r>
            <w:r>
              <w:rPr>
                <w:rFonts w:ascii="Consolas" w:hAnsi="Consolas"/>
                <w:color w:val="B03600"/>
                <w:sz w:val="17"/>
              </w:rPr>
              <w:t>pom.xml</w:t>
            </w:r>
            <w:r>
              <w:rPr>
                <w:rFonts w:ascii="Calibri" w:hAnsi="Calibri"/>
                <w:b w:val="0"/>
                <w:sz w:val="19"/>
              </w:rPr>
              <w:t xml:space="preserve"> (already done).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 w:val="0"/>
                <w:sz w:val="19"/>
              </w:rPr>
              <w:t xml:space="preserve">App starts, but log warns </w:t>
            </w:r>
            <w:r>
              <w:rPr>
                <w:rFonts w:ascii="Consolas" w:hAnsi="Consolas"/>
                <w:color w:val="B03600"/>
                <w:sz w:val="17"/>
              </w:rPr>
              <w:t>No 'camunda.client.auth.method' detected, will be set to 'none'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sz w:val="19"/>
              </w:rPr>
              <w:t xml:space="preserve">Wrong env var names — Spring Boot's relaxed binding needs the exact </w:t>
            </w:r>
            <w:r>
              <w:rPr>
                <w:rFonts w:ascii="Consolas" w:hAnsi="Consolas"/>
                <w:color w:val="B03600"/>
                <w:sz w:val="17"/>
              </w:rPr>
              <w:t>CAMUNDA_CLIENT_*</w:t>
            </w:r>
            <w:r>
              <w:rPr>
                <w:rFonts w:ascii="Calibri" w:hAnsi="Calibri"/>
                <w:b w:val="0"/>
                <w:sz w:val="19"/>
              </w:rPr>
              <w:t xml:space="preserve"> shape (</w:t>
            </w:r>
            <w:r>
              <w:rPr>
                <w:rFonts w:ascii="Consolas" w:hAnsi="Consolas"/>
                <w:color w:val="B03600"/>
                <w:sz w:val="17"/>
              </w:rPr>
              <w:t>CAMUNDA_CLIENT_AUTH_CLIENTID</w:t>
            </w:r>
            <w:r>
              <w:rPr>
                <w:rFonts w:ascii="Calibri" w:hAnsi="Calibri"/>
                <w:b w:val="0"/>
                <w:sz w:val="19"/>
              </w:rPr>
              <w:t xml:space="preserve">, not </w:t>
            </w:r>
            <w:r>
              <w:rPr>
                <w:rFonts w:ascii="Consolas" w:hAnsi="Consolas"/>
                <w:color w:val="B03600"/>
                <w:sz w:val="17"/>
              </w:rPr>
              <w:t>CAMUNDA_CLIENT_ID</w:t>
            </w:r>
            <w:r>
              <w:rPr>
                <w:rFonts w:ascii="Calibri" w:hAnsi="Calibri"/>
                <w:b w:val="0"/>
                <w:sz w:val="19"/>
              </w:rPr>
              <w:t>)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sz w:val="19"/>
              </w:rPr>
              <w:t xml:space="preserve">Use the property names in Section 5, or see </w:t>
            </w:r>
            <w:hyperlink r:id="rId15">
              <w:r>
                <w:rPr>
                  <w:color w:val="1155CC"/>
                  <w:u w:val="single"/>
                  <w:rFonts w:ascii="Calibri"/>
                </w:rPr>
                <w:t xml:space="preserve">Camunda's Spring Boot Starter config docs</w:t>
              </w:r>
            </w:hyperlink>
            <w:r>
              <w:rPr>
                <w:rFonts w:ascii="Calibri" w:hAnsi="Calibri"/>
                <w:b w:val="0"/>
                <w:sz w:val="19"/>
              </w:rPr>
              <w:t>.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 w:val="0"/>
                <w:sz w:val="19"/>
              </w:rPr>
              <w:t xml:space="preserve">Repeated log errors: </w:t>
            </w:r>
            <w:r>
              <w:rPr>
                <w:rFonts w:ascii="Consolas" w:hAnsi="Consolas"/>
                <w:color w:val="B03600"/>
                <w:sz w:val="17"/>
              </w:rPr>
              <w:t>Failed to import LATEST/ACTIVE process versions ... Failed with code 404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sz w:val="19"/>
              </w:rPr>
              <w:t>The runtime auto-derives a REST endpoint (</w:t>
            </w:r>
            <w:r>
              <w:rPr>
                <w:rFonts w:ascii="Consolas" w:hAnsi="Consolas"/>
                <w:color w:val="B03600"/>
                <w:sz w:val="17"/>
              </w:rPr>
              <w:t>https://&lt;region&gt;.zeebe.camunda.io/...</w:t>
            </w:r>
            <w:r>
              <w:rPr>
                <w:rFonts w:ascii="Calibri" w:hAnsi="Calibri"/>
                <w:b w:val="0"/>
                <w:sz w:val="19"/>
              </w:rPr>
              <w:t>) for process-definition discovery that may not match this cluster/version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sz w:val="19"/>
              </w:rPr>
              <w:t xml:space="preserve">Does </w:t>
            </w:r>
            <w:r>
              <w:rPr>
                <w:rFonts w:ascii="Calibri" w:hAnsi="Calibri"/>
                <w:b/>
                <w:sz w:val="19"/>
              </w:rPr>
              <w:t>not</w:t>
            </w:r>
            <w:r>
              <w:rPr>
                <w:rFonts w:ascii="Calibri" w:hAnsi="Calibri"/>
                <w:b w:val="0"/>
                <w:sz w:val="19"/>
              </w:rPr>
              <w:t xml:space="preserve"> block the actual DB-poller function, which runs over gRPC. </w:t>
            </w:r>
            <w:r>
              <w:rPr>
                <w:rFonts w:ascii="Consolas" w:hAnsi="Consolas"/>
                <w:color w:val="B03600"/>
                <w:sz w:val="17"/>
              </w:rPr>
              <w:t>/actuator/health/liveness</w:t>
            </w:r>
            <w:r>
              <w:rPr>
                <w:rFonts w:ascii="Calibri" w:hAnsi="Calibri"/>
                <w:b w:val="0"/>
                <w:sz w:val="19"/>
              </w:rPr>
              <w:t xml:space="preserve"> (zeebeClient) is the real signal to watch, not </w:t>
            </w:r>
            <w:r>
              <w:rPr>
                <w:rFonts w:ascii="Consolas" w:hAnsi="Consolas"/>
                <w:color w:val="B03600"/>
                <w:sz w:val="17"/>
              </w:rPr>
              <w:t>/health/readiness</w:t>
            </w:r>
            <w:r>
              <w:rPr>
                <w:rFonts w:ascii="Calibri" w:hAnsi="Calibri"/>
                <w:b w:val="0"/>
                <w:sz w:val="19"/>
              </w:rPr>
              <w:t>. Restarting the container after deploying a new process is a workaround if auto-discovery seems stuck.</w:t>
            </w:r>
          </w:p>
        </w:tc>
      </w:tr>
    </w:tbl>
    <w:p>
      <w:pPr>
        <w:spacing w:after="120"/>
      </w:pPr>
    </w:p>
    <w:p>
      <w:bookmarkStart w:id="22" w:name="heading_22"/>
      <w:pPr>
        <w:pStyle w:val="Heading3"/>
      </w:pPr>
      <w:bookmarkEnd w:id="22"/>
      <w:r>
        <w:rPr>
          <w:color w:val="2E2E2E"/>
        </w:rPr>
        <w:t>Useful Diagnostic Commands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648"/>
      </w:tblGrid>
      <w:tr>
        <w:tc>
          <w:tcPr>
            <w:tcW w:type="dxa" w:w="9648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Full container health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docker exec camunda-db-poller wget -qO- http://localhost:8080/actuator/health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Follow logs live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docker logs -f camunda-db-poller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Confirm which inbound connector types are registered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docker logs camunda-db-poller | Select-String "inbound connector"</w:t>
            </w:r>
          </w:p>
        </w:tc>
      </w:tr>
    </w:tbl>
    <w:p>
      <w:pPr>
        <w:spacing w:after="120"/>
      </w:pPr>
    </w:p>
    <w:p>
      <w:r>
        <w:br w:type="page"/>
      </w:r>
    </w:p>
    <w:p>
      <w:bookmarkStart w:id="23" w:name="heading_23"/>
      <w:pPr>
        <w:pStyle w:val="Heading2"/>
      </w:pPr>
      <w:bookmarkEnd w:id="23"/>
      <w:r>
        <w:rPr>
          <w:color w:val="1F3864"/>
        </w:rPr>
        <w:t>Appendix A — Recreating .env</w:t>
      </w:r>
    </w:p>
    <w:p>
      <w:pPr>
        <w:spacing w:after="160"/>
      </w:pPr>
      <w:r>
        <w:rPr>
          <w:rFonts w:ascii="Calibri" w:hAnsi="Calibri"/>
          <w:b w:val="0"/>
          <w:sz w:val="21"/>
        </w:rPr>
        <w:t xml:space="preserve">If </w:t>
      </w:r>
      <w:r>
        <w:rPr>
          <w:rFonts w:ascii="Consolas" w:hAnsi="Consolas"/>
          <w:color w:val="B03600"/>
          <w:sz w:val="19"/>
        </w:rPr>
        <w:t>.env</w:t>
      </w:r>
      <w:r>
        <w:rPr>
          <w:rFonts w:ascii="Calibri" w:hAnsi="Calibri"/>
          <w:b w:val="0"/>
          <w:sz w:val="21"/>
        </w:rPr>
        <w:t xml:space="preserve"> is missing (fresh clone, new machine), recreate it at the project</w:t>
      </w:r>
    </w:p>
    <w:p>
      <w:pPr>
        <w:spacing w:after="160"/>
      </w:pPr>
      <w:r>
        <w:rPr>
          <w:rFonts w:ascii="Calibri" w:hAnsi="Calibri"/>
          <w:b w:val="0"/>
          <w:sz w:val="21"/>
        </w:rPr>
        <w:t>root with your Camunda 8 SaaS API client's credentials (Console → your</w:t>
      </w:r>
    </w:p>
    <w:p>
      <w:pPr>
        <w:spacing w:after="160"/>
      </w:pPr>
      <w:r>
        <w:rPr>
          <w:rFonts w:ascii="Calibri" w:hAnsi="Calibri"/>
          <w:b w:val="0"/>
          <w:sz w:val="21"/>
        </w:rPr>
        <w:t>cluster → API → create/view client):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648"/>
      </w:tblGrid>
      <w:tr>
        <w:tc>
          <w:tcPr>
            <w:tcW w:type="dxa" w:w="9648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CAMUNDA_CLIENT_MODE=saas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CAMUNDA_CLIENT_CLOUD_REGION=&lt;your region, e.g. sin-2&gt;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CAMUNDA_CLIENT_CLOUD_CLUSTERID=&lt;your cluster id&gt;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CAMUNDA_CLIENT_AUTH_CLIENTID=&lt;your client id&gt;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CAMUNDA_CLIENT_AUTH_CLIENTSECRET=&lt;your client secret&gt;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CAMUNDA_CLIENT_AUTH_TOKENURL=https://login.cloud.camunda.io/oauth/token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CAMUNDA_CLIENT_AUTH_AUDIENCE=zeebe.camunda.io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Consolas" w:hAnsi="Consolas"/>
          <w:color w:val="B03600"/>
          <w:sz w:val="19"/>
        </w:rPr>
        <w:t>.env</w:t>
      </w:r>
      <w:r>
        <w:rPr>
          <w:rFonts w:ascii="Calibri" w:hAnsi="Calibri"/>
          <w:b w:val="0"/>
          <w:sz w:val="21"/>
        </w:rPr>
        <w:t xml:space="preserve"> is listed in </w:t>
      </w:r>
      <w:r>
        <w:rPr>
          <w:rFonts w:ascii="Consolas" w:hAnsi="Consolas"/>
          <w:color w:val="B03600"/>
          <w:sz w:val="19"/>
        </w:rPr>
        <w:t>.gitignore</w:t>
      </w:r>
      <w:r>
        <w:rPr>
          <w:rFonts w:ascii="Calibri" w:hAnsi="Calibri"/>
          <w:b w:val="0"/>
          <w:sz w:val="21"/>
        </w:rPr>
        <w:t xml:space="preserve"> — verify it stays that way before ever</w:t>
      </w:r>
    </w:p>
    <w:p>
      <w:pPr>
        <w:spacing w:after="160"/>
      </w:pPr>
      <w:r>
        <w:rPr>
          <w:rFonts w:ascii="Calibri" w:hAnsi="Calibri"/>
          <w:b w:val="0"/>
          <w:sz w:val="21"/>
        </w:rPr>
        <w:t xml:space="preserve">running </w:t>
      </w:r>
      <w:r>
        <w:rPr>
          <w:rFonts w:ascii="Consolas" w:hAnsi="Consolas"/>
          <w:color w:val="B03600"/>
          <w:sz w:val="19"/>
        </w:rPr>
        <w:t>git add</w:t>
      </w:r>
      <w:r>
        <w:rPr>
          <w:rFonts w:ascii="Calibri" w:hAnsi="Calibri"/>
          <w:b w:val="0"/>
          <w:sz w:val="21"/>
        </w:rPr>
        <w:t>.</w:t>
      </w:r>
    </w:p>
    <w:p>
      <w:r>
        <w:br w:type="page"/>
      </w:r>
    </w:p>
    <w:p>
      <w:bookmarkStart w:id="24" w:name="heading_24"/>
      <w:pPr>
        <w:pStyle w:val="Heading2"/>
      </w:pPr>
      <w:bookmarkEnd w:id="24"/>
      <w:r>
        <w:rPr>
          <w:color w:val="1F3864"/>
        </w:rPr>
        <w:t>Appendix B — Environment Variable Reference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864"/>
          </w:tcPr>
          <w:p>
            <w:r>
              <w:rPr>
                <w:rFonts w:ascii="Consolas" w:hAnsi="Consolas"/>
                <w:color w:val="B03600"/>
                <w:sz w:val="18"/>
              </w:rPr>
              <w:t>.env</w:t>
            </w:r>
            <w:r>
              <w:rPr>
                <w:rFonts w:ascii="Calibri" w:hAnsi="Calibri"/>
                <w:b/>
                <w:color w:val="FFFFFF"/>
                <w:sz w:val="20"/>
              </w:rPr>
              <w:t xml:space="preserve"> variable</w:t>
            </w:r>
          </w:p>
        </w:tc>
        <w:tc>
          <w:tcPr>
            <w:tcW w:type="dxa" w:w="3216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Maps to Spring property</w:t>
            </w:r>
          </w:p>
        </w:tc>
        <w:tc>
          <w:tcPr>
            <w:tcW w:type="dxa" w:w="3216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color w:val="B03600"/>
                <w:sz w:val="17"/>
              </w:rPr>
              <w:t>CAMUNDA_CLIENT_MODE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B03600"/>
                <w:sz w:val="17"/>
              </w:rPr>
              <w:t>camunda.client.mode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sz w:val="19"/>
              </w:rPr>
              <w:t xml:space="preserve">Set to </w:t>
            </w:r>
            <w:r>
              <w:rPr>
                <w:rFonts w:ascii="Consolas" w:hAnsi="Consolas"/>
                <w:color w:val="B03600"/>
                <w:sz w:val="17"/>
              </w:rPr>
              <w:t>saas</w:t>
            </w:r>
            <w:r>
              <w:rPr>
                <w:rFonts w:ascii="Calibri" w:hAnsi="Calibri"/>
                <w:b w:val="0"/>
                <w:sz w:val="19"/>
              </w:rPr>
              <w:t xml:space="preserve"> to enable SaaS auto-configuration (derives gRPC/REST addresses from region + cluster ID).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color w:val="B03600"/>
                <w:sz w:val="17"/>
              </w:rPr>
              <w:t>CAMUNDA_CLIENT_CLOUD_REGION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B03600"/>
                <w:sz w:val="17"/>
              </w:rPr>
              <w:t>camunda.client.cloud.region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sz w:val="19"/>
              </w:rPr>
              <w:t xml:space="preserve">SaaS region, e.g. </w:t>
            </w:r>
            <w:r>
              <w:rPr>
                <w:rFonts w:ascii="Consolas" w:hAnsi="Consolas"/>
                <w:color w:val="B03600"/>
                <w:sz w:val="17"/>
              </w:rPr>
              <w:t>sin-2</w:t>
            </w:r>
            <w:r>
              <w:rPr>
                <w:rFonts w:ascii="Calibri" w:hAnsi="Calibri"/>
                <w:b w:val="0"/>
                <w:sz w:val="19"/>
              </w:rPr>
              <w:t>.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color w:val="B03600"/>
                <w:sz w:val="17"/>
              </w:rPr>
              <w:t>CAMUNDA_CLIENT_CLOUD_CLUSTERID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B03600"/>
                <w:sz w:val="17"/>
              </w:rPr>
              <w:t>camunda.client.cloud.cluster-id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sz w:val="19"/>
              </w:rPr>
              <w:t>SaaS cluster identifier.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color w:val="B03600"/>
                <w:sz w:val="17"/>
              </w:rPr>
              <w:t>CAMUNDA_CLIENT_AUTH_CLIENTID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B03600"/>
                <w:sz w:val="17"/>
              </w:rPr>
              <w:t>camunda.client.auth.client-id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sz w:val="19"/>
              </w:rPr>
              <w:t>OAuth client ID from the API client.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color w:val="B03600"/>
                <w:sz w:val="17"/>
              </w:rPr>
              <w:t>CAMUNDA_CLIENT_AUTH_CLIENTSECRET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B03600"/>
                <w:sz w:val="17"/>
              </w:rPr>
              <w:t>camunda.client.auth.client-secret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sz w:val="19"/>
              </w:rPr>
              <w:t>OAuth client secret from the API client.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color w:val="B03600"/>
                <w:sz w:val="17"/>
              </w:rPr>
              <w:t>CAMUNDA_CLIENT_AUTH_TOKENURL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B03600"/>
                <w:sz w:val="17"/>
              </w:rPr>
              <w:t>camunda.client.auth.token-url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sz w:val="19"/>
              </w:rPr>
              <w:t>OAuth token endpoint (</w:t>
            </w:r>
            <w:r>
              <w:rPr>
                <w:rFonts w:ascii="Consolas" w:hAnsi="Consolas"/>
                <w:color w:val="B03600"/>
                <w:sz w:val="17"/>
              </w:rPr>
              <w:t>https://login.cloud.camunda.io/oauth/token</w:t>
            </w:r>
            <w:r>
              <w:rPr>
                <w:rFonts w:ascii="Calibri" w:hAnsi="Calibri"/>
                <w:b w:val="0"/>
                <w:sz w:val="19"/>
              </w:rPr>
              <w:t xml:space="preserve"> for SaaS).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color w:val="B03600"/>
                <w:sz w:val="17"/>
              </w:rPr>
              <w:t>CAMUNDA_CLIENT_AUTH_AUDIENCE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B03600"/>
                <w:sz w:val="17"/>
              </w:rPr>
              <w:t>camunda.client.auth.audience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sz w:val="19"/>
              </w:rPr>
              <w:t>OAuth resource audience (</w:t>
            </w:r>
            <w:r>
              <w:rPr>
                <w:rFonts w:ascii="Consolas" w:hAnsi="Consolas"/>
                <w:color w:val="B03600"/>
                <w:sz w:val="17"/>
              </w:rPr>
              <w:t>zeebe.camunda.io</w:t>
            </w:r>
            <w:r>
              <w:rPr>
                <w:rFonts w:ascii="Calibri" w:hAnsi="Calibri"/>
                <w:b w:val="0"/>
                <w:sz w:val="19"/>
              </w:rPr>
              <w:t xml:space="preserve"> for SaaS).</w:t>
            </w:r>
          </w:p>
        </w:tc>
      </w:tr>
    </w:tbl>
    <w:p>
      <w:pPr>
        <w:spacing w:after="120"/>
      </w:pPr>
    </w:p>
    <w:p>
      <w:pPr>
        <w:jc w:val="center"/>
      </w:pPr>
      <w:r>
        <w:rPr>
          <w:i/>
          <w:color w:val="777777"/>
          <w:sz w:val="19"/>
        </w:rPr>
        <w:t>End of document.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pgSz w:w="12240" w:h="15840"/>
      <w:pgMar w:top="1152" w:right="1296" w:bottom="1152" w:left="1296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F7F7F"/>
        <w:sz w:val="17"/>
      </w:rPr>
      <w:t xml:space="preserve">camunda-db-poller — End-to-End Installation &amp; Execution Guide  |  Page </w:t>
    </w:r>
    <w:r>
      <w:rPr>
        <w:rFonts w:ascii="Calibri" w:hAnsi="Calibri"/>
        <w:b w:val="0"/>
        <w:color w:val="7F7F7F"/>
        <w:sz w:val="17"/>
      </w:rPr>
      <w:fldChar w:fldCharType="begin"/>
      <w:instrText xml:space="preserve">PAGE</w:instrText>
      <w:fldChar w:fldCharType="end"/>
    </w:r>
    <w:r>
      <w:rPr>
        <w:rFonts w:ascii="Calibri" w:hAnsi="Calibri"/>
        <w:color w:val="7F7F7F"/>
        <w:sz w:val="17"/>
      </w:rPr>
      <w:t xml:space="preserve"> of </w:t>
    </w:r>
    <w:r>
      <w:rPr>
        <w:rFonts w:ascii="Calibri" w:hAnsi="Calibri"/>
        <w:b w:val="0"/>
        <w:color w:val="7F7F7F"/>
        <w:sz w:val="17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BFBFBF"/>
      </w:pBdr>
    </w:pPr>
    <w:r>
      <w:rPr>
        <w:rFonts w:ascii="Calibri" w:hAnsi="Calibri"/>
        <w:color w:val="7F7F7F"/>
        <w:sz w:val="17"/>
      </w:rPr>
      <w:t>camunda-db-poller — End-to-End Installation &amp; Execution Guide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2E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yperlink" Target="https://camunda.com/download/modeler/" TargetMode="External"/><Relationship Id="rId14" Type="http://schemas.openxmlformats.org/officeDocument/2006/relationships/hyperlink" Target="https://console.cloud.camunda.io" TargetMode="External"/><Relationship Id="rId15" Type="http://schemas.openxmlformats.org/officeDocument/2006/relationships/hyperlink" Target="https://docs.camunda.io/docs/apis-tools/camunda-spring-boot-starter/configur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