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left"/>
      </w:pPr>
      <w:r>
        <w:rPr>
          <w:rFonts w:ascii="Calibri" w:cs="Calibri" w:eastAsia="Calibri" w:hAnsi="Calibri"/>
          <w:b/>
          <w:bCs/>
          <w:color w:val="B8862B"/>
          <w:sz w:val="22"/>
          <w:szCs w:val="22"/>
        </w:rPr>
        <w:t xml:space="preserve">LUMINA INTELLIGENCE PLATFORM</w:t>
      </w:r>
    </w:p>
    <w:p>
      <w:pPr>
        <w:spacing w:after="100"/>
      </w:pPr>
      <w:r>
        <w:rPr>
          <w:rFonts w:ascii="Calibri" w:cs="Calibri" w:eastAsia="Calibri" w:hAnsi="Calibri"/>
          <w:b/>
          <w:bCs/>
          <w:color w:val="1F2A44"/>
          <w:sz w:val="48"/>
          <w:szCs w:val="48"/>
        </w:rPr>
        <w:t xml:space="preserve">Amcor Reskin — Content &amp; Copy Specification</w:t>
      </w:r>
    </w:p>
    <w:p>
      <w:pPr>
        <w:spacing w:after="600"/>
      </w:pPr>
      <w:r>
        <w:rPr>
          <w:rFonts w:ascii="Calibri" w:cs="Calibri" w:eastAsia="Calibri" w:hAnsi="Calibri"/>
          <w:i/>
          <w:iCs/>
          <w:color w:val="5B6472"/>
          <w:sz w:val="24"/>
          <w:szCs w:val="24"/>
        </w:rPr>
        <w:t xml:space="preserve">Recontextualizing a consumer-automotive intelligence mosaic for a global B2B packaging business</w:t>
      </w:r>
    </w:p>
    <w:p>
      <w:pPr>
        <w:pBdr>
          <w:bottom w:val="single" w:color="D8DCE3" w:sz="6" w:space="1"/>
        </w:pBdr>
        <w:spacing w:after="200"/>
      </w:pPr>
      <w:r>
        <w:rPr>
          <w:sz w:val="2"/>
          <w:szCs w:val="2"/>
        </w:rPr>
        <w:t xml:space="preserve"/>
      </w:r>
    </w:p>
    <w:p>
      <w:pPr>
        <w:spacing w:after="80"/>
      </w:pPr>
      <w:r>
        <w:rPr>
          <w:rFonts w:ascii="Calibri" w:cs="Calibri" w:eastAsia="Calibri" w:hAnsi="Calibri"/>
          <w:b/>
          <w:bCs/>
          <w:color w:val="1F2A44"/>
          <w:sz w:val="21"/>
          <w:szCs w:val="21"/>
        </w:rPr>
        <w:t xml:space="preserve">Source application: </w:t>
      </w:r>
      <w:r>
        <w:rPr>
          <w:rFonts w:ascii="Calibri" w:cs="Calibri" w:eastAsia="Calibri" w:hAnsi="Calibri"/>
          <w:color w:val="2B2F36"/>
          <w:sz w:val="21"/>
          <w:szCs w:val="21"/>
        </w:rPr>
        <w:t xml:space="preserve">v0-jlr-marketing-analytics ("Lumina Intelligence Platform", JLR concept demo)</w:t>
      </w:r>
    </w:p>
    <w:p>
      <w:pPr>
        <w:spacing w:after="80"/>
      </w:pPr>
      <w:r>
        <w:rPr>
          <w:rFonts w:ascii="Calibri" w:cs="Calibri" w:eastAsia="Calibri" w:hAnsi="Calibri"/>
          <w:b/>
          <w:bCs/>
          <w:color w:val="1F2A44"/>
          <w:sz w:val="21"/>
          <w:szCs w:val="21"/>
        </w:rPr>
        <w:t xml:space="preserve">Target context: </w:t>
      </w:r>
      <w:r>
        <w:rPr>
          <w:rFonts w:ascii="Calibri" w:cs="Calibri" w:eastAsia="Calibri" w:hAnsi="Calibri"/>
          <w:color w:val="2B2F36"/>
          <w:sz w:val="21"/>
          <w:szCs w:val="21"/>
        </w:rPr>
        <w:t xml:space="preserve">Amcor plc — global packaging solutions, B2B</w:t>
      </w:r>
    </w:p>
    <w:p>
      <w:pPr>
        <w:spacing w:after="80"/>
      </w:pPr>
      <w:r>
        <w:rPr>
          <w:rFonts w:ascii="Calibri" w:cs="Calibri" w:eastAsia="Calibri" w:hAnsi="Calibri"/>
          <w:b/>
          <w:bCs/>
          <w:color w:val="1F2A44"/>
          <w:sz w:val="21"/>
          <w:szCs w:val="21"/>
        </w:rPr>
        <w:t xml:space="preserve">Document purpose: </w:t>
      </w:r>
      <w:r>
        <w:rPr>
          <w:rFonts w:ascii="Calibri" w:cs="Calibri" w:eastAsia="Calibri" w:hAnsi="Calibri"/>
          <w:color w:val="2B2F36"/>
          <w:sz w:val="21"/>
          <w:szCs w:val="21"/>
        </w:rPr>
        <w:t xml:space="preserve">Hand-off spec for design/dev: same navigation, layout and interaction model; renamed models, metrics, copy, and data sources</w:t>
      </w:r>
    </w:p>
    <w:p>
      <w:pPr>
        <w:spacing w:after="80"/>
      </w:pPr>
      <w:r>
        <w:rPr>
          <w:rFonts w:ascii="Calibri" w:cs="Calibri" w:eastAsia="Calibri" w:hAnsi="Calibri"/>
          <w:b/>
          <w:bCs/>
          <w:color w:val="1F2A44"/>
          <w:sz w:val="21"/>
          <w:szCs w:val="21"/>
        </w:rPr>
        <w:t xml:space="preserve">Prepared: </w:t>
      </w:r>
      <w:r>
        <w:rPr>
          <w:rFonts w:ascii="Calibri" w:cs="Calibri" w:eastAsia="Calibri" w:hAnsi="Calibri"/>
          <w:color w:val="2B2F36"/>
          <w:sz w:val="21"/>
          <w:szCs w:val="21"/>
        </w:rPr>
        <w:t xml:space="preserve">August 2026</w:t>
      </w:r>
    </w:p>
    <w:p>
      <w:r>
        <w:br w:type="page"/>
      </w:r>
    </w:p>
    <w:p>
      <w:pPr>
        <w:pStyle w:val="Heading1"/>
        <w:spacing w:after="200" w:before="400"/>
      </w:pPr>
      <w:r>
        <w:rPr>
          <w:rFonts w:ascii="Calibri" w:cs="Calibri" w:eastAsia="Calibri" w:hAnsi="Calibri"/>
          <w:b/>
          <w:bCs/>
          <w:color w:val="1F2A44"/>
          <w:sz w:val="32"/>
          <w:szCs w:val="32"/>
        </w:rPr>
        <w:t xml:space="preserve">0. Working Assumptions</w:t>
      </w:r>
    </w:p>
    <w:p>
      <w:pPr>
        <w:spacing w:after="160"/>
      </w:pPr>
      <w:r>
        <w:rPr>
          <w:rFonts w:ascii="Calibri" w:cs="Calibri" w:eastAsia="Calibri" w:hAnsi="Calibri"/>
          <w:b w:val="false"/>
          <w:bCs w:val="false"/>
          <w:i w:val="false"/>
          <w:iCs w:val="false"/>
          <w:color w:val="2B2F36"/>
          <w:sz w:val="21"/>
          <w:szCs w:val="21"/>
        </w:rPr>
        <w:t xml:space="preserve">This document keeps the exact shell of the source application — the left-hand navigation, the top filter bar, the card-based mosaic layout, and the agentic Data Product Factory workflow — and re-contextualizes every label, metric, and data source for Amcor's actual business. Two assumptions were made explicitly rather than left implicit:</w:t>
      </w:r>
    </w:p>
    <w:p>
      <w:pPr>
        <w:spacing w:after="80"/>
      </w:pPr>
      <w:r>
        <w:rPr>
          <w:rFonts w:ascii="Calibri" w:cs="Calibri" w:eastAsia="Calibri" w:hAnsi="Calibri"/>
          <w:b/>
          <w:bCs/>
          <w:color w:val="1F2A44"/>
          <w:sz w:val="21"/>
          <w:szCs w:val="21"/>
        </w:rPr>
        <w:t xml:space="preserve">Go-to-market model: </w:t>
      </w:r>
      <w:r>
        <w:rPr>
          <w:rFonts w:ascii="Calibri" w:cs="Calibri" w:eastAsia="Calibri" w:hAnsi="Calibri"/>
          <w:color w:val="2B2F36"/>
          <w:sz w:val="21"/>
          <w:szCs w:val="21"/>
        </w:rPr>
        <w:t xml:space="preserve">Amcor sells primarily direct-to-enterprise — global and regional key accounts across food, beverage, healthcare/pharma, beauty and personal care, and home/pet care — with account teams managing named strategic customers rather than a retailer/dealer network. “Retailer Intel” is therefore renamed “Key Account Intel.” Where Amcor does route through regional distributors or converters, that view can be added as a filter within the same panel rather than a separate module.</w:t>
      </w:r>
    </w:p>
    <w:p>
      <w:pPr>
        <w:spacing w:after="80"/>
      </w:pPr>
      <w:r>
        <w:rPr>
          <w:rFonts w:ascii="Calibri" w:cs="Calibri" w:eastAsia="Calibri" w:hAnsi="Calibri"/>
          <w:b/>
          <w:bCs/>
          <w:color w:val="1F2A44"/>
          <w:sz w:val="21"/>
          <w:szCs w:val="21"/>
        </w:rPr>
        <w:t xml:space="preserve">Illustrative data: </w:t>
      </w:r>
      <w:r>
        <w:rPr>
          <w:rFonts w:ascii="Calibri" w:cs="Calibri" w:eastAsia="Calibri" w:hAnsi="Calibri"/>
          <w:color w:val="2B2F36"/>
          <w:sz w:val="21"/>
          <w:szCs w:val="21"/>
        </w:rPr>
        <w:t xml:space="preserve">All figures on the mosaic cards and in the data catalog are placeholder analytics numbers in the same style as the original demo (mock “last run” timestamps, directional trends). Real figures — revenue scale, employee count, sustainability targets — are used only where noted as grounding context below, sourced from Amcor's public materials.</w:t>
      </w:r>
    </w:p>
    <w:p>
      <w:pPr>
        <w:pStyle w:val="Heading3"/>
        <w:spacing w:after="120" w:before="240"/>
      </w:pPr>
      <w:r>
        <w:rPr>
          <w:rFonts w:ascii="Calibri" w:cs="Calibri" w:eastAsia="Calibri" w:hAnsi="Calibri"/>
          <w:b/>
          <w:bCs/>
          <w:color w:val="B8862B"/>
          <w:sz w:val="22"/>
          <w:szCs w:val="22"/>
        </w:rPr>
        <w:t xml:space="preserve">Grounding facts used (public sources)</w:t>
      </w:r>
    </w:p>
    <w:p>
      <w:pPr>
        <w:spacing w:after="160"/>
      </w:pPr>
      <w:r>
        <w:rPr>
          <w:rFonts w:ascii="Calibri" w:cs="Calibri" w:eastAsia="Calibri" w:hAnsi="Calibri"/>
          <w:b w:val="false"/>
          <w:bCs w:val="false"/>
          <w:i w:val="false"/>
          <w:iCs w:val="false"/>
          <w:color w:val="2B2F36"/>
          <w:sz w:val="21"/>
          <w:szCs w:val="21"/>
        </w:rPr>
        <w:t xml:space="preserve">Amcor: ~US$23B in annualized sales, presence in 40+ countries, 75,000+ employees, 400+ locations; two reporting segments (Flexibles and Rigid Packaging); end markets include food &amp; beverage, healthcare/pharma, beauty &amp; personal care, home care, pet care, agriculture, and technical applications; publishes an annual Sustainability Report and has pursued a pledge to make packaging recyclable, reusable, or compostable, alongside recycled-content and decarbonization targets, via product lines such as AmFiber™ and AmPrima®.</w:t>
      </w:r>
    </w:p>
    <w:p>
      <w:pPr>
        <w:pStyle w:val="Heading1"/>
        <w:spacing w:after="200" w:before="400"/>
      </w:pPr>
      <w:r>
        <w:rPr>
          <w:rFonts w:ascii="Calibri" w:cs="Calibri" w:eastAsia="Calibri" w:hAnsi="Calibri"/>
          <w:b/>
          <w:bCs/>
          <w:color w:val="1F2A44"/>
          <w:sz w:val="32"/>
          <w:szCs w:val="32"/>
        </w:rPr>
        <w:t xml:space="preserve">1. Positioning &amp; Brand Shell</w:t>
      </w:r>
    </w:p>
    <w:p>
      <w:pPr>
        <w:spacing w:after="160"/>
      </w:pPr>
      <w:r>
        <w:rPr>
          <w:rFonts w:ascii="Calibri" w:cs="Calibri" w:eastAsia="Calibri" w:hAnsi="Calibri"/>
          <w:b w:val="false"/>
          <w:bCs w:val="false"/>
          <w:i w:val="false"/>
          <w:iCs w:val="false"/>
          <w:color w:val="2B2F36"/>
          <w:sz w:val="21"/>
          <w:szCs w:val="21"/>
        </w:rPr>
        <w:t xml:space="preserve">The platform name, left-rail structure, and overall visual chrome do not need to change — “Lumina Intelligence Platform” reads as a neutral, vendor-style analytics product name and works equally well for an industrial B2B brand. Only the workspace switcher label and the account-holder identity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Element</w:t>
            </w:r>
          </w:p>
        </w:tc>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version</w:t>
            </w:r>
          </w:p>
        </w:tc>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version</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Platform name</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Lumina Intelligence Platform</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Lumina Intelligence Platform (unchanged)</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Workspace switcher</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JLR Global Analytics</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Amcor Global Analytics</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User role (footer)</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John Doe — Group Product Owner</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e.g. “J. Alvarez — Global Commercial Analytics Lead”</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Region filter chips</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Global / N. America / Europe / …</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Global / North America / Europe / Asia Pacific / Latin America (matches Amcor's actual regional reporting structure)</w:t>
            </w:r>
          </w:p>
        </w:tc>
      </w:tr>
    </w:tbl>
    <w:p>
      <w:pPr>
        <w:pStyle w:val="Heading1"/>
        <w:spacing w:after="200" w:before="400"/>
      </w:pPr>
      <w:r>
        <w:rPr>
          <w:rFonts w:ascii="Calibri" w:cs="Calibri" w:eastAsia="Calibri" w:hAnsi="Calibri"/>
          <w:b/>
          <w:bCs/>
          <w:color w:val="1F2A44"/>
          <w:sz w:val="32"/>
          <w:szCs w:val="32"/>
        </w:rPr>
        <w:t xml:space="preserve">2. Navigation Structure</w:t>
      </w:r>
    </w:p>
    <w:p>
      <w:pPr>
        <w:spacing w:after="160"/>
      </w:pPr>
      <w:r>
        <w:rPr>
          <w:rFonts w:ascii="Calibri" w:cs="Calibri" w:eastAsia="Calibri" w:hAnsi="Calibri"/>
          <w:b w:val="false"/>
          <w:bCs w:val="false"/>
          <w:i w:val="false"/>
          <w:iCs w:val="false"/>
          <w:color w:val="2B2F36"/>
          <w:sz w:val="21"/>
          <w:szCs w:val="21"/>
        </w:rPr>
        <w:t xml:space="preserve">Six left-rail items carry over one-for-one. Only two need a label change; the rest keep their name because the underlying concept (a product catalog, performance reporting, model tuning) is domain-agnostic.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2400"/>
      </w:tblGrid>
      <w:tr>
        <w:trPr>
          <w:tblHeader/>
        </w:trPr>
        <w:tc>
          <w:tcPr>
            <w:tcW w:type="dxa" w:w="2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label</w:t>
            </w:r>
          </w:p>
        </w:tc>
        <w:tc>
          <w:tcPr>
            <w:tcW w:type="dxa" w:w="24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sublabel</w:t>
            </w:r>
          </w:p>
        </w:tc>
        <w:tc>
          <w:tcPr>
            <w:tcW w:type="dxa" w:w="2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label</w:t>
            </w:r>
          </w:p>
        </w:tc>
        <w:tc>
          <w:tcPr>
            <w:tcW w:type="dxa" w:w="24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sublabel</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Model Mosaic</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 Intelligence Models</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Model Mosaic</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 Intelligence Models (unchanged label)</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Campaign Command</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Strategic Campaigns</w:t>
            </w:r>
          </w:p>
        </w:tc>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Account Campaign Command</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Strategic ABM Plays</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Retailer Intel</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Dealer Drill-Down</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Key Account Intel</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Account Drill-Down</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Data Products</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Agentic Factory</w:t>
            </w:r>
          </w:p>
        </w:tc>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Data Products</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Agentic Factory (unchanged)</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Performance Reports</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t>
            </w:r>
          </w:p>
        </w:tc>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Performance Reports</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 (unchanged)</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Model Configuration</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t>
            </w:r>
          </w:p>
        </w:tc>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Model Configuration</w:t>
            </w:r>
          </w:p>
        </w:tc>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 (unchanged)</w:t>
            </w:r>
          </w:p>
        </w:tc>
      </w:tr>
    </w:tbl>
    <w:p>
      <w:pPr>
        <w:pStyle w:val="Heading1"/>
        <w:spacing w:after="200" w:before="400"/>
      </w:pPr>
      <w:r>
        <w:rPr>
          <w:rFonts w:ascii="Calibri" w:cs="Calibri" w:eastAsia="Calibri" w:hAnsi="Calibri"/>
          <w:b/>
          <w:bCs/>
          <w:color w:val="1F2A44"/>
          <w:sz w:val="32"/>
          <w:szCs w:val="32"/>
        </w:rPr>
        <w:t xml:space="preserve">3. Lifecycle Framework</w:t>
      </w:r>
    </w:p>
    <w:p>
      <w:pPr>
        <w:spacing w:after="160"/>
      </w:pPr>
      <w:r>
        <w:rPr>
          <w:rFonts w:ascii="Calibri" w:cs="Calibri" w:eastAsia="Calibri" w:hAnsi="Calibri"/>
          <w:b w:val="false"/>
          <w:bCs w:val="false"/>
          <w:i w:val="false"/>
          <w:iCs w:val="false"/>
          <w:color w:val="2B2F36"/>
          <w:sz w:val="21"/>
          <w:szCs w:val="21"/>
        </w:rPr>
        <w:t xml:space="preserve">The JLR mosaic is organized around a consumer ownership cycle (Acquire → Renew → Own → Maintain). Amcor's B2B relationship runs on contracts, volume commitments, and account growth rather than individual ownership, so the four stage tags become: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rPr>
          <w:tblHeader/>
        </w:trPr>
        <w:tc>
          <w:tcPr>
            <w:tcW w:type="dxa" w:w="18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 tag</w:t>
            </w:r>
          </w:p>
        </w:tc>
        <w:tc>
          <w:tcPr>
            <w:tcW w:type="dxa" w:w="28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meaning</w:t>
            </w:r>
          </w:p>
        </w:tc>
        <w:tc>
          <w:tcPr>
            <w:tcW w:type="dxa" w:w="4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meaning</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ACQUIRE</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Win a new vehicle buyer</w:t>
            </w:r>
          </w:p>
        </w:tc>
        <w:tc>
          <w:tcPr>
            <w:tcW w:type="dxa" w:w="4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Win a new account / new supply contract</w:t>
            </w:r>
          </w:p>
        </w:tc>
      </w:tr>
      <w:tr>
        <w:tc>
          <w:tcPr>
            <w:tcW w:type="dxa" w:w="18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EXPAND</w:t>
            </w:r>
          </w:p>
        </w:tc>
        <w:tc>
          <w:tcPr>
            <w:tcW w:type="dxa" w:w="28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(new stage — replaces RENEW's upsell half)</w:t>
            </w:r>
          </w:p>
        </w:tc>
        <w:tc>
          <w:tcPr>
            <w:tcW w:type="dxa" w:w="4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Grow wallet share and format/SKU mix within an existing account</w:t>
            </w:r>
          </w:p>
        </w:tc>
      </w:tr>
      <w:tr>
        <w:tc>
          <w:tcPr>
            <w:tcW w:type="dxa" w:w="18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RETAIN</w:t>
            </w:r>
          </w:p>
        </w:tc>
        <w:tc>
          <w:tcPr>
            <w:tcW w:type="dxa" w:w="28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(new stage — replaces RENEW's renewal half + OWN)</w:t>
            </w:r>
          </w:p>
        </w:tc>
        <w:tc>
          <w:tcPr>
            <w:tcW w:type="dxa" w:w="4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Protect contract renewal and account relationship health</w:t>
            </w:r>
          </w:p>
        </w:tc>
      </w:tr>
      <w:tr>
        <w:tc>
          <w:tcPr>
            <w:tcW w:type="dxa" w:w="18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FULFILL</w:t>
            </w:r>
          </w:p>
        </w:tc>
        <w:tc>
          <w:tcPr>
            <w:tcW w:type="dxa" w:w="28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MAINTAIN — keep the vehicle serviced</w:t>
            </w:r>
          </w:p>
        </w:tc>
        <w:tc>
          <w:tcPr>
            <w:tcW w:type="dxa" w:w="4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Deliver reliably — on-time-in-full production and quality</w:t>
            </w:r>
          </w:p>
        </w:tc>
      </w:tr>
    </w:tbl>
    <w:p>
      <w:pPr>
        <w:pStyle w:val="Heading1"/>
        <w:spacing w:after="200" w:before="400"/>
      </w:pPr>
      <w:r>
        <w:rPr>
          <w:rFonts w:ascii="Calibri" w:cs="Calibri" w:eastAsia="Calibri" w:hAnsi="Calibri"/>
          <w:b/>
          <w:bCs/>
          <w:color w:val="1F2A44"/>
          <w:sz w:val="32"/>
          <w:szCs w:val="32"/>
        </w:rPr>
        <w:t xml:space="preserve">4. Top KPI Strip</w:t>
      </w:r>
    </w:p>
    <w:p>
      <w:pPr>
        <w:spacing w:after="160"/>
      </w:pPr>
      <w:r>
        <w:rPr>
          <w:rFonts w:ascii="Calibri" w:cs="Calibri" w:eastAsia="Calibri" w:hAnsi="Calibri"/>
          <w:b w:val="false"/>
          <w:bCs w:val="false"/>
          <w:i w:val="false"/>
          <w:iCs w:val="false"/>
          <w:color w:val="2B2F36"/>
          <w:sz w:val="21"/>
          <w:szCs w:val="21"/>
        </w:rPr>
        <w:t xml:space="preserve">Four summary tiles sit above the mosaic. Same four categories, B2B-scaled numbers (illustrative).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Tile (JLR → Amcor label)</w:t>
            </w:r>
          </w:p>
        </w:tc>
        <w:tc>
          <w:tcPr>
            <w:tcW w:type="dxa" w:w="30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value</w:t>
            </w:r>
          </w:p>
        </w:tc>
        <w:tc>
          <w:tcPr>
            <w:tcW w:type="dxa" w:w="30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value</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Qualified Leads → QUALIFIED OPPORTUNITIES</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51,780 / Lead Activation</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860 / Opportunity Qualification</w:t>
            </w:r>
          </w:p>
        </w:tc>
      </w:tr>
      <w:tr>
        <w:tc>
          <w:tcPr>
            <w:tcW w:type="dxa" w:w="3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Positive Equity Vehicles → EXPANSION-READY ACCOUNTS</w:t>
            </w:r>
          </w:p>
        </w:tc>
        <w:tc>
          <w:tcPr>
            <w:tcW w:type="dxa" w:w="30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13,540 / Buyback Model</w:t>
            </w:r>
          </w:p>
        </w:tc>
        <w:tc>
          <w:tcPr>
            <w:tcW w:type="dxa" w:w="30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640 / Cross-Format Model</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Revenue Opportunity → REVENUE OPPORTUNITY</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$92.6M / Lifecycle Expansion + Service Retention</w:t>
            </w:r>
          </w:p>
        </w:tc>
        <w:tc>
          <w:tcPr>
            <w:tcW w:type="dxa" w:w="30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$68.4M / Portfolio Upgrade + Fulfillment Reliability</w:t>
            </w:r>
          </w:p>
        </w:tc>
      </w:tr>
      <w:tr>
        <w:tc>
          <w:tcPr>
            <w:tcW w:type="dxa" w:w="3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At-Risk Orders → AT-RISK ACCOUNTS</w:t>
            </w:r>
          </w:p>
        </w:tc>
        <w:tc>
          <w:tcPr>
            <w:tcW w:type="dxa" w:w="30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1,420 / Cancellation Model · -18.4% MoM</w:t>
            </w:r>
          </w:p>
        </w:tc>
        <w:tc>
          <w:tcPr>
            <w:tcW w:type="dxa" w:w="30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340 / Churn Model · -18.4% MoM</w:t>
            </w:r>
          </w:p>
        </w:tc>
      </w:tr>
    </w:tbl>
    <w:p>
      <w:pPr>
        <w:pStyle w:val="Heading1"/>
        <w:spacing w:after="200" w:before="400"/>
      </w:pPr>
      <w:r>
        <w:rPr>
          <w:rFonts w:ascii="Calibri" w:cs="Calibri" w:eastAsia="Calibri" w:hAnsi="Calibri"/>
          <w:b/>
          <w:bCs/>
          <w:color w:val="1F2A44"/>
          <w:sz w:val="32"/>
          <w:szCs w:val="32"/>
        </w:rPr>
        <w:t xml:space="preserve">5. Intelligence Model Mosaic — 8 Model Cards</w:t>
      </w:r>
    </w:p>
    <w:p>
      <w:pPr>
        <w:spacing w:after="160"/>
      </w:pPr>
      <w:r>
        <w:rPr>
          <w:rFonts w:ascii="Calibri" w:cs="Calibri" w:eastAsia="Calibri" w:hAnsi="Calibri"/>
          <w:b w:val="false"/>
          <w:bCs w:val="false"/>
          <w:i w:val="false"/>
          <w:iCs w:val="false"/>
          <w:color w:val="2B2F36"/>
          <w:sz w:val="21"/>
          <w:szCs w:val="21"/>
        </w:rPr>
        <w:t xml:space="preserve">Card anatomy is unchanged: stage tag, model name, confidence badge, headline metric with trend, one-sentence plain-language insight, source-system chips, and a last-run timestamp.</w:t>
      </w:r>
    </w:p>
    <w:p>
      <w:pPr>
        <w:spacing w:after="40" w:before="260"/>
      </w:pPr>
      <w:r>
        <w:rPr>
          <w:rFonts w:ascii="Calibri" w:cs="Calibri" w:eastAsia="Calibri" w:hAnsi="Calibri"/>
          <w:b/>
          <w:bCs/>
          <w:color w:val="B8862B"/>
          <w:sz w:val="22"/>
          <w:szCs w:val="22"/>
        </w:rPr>
        <w:t xml:space="preserve">1.  </w:t>
      </w:r>
      <w:r>
        <w:rPr>
          <w:rFonts w:ascii="Calibri" w:cs="Calibri" w:eastAsia="Calibri" w:hAnsi="Calibri"/>
          <w:b/>
          <w:bCs/>
          <w:color w:val="FFFFFF"/>
          <w:sz w:val="18"/>
          <w:szCs w:val="18"/>
          <w:shd w:fill="1F2A44" w:val="clear"/>
        </w:rPr>
        <w:t xml:space="preserve">[ACQUIRE]  </w:t>
      </w:r>
      <w:r>
        <w:rPr>
          <w:rFonts w:ascii="Calibri" w:cs="Calibri" w:eastAsia="Calibri" w:hAnsi="Calibri"/>
          <w:b/>
          <w:bCs/>
          <w:color w:val="1F2A44"/>
          <w:sz w:val="24"/>
          <w:szCs w:val="24"/>
        </w:rPr>
        <w:t xml:space="preserve">  Account Intent</w:t>
      </w:r>
      <w:r>
        <w:rPr>
          <w:rFonts w:ascii="Calibri" w:cs="Calibri" w:eastAsia="Calibri" w:hAnsi="Calibri"/>
          <w:i/>
          <w:iCs/>
          <w:color w:val="5B6472"/>
          <w:sz w:val="19"/>
          <w:szCs w:val="19"/>
        </w:rPr>
        <w:t xml:space="preserve">   (88%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Customer Intent (High-Intent Prospects Detected)</w:t>
      </w:r>
    </w:p>
    <w:p>
      <w:pPr>
        <w:spacing w:after="60"/>
      </w:pPr>
      <w:r>
        <w:rPr>
          <w:rFonts w:ascii="Calibri" w:cs="Calibri" w:eastAsia="Calibri" w:hAnsi="Calibri"/>
          <w:b/>
          <w:bCs/>
          <w:color w:val="1F2A44"/>
          <w:sz w:val="21"/>
          <w:szCs w:val="21"/>
        </w:rPr>
        <w:t xml:space="preserve">High-Intent Prospect Accounts Detected: </w:t>
      </w:r>
      <w:r>
        <w:rPr>
          <w:rFonts w:ascii="Calibri" w:cs="Calibri" w:eastAsia="Calibri" w:hAnsi="Calibri"/>
          <w:b/>
          <w:bCs/>
          <w:color w:val="1F2A44"/>
          <w:sz w:val="26"/>
          <w:szCs w:val="26"/>
        </w:rPr>
        <w:t xml:space="preserve">3,240</w:t>
      </w:r>
      <w:r>
        <w:rPr>
          <w:rFonts w:ascii="Calibri" w:cs="Calibri" w:eastAsia="Calibri" w:hAnsi="Calibri"/>
          <w:color w:val="3F7D45"/>
          <w:sz w:val="19"/>
          <w:szCs w:val="19"/>
        </w:rPr>
        <w:t xml:space="preserve">   +12.6% vs prev period</w:t>
      </w:r>
    </w:p>
    <w:p>
      <w:pPr>
        <w:spacing w:after="160"/>
      </w:pPr>
      <w:r>
        <w:rPr>
          <w:rFonts w:ascii="Calibri" w:cs="Calibri" w:eastAsia="Calibri" w:hAnsi="Calibri"/>
          <w:b w:val="false"/>
          <w:bCs w:val="false"/>
          <w:i w:val="false"/>
          <w:iCs w:val="false"/>
          <w:color w:val="2B2F36"/>
          <w:sz w:val="21"/>
          <w:szCs w:val="21"/>
        </w:rPr>
        <w:t xml:space="preserve">3,240 high-intent prospect accounts detected globally; RFP-portal activity, sustainability spec-sheet downloads, and sample-request volume driving the strongest identification uplift in three years.</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Salesforce, SAP, LinkedIn Sales Navigator, +2</w:t>
      </w:r>
    </w:p>
    <w:p>
      <w:pPr>
        <w:spacing w:after="220"/>
      </w:pPr>
      <w:r>
        <w:rPr>
          <w:rFonts w:ascii="Calibri" w:cs="Calibri" w:eastAsia="Calibri" w:hAnsi="Calibri"/>
          <w:i/>
          <w:iCs/>
          <w:color w:val="5B6472"/>
          <w:sz w:val="17"/>
          <w:szCs w:val="17"/>
        </w:rPr>
        <w:t xml:space="preserve">Last run: 2026-08-23 23:57</w:t>
      </w:r>
    </w:p>
    <w:p>
      <w:pPr>
        <w:spacing w:after="40" w:before="260"/>
      </w:pPr>
      <w:r>
        <w:rPr>
          <w:rFonts w:ascii="Calibri" w:cs="Calibri" w:eastAsia="Calibri" w:hAnsi="Calibri"/>
          <w:b/>
          <w:bCs/>
          <w:color w:val="B8862B"/>
          <w:sz w:val="22"/>
          <w:szCs w:val="22"/>
        </w:rPr>
        <w:t xml:space="preserve">2.  </w:t>
      </w:r>
      <w:r>
        <w:rPr>
          <w:rFonts w:ascii="Calibri" w:cs="Calibri" w:eastAsia="Calibri" w:hAnsi="Calibri"/>
          <w:b/>
          <w:bCs/>
          <w:color w:val="FFFFFF"/>
          <w:sz w:val="18"/>
          <w:szCs w:val="18"/>
          <w:shd w:fill="1F2A44" w:val="clear"/>
        </w:rPr>
        <w:t xml:space="preserve">[ACQUIRE]  </w:t>
      </w:r>
      <w:r>
        <w:rPr>
          <w:rFonts w:ascii="Calibri" w:cs="Calibri" w:eastAsia="Calibri" w:hAnsi="Calibri"/>
          <w:b/>
          <w:bCs/>
          <w:color w:val="1F2A44"/>
          <w:sz w:val="24"/>
          <w:szCs w:val="24"/>
        </w:rPr>
        <w:t xml:space="preserve">  Opportunity Qualification</w:t>
      </w:r>
      <w:r>
        <w:rPr>
          <w:rFonts w:ascii="Calibri" w:cs="Calibri" w:eastAsia="Calibri" w:hAnsi="Calibri"/>
          <w:i/>
          <w:iCs/>
          <w:color w:val="5B6472"/>
          <w:sz w:val="19"/>
          <w:szCs w:val="19"/>
        </w:rPr>
        <w:t xml:space="preserve">   (91%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Lead Activation (Qualified Leads Routed to Retailers)</w:t>
      </w:r>
    </w:p>
    <w:p>
      <w:pPr>
        <w:spacing w:after="60"/>
      </w:pPr>
      <w:r>
        <w:rPr>
          <w:rFonts w:ascii="Calibri" w:cs="Calibri" w:eastAsia="Calibri" w:hAnsi="Calibri"/>
          <w:b/>
          <w:bCs/>
          <w:color w:val="1F2A44"/>
          <w:sz w:val="21"/>
          <w:szCs w:val="21"/>
        </w:rPr>
        <w:t xml:space="preserve">Qualified Opportunities Routed to Account Teams: </w:t>
      </w:r>
      <w:r>
        <w:rPr>
          <w:rFonts w:ascii="Calibri" w:cs="Calibri" w:eastAsia="Calibri" w:hAnsi="Calibri"/>
          <w:b/>
          <w:bCs/>
          <w:color w:val="1F2A44"/>
          <w:sz w:val="26"/>
          <w:szCs w:val="26"/>
        </w:rPr>
        <w:t xml:space="preserve">860</w:t>
      </w:r>
      <w:r>
        <w:rPr>
          <w:rFonts w:ascii="Calibri" w:cs="Calibri" w:eastAsia="Calibri" w:hAnsi="Calibri"/>
          <w:color w:val="3F7D45"/>
          <w:sz w:val="19"/>
          <w:szCs w:val="19"/>
        </w:rPr>
        <w:t xml:space="preserve">   +9.4% vs prev period</w:t>
      </w:r>
    </w:p>
    <w:p>
      <w:pPr>
        <w:spacing w:after="160"/>
      </w:pPr>
      <w:r>
        <w:rPr>
          <w:rFonts w:ascii="Calibri" w:cs="Calibri" w:eastAsia="Calibri" w:hAnsi="Calibri"/>
          <w:b w:val="false"/>
          <w:bCs w:val="false"/>
          <w:i w:val="false"/>
          <w:iCs w:val="false"/>
          <w:color w:val="2B2F36"/>
          <w:sz w:val="21"/>
          <w:szCs w:val="21"/>
        </w:rPr>
        <w:t xml:space="preserve">860 qualified opportunities routed to regional account teams globally; first-contact within 48 hrs correlates to 31% higher win rate vs. baseline.</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Salesforce, +2</w:t>
      </w:r>
    </w:p>
    <w:p>
      <w:pPr>
        <w:spacing w:after="220"/>
      </w:pPr>
      <w:r>
        <w:rPr>
          <w:rFonts w:ascii="Calibri" w:cs="Calibri" w:eastAsia="Calibri" w:hAnsi="Calibri"/>
          <w:i/>
          <w:iCs/>
          <w:color w:val="5B6472"/>
          <w:sz w:val="17"/>
          <w:szCs w:val="17"/>
        </w:rPr>
        <w:t xml:space="preserve">Last run: 2026-08-24 00:57</w:t>
      </w:r>
    </w:p>
    <w:p>
      <w:pPr>
        <w:spacing w:after="40" w:before="260"/>
      </w:pPr>
      <w:r>
        <w:rPr>
          <w:rFonts w:ascii="Calibri" w:cs="Calibri" w:eastAsia="Calibri" w:hAnsi="Calibri"/>
          <w:b/>
          <w:bCs/>
          <w:color w:val="B8862B"/>
          <w:sz w:val="22"/>
          <w:szCs w:val="22"/>
        </w:rPr>
        <w:t xml:space="preserve">3.  </w:t>
      </w:r>
      <w:r>
        <w:rPr>
          <w:rFonts w:ascii="Calibri" w:cs="Calibri" w:eastAsia="Calibri" w:hAnsi="Calibri"/>
          <w:b/>
          <w:bCs/>
          <w:color w:val="FFFFFF"/>
          <w:sz w:val="18"/>
          <w:szCs w:val="18"/>
          <w:shd w:fill="1F2A44" w:val="clear"/>
        </w:rPr>
        <w:t xml:space="preserve">[ACQUIRE / RETAIN]  </w:t>
      </w:r>
      <w:r>
        <w:rPr>
          <w:rFonts w:ascii="Calibri" w:cs="Calibri" w:eastAsia="Calibri" w:hAnsi="Calibri"/>
          <w:b/>
          <w:bCs/>
          <w:color w:val="1F2A44"/>
          <w:sz w:val="24"/>
          <w:szCs w:val="24"/>
        </w:rPr>
        <w:t xml:space="preserve">  Order &amp; Churn Risk</w:t>
      </w:r>
      <w:r>
        <w:rPr>
          <w:rFonts w:ascii="Calibri" w:cs="Calibri" w:eastAsia="Calibri" w:hAnsi="Calibri"/>
          <w:i/>
          <w:iCs/>
          <w:color w:val="5B6472"/>
          <w:sz w:val="19"/>
          <w:szCs w:val="19"/>
        </w:rPr>
        <w:t xml:space="preserve">   (85%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Conversion Protection (Orders at Risk)</w:t>
      </w:r>
    </w:p>
    <w:p>
      <w:pPr>
        <w:spacing w:after="60"/>
      </w:pPr>
      <w:r>
        <w:rPr>
          <w:rFonts w:ascii="Calibri" w:cs="Calibri" w:eastAsia="Calibri" w:hAnsi="Calibri"/>
          <w:b/>
          <w:bCs/>
          <w:color w:val="1F2A44"/>
          <w:sz w:val="21"/>
          <w:szCs w:val="21"/>
        </w:rPr>
        <w:t xml:space="preserve">Accounts at Risk: </w:t>
      </w:r>
      <w:r>
        <w:rPr>
          <w:rFonts w:ascii="Calibri" w:cs="Calibri" w:eastAsia="Calibri" w:hAnsi="Calibri"/>
          <w:b/>
          <w:bCs/>
          <w:color w:val="1F2A44"/>
          <w:sz w:val="26"/>
          <w:szCs w:val="26"/>
        </w:rPr>
        <w:t xml:space="preserve">340</w:t>
      </w:r>
      <w:r>
        <w:rPr>
          <w:rFonts w:ascii="Calibri" w:cs="Calibri" w:eastAsia="Calibri" w:hAnsi="Calibri"/>
          <w:color w:val="3F7D45"/>
          <w:sz w:val="19"/>
          <w:szCs w:val="19"/>
        </w:rPr>
        <w:t xml:space="preserve">   -18.4% MoM</w:t>
      </w:r>
    </w:p>
    <w:p>
      <w:pPr>
        <w:spacing w:after="160"/>
      </w:pPr>
      <w:r>
        <w:rPr>
          <w:rFonts w:ascii="Calibri" w:cs="Calibri" w:eastAsia="Calibri" w:hAnsi="Calibri"/>
          <w:b w:val="false"/>
          <w:bCs w:val="false"/>
          <w:i w:val="false"/>
          <w:iCs w:val="false"/>
          <w:color w:val="2B2F36"/>
          <w:sz w:val="21"/>
          <w:szCs w:val="21"/>
        </w:rPr>
        <w:t xml:space="preserve">340 accounts at risk globally; proactive account-save program (QBR outreach + order review) has reduced churn 18.4% vs. prior quarter through targeted commercial intervention.</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Salesforce, +2</w:t>
      </w:r>
    </w:p>
    <w:p>
      <w:pPr>
        <w:spacing w:after="220"/>
      </w:pPr>
      <w:r>
        <w:rPr>
          <w:rFonts w:ascii="Calibri" w:cs="Calibri" w:eastAsia="Calibri" w:hAnsi="Calibri"/>
          <w:i/>
          <w:iCs/>
          <w:color w:val="5B6472"/>
          <w:sz w:val="17"/>
          <w:szCs w:val="17"/>
        </w:rPr>
        <w:t xml:space="preserve">Last run: 2026-08-23 21:57</w:t>
      </w:r>
    </w:p>
    <w:p>
      <w:pPr>
        <w:spacing w:after="40" w:before="260"/>
      </w:pPr>
      <w:r>
        <w:rPr>
          <w:rFonts w:ascii="Calibri" w:cs="Calibri" w:eastAsia="Calibri" w:hAnsi="Calibri"/>
          <w:b/>
          <w:bCs/>
          <w:color w:val="B8862B"/>
          <w:sz w:val="22"/>
          <w:szCs w:val="22"/>
        </w:rPr>
        <w:t xml:space="preserve">4.  </w:t>
      </w:r>
      <w:r>
        <w:rPr>
          <w:rFonts w:ascii="Calibri" w:cs="Calibri" w:eastAsia="Calibri" w:hAnsi="Calibri"/>
          <w:b/>
          <w:bCs/>
          <w:color w:val="FFFFFF"/>
          <w:sz w:val="18"/>
          <w:szCs w:val="18"/>
          <w:shd w:fill="1F2A44" w:val="clear"/>
        </w:rPr>
        <w:t xml:space="preserve">[RETAIN]  </w:t>
      </w:r>
      <w:r>
        <w:rPr>
          <w:rFonts w:ascii="Calibri" w:cs="Calibri" w:eastAsia="Calibri" w:hAnsi="Calibri"/>
          <w:b/>
          <w:bCs/>
          <w:color w:val="1F2A44"/>
          <w:sz w:val="24"/>
          <w:szCs w:val="24"/>
        </w:rPr>
        <w:t xml:space="preserve">  Contract Renewal Window</w:t>
      </w:r>
      <w:r>
        <w:rPr>
          <w:rFonts w:ascii="Calibri" w:cs="Calibri" w:eastAsia="Calibri" w:hAnsi="Calibri"/>
          <w:i/>
          <w:iCs/>
          <w:color w:val="5B6472"/>
          <w:sz w:val="19"/>
          <w:szCs w:val="19"/>
        </w:rPr>
        <w:t xml:space="preserve">   (90%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Replacement Cycle (Vehicles Entering Replacement Window)</w:t>
      </w:r>
    </w:p>
    <w:p>
      <w:pPr>
        <w:spacing w:after="60"/>
      </w:pPr>
      <w:r>
        <w:rPr>
          <w:rFonts w:ascii="Calibri" w:cs="Calibri" w:eastAsia="Calibri" w:hAnsi="Calibri"/>
          <w:b/>
          <w:bCs/>
          <w:color w:val="1F2A44"/>
          <w:sz w:val="21"/>
          <w:szCs w:val="21"/>
        </w:rPr>
        <w:t xml:space="preserve">Supply Contracts Entering Renewal Window: </w:t>
      </w:r>
      <w:r>
        <w:rPr>
          <w:rFonts w:ascii="Calibri" w:cs="Calibri" w:eastAsia="Calibri" w:hAnsi="Calibri"/>
          <w:b/>
          <w:bCs/>
          <w:color w:val="1F2A44"/>
          <w:sz w:val="26"/>
          <w:szCs w:val="26"/>
        </w:rPr>
        <w:t xml:space="preserve">1,180</w:t>
      </w:r>
      <w:r>
        <w:rPr>
          <w:rFonts w:ascii="Calibri" w:cs="Calibri" w:eastAsia="Calibri" w:hAnsi="Calibri"/>
          <w:color w:val="3F7D45"/>
          <w:sz w:val="19"/>
          <w:szCs w:val="19"/>
        </w:rPr>
        <w:t xml:space="preserve">   +6.1% vs prev period</w:t>
      </w:r>
    </w:p>
    <w:p>
      <w:pPr>
        <w:spacing w:after="160"/>
      </w:pPr>
      <w:r>
        <w:rPr>
          <w:rFonts w:ascii="Calibri" w:cs="Calibri" w:eastAsia="Calibri" w:hAnsi="Calibri"/>
          <w:b w:val="false"/>
          <w:bCs w:val="false"/>
          <w:i w:val="false"/>
          <w:iCs w:val="false"/>
          <w:color w:val="2B2F36"/>
          <w:sz w:val="21"/>
          <w:szCs w:val="21"/>
        </w:rPr>
        <w:t xml:space="preserve">1,180 supply contracts entering their renewal window globally; early renewal engagement is driving a 22% forward-commitment pull across strategic accounts.</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Contract Lifecycle Mgmt, +2</w:t>
      </w:r>
    </w:p>
    <w:p>
      <w:pPr>
        <w:spacing w:after="220"/>
      </w:pPr>
      <w:r>
        <w:rPr>
          <w:rFonts w:ascii="Calibri" w:cs="Calibri" w:eastAsia="Calibri" w:hAnsi="Calibri"/>
          <w:i/>
          <w:iCs/>
          <w:color w:val="5B6472"/>
          <w:sz w:val="17"/>
          <w:szCs w:val="17"/>
        </w:rPr>
        <w:t xml:space="preserve">Last run: 2026-08-23 15:57</w:t>
      </w:r>
    </w:p>
    <w:p>
      <w:pPr>
        <w:spacing w:after="40" w:before="260"/>
      </w:pPr>
      <w:r>
        <w:rPr>
          <w:rFonts w:ascii="Calibri" w:cs="Calibri" w:eastAsia="Calibri" w:hAnsi="Calibri"/>
          <w:b/>
          <w:bCs/>
          <w:color w:val="B8862B"/>
          <w:sz w:val="22"/>
          <w:szCs w:val="22"/>
        </w:rPr>
        <w:t xml:space="preserve">5.  </w:t>
      </w:r>
      <w:r>
        <w:rPr>
          <w:rFonts w:ascii="Calibri" w:cs="Calibri" w:eastAsia="Calibri" w:hAnsi="Calibri"/>
          <w:b/>
          <w:bCs/>
          <w:color w:val="FFFFFF"/>
          <w:sz w:val="18"/>
          <w:szCs w:val="18"/>
          <w:shd w:fill="1F2A44" w:val="clear"/>
        </w:rPr>
        <w:t xml:space="preserve">[RETAIN]  </w:t>
      </w:r>
      <w:r>
        <w:rPr>
          <w:rFonts w:ascii="Calibri" w:cs="Calibri" w:eastAsia="Calibri" w:hAnsi="Calibri"/>
          <w:b/>
          <w:bCs/>
          <w:color w:val="1F2A44"/>
          <w:sz w:val="24"/>
          <w:szCs w:val="24"/>
        </w:rPr>
        <w:t xml:space="preserve">  Account Relationship Health</w:t>
      </w:r>
      <w:r>
        <w:rPr>
          <w:rFonts w:ascii="Calibri" w:cs="Calibri" w:eastAsia="Calibri" w:hAnsi="Calibri"/>
          <w:i/>
          <w:iCs/>
          <w:color w:val="5B6472"/>
          <w:sz w:val="19"/>
          <w:szCs w:val="19"/>
        </w:rPr>
        <w:t xml:space="preserve">   (89%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Relationship Health (CRI Score)</w:t>
      </w:r>
    </w:p>
    <w:p>
      <w:pPr>
        <w:spacing w:after="60"/>
      </w:pPr>
      <w:r>
        <w:rPr>
          <w:rFonts w:ascii="Calibri" w:cs="Calibri" w:eastAsia="Calibri" w:hAnsi="Calibri"/>
          <w:b/>
          <w:bCs/>
          <w:color w:val="1F2A44"/>
          <w:sz w:val="21"/>
          <w:szCs w:val="21"/>
        </w:rPr>
        <w:t xml:space="preserve">ARI Score (Account Relationship Index): </w:t>
      </w:r>
      <w:r>
        <w:rPr>
          <w:rFonts w:ascii="Calibri" w:cs="Calibri" w:eastAsia="Calibri" w:hAnsi="Calibri"/>
          <w:b/>
          <w:bCs/>
          <w:color w:val="1F2A44"/>
          <w:sz w:val="26"/>
          <w:szCs w:val="26"/>
        </w:rPr>
        <w:t xml:space="preserve">76 / 100</w:t>
      </w:r>
      <w:r>
        <w:rPr>
          <w:rFonts w:ascii="Calibri" w:cs="Calibri" w:eastAsia="Calibri" w:hAnsi="Calibri"/>
          <w:color w:val="3F7D45"/>
          <w:sz w:val="19"/>
          <w:szCs w:val="19"/>
        </w:rPr>
        <w:t xml:space="preserve">   +3.8 vs prev period</w:t>
      </w:r>
    </w:p>
    <w:p>
      <w:pPr>
        <w:spacing w:after="160"/>
      </w:pPr>
      <w:r>
        <w:rPr>
          <w:rFonts w:ascii="Calibri" w:cs="Calibri" w:eastAsia="Calibri" w:hAnsi="Calibri"/>
          <w:b w:val="false"/>
          <w:bCs w:val="false"/>
          <w:i w:val="false"/>
          <w:iCs w:val="false"/>
          <w:color w:val="2B2F36"/>
          <w:sz w:val="21"/>
          <w:szCs w:val="21"/>
        </w:rPr>
        <w:t xml:space="preserve">Global ARI Score of 76/100; composite relationship-health index identifies 210 accounts with high growth potential and 95 accounts with early churn signals requiring intervention.</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Salesforce, Qualtrics, +2</w:t>
      </w:r>
    </w:p>
    <w:p>
      <w:pPr>
        <w:spacing w:after="220"/>
      </w:pPr>
      <w:r>
        <w:rPr>
          <w:rFonts w:ascii="Calibri" w:cs="Calibri" w:eastAsia="Calibri" w:hAnsi="Calibri"/>
          <w:i/>
          <w:iCs/>
          <w:color w:val="5B6472"/>
          <w:sz w:val="17"/>
          <w:szCs w:val="17"/>
        </w:rPr>
        <w:t xml:space="preserve">Last run: 2026-08-23 21:57</w:t>
      </w:r>
    </w:p>
    <w:p>
      <w:pPr>
        <w:spacing w:after="40" w:before="260"/>
      </w:pPr>
      <w:r>
        <w:rPr>
          <w:rFonts w:ascii="Calibri" w:cs="Calibri" w:eastAsia="Calibri" w:hAnsi="Calibri"/>
          <w:b/>
          <w:bCs/>
          <w:color w:val="B8862B"/>
          <w:sz w:val="22"/>
          <w:szCs w:val="22"/>
        </w:rPr>
        <w:t xml:space="preserve">6.  </w:t>
      </w:r>
      <w:r>
        <w:rPr>
          <w:rFonts w:ascii="Calibri" w:cs="Calibri" w:eastAsia="Calibri" w:hAnsi="Calibri"/>
          <w:b/>
          <w:bCs/>
          <w:color w:val="FFFFFF"/>
          <w:sz w:val="18"/>
          <w:szCs w:val="18"/>
          <w:shd w:fill="1F2A44" w:val="clear"/>
        </w:rPr>
        <w:t xml:space="preserve">[FULFILL]  </w:t>
      </w:r>
      <w:r>
        <w:rPr>
          <w:rFonts w:ascii="Calibri" w:cs="Calibri" w:eastAsia="Calibri" w:hAnsi="Calibri"/>
          <w:b/>
          <w:bCs/>
          <w:color w:val="1F2A44"/>
          <w:sz w:val="24"/>
          <w:szCs w:val="24"/>
        </w:rPr>
        <w:t xml:space="preserve">  Service &amp; Fulfillment Reliability</w:t>
      </w:r>
      <w:r>
        <w:rPr>
          <w:rFonts w:ascii="Calibri" w:cs="Calibri" w:eastAsia="Calibri" w:hAnsi="Calibri"/>
          <w:i/>
          <w:iCs/>
          <w:color w:val="5B6472"/>
          <w:sz w:val="19"/>
          <w:szCs w:val="19"/>
        </w:rPr>
        <w:t xml:space="preserve">   (87%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Service Retention (Service Retention Probability)</w:t>
      </w:r>
    </w:p>
    <w:p>
      <w:pPr>
        <w:spacing w:after="60"/>
      </w:pPr>
      <w:r>
        <w:rPr>
          <w:rFonts w:ascii="Calibri" w:cs="Calibri" w:eastAsia="Calibri" w:hAnsi="Calibri"/>
          <w:b/>
          <w:bCs/>
          <w:color w:val="1F2A44"/>
          <w:sz w:val="21"/>
          <w:szCs w:val="21"/>
        </w:rPr>
        <w:t xml:space="preserve">On-Time-In-Full Delivery Rate: </w:t>
      </w:r>
      <w:r>
        <w:rPr>
          <w:rFonts w:ascii="Calibri" w:cs="Calibri" w:eastAsia="Calibri" w:hAnsi="Calibri"/>
          <w:b/>
          <w:bCs/>
          <w:color w:val="1F2A44"/>
          <w:sz w:val="26"/>
          <w:szCs w:val="26"/>
        </w:rPr>
        <w:t xml:space="preserve">91.4%</w:t>
      </w:r>
      <w:r>
        <w:rPr>
          <w:rFonts w:ascii="Calibri" w:cs="Calibri" w:eastAsia="Calibri" w:hAnsi="Calibri"/>
          <w:color w:val="3F7D45"/>
          <w:sz w:val="19"/>
          <w:szCs w:val="19"/>
        </w:rPr>
        <w:t xml:space="preserve">   +2.9% vs prev period</w:t>
      </w:r>
    </w:p>
    <w:p>
      <w:pPr>
        <w:spacing w:after="160"/>
      </w:pPr>
      <w:r>
        <w:rPr>
          <w:rFonts w:ascii="Calibri" w:cs="Calibri" w:eastAsia="Calibri" w:hAnsi="Calibri"/>
          <w:b w:val="false"/>
          <w:bCs w:val="false"/>
          <w:i w:val="false"/>
          <w:iCs w:val="false"/>
          <w:color w:val="2B2F36"/>
          <w:sz w:val="21"/>
          <w:szCs w:val="21"/>
        </w:rPr>
        <w:t xml:space="preserve">91.4% global on-time-in-full delivery rate; 46 production lines flagged for capacity-risk review with proactive customer notification showing 27% fewer expedite requests.</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Plant MES, +2</w:t>
      </w:r>
    </w:p>
    <w:p>
      <w:pPr>
        <w:spacing w:after="220"/>
      </w:pPr>
      <w:r>
        <w:rPr>
          <w:rFonts w:ascii="Calibri" w:cs="Calibri" w:eastAsia="Calibri" w:hAnsi="Calibri"/>
          <w:i/>
          <w:iCs/>
          <w:color w:val="5B6472"/>
          <w:sz w:val="17"/>
          <w:szCs w:val="17"/>
        </w:rPr>
        <w:t xml:space="preserve">Last run: 2026-08-23 17:57</w:t>
      </w:r>
    </w:p>
    <w:p>
      <w:pPr>
        <w:spacing w:after="40" w:before="260"/>
      </w:pPr>
      <w:r>
        <w:rPr>
          <w:rFonts w:ascii="Calibri" w:cs="Calibri" w:eastAsia="Calibri" w:hAnsi="Calibri"/>
          <w:b/>
          <w:bCs/>
          <w:color w:val="B8862B"/>
          <w:sz w:val="22"/>
          <w:szCs w:val="22"/>
        </w:rPr>
        <w:t xml:space="preserve">7.  </w:t>
      </w:r>
      <w:r>
        <w:rPr>
          <w:rFonts w:ascii="Calibri" w:cs="Calibri" w:eastAsia="Calibri" w:hAnsi="Calibri"/>
          <w:b/>
          <w:bCs/>
          <w:color w:val="FFFFFF"/>
          <w:sz w:val="18"/>
          <w:szCs w:val="18"/>
          <w:shd w:fill="1F2A44" w:val="clear"/>
        </w:rPr>
        <w:t xml:space="preserve">[EXPAND]  </w:t>
      </w:r>
      <w:r>
        <w:rPr>
          <w:rFonts w:ascii="Calibri" w:cs="Calibri" w:eastAsia="Calibri" w:hAnsi="Calibri"/>
          <w:b/>
          <w:bCs/>
          <w:color w:val="1F2A44"/>
          <w:sz w:val="24"/>
          <w:szCs w:val="24"/>
        </w:rPr>
        <w:t xml:space="preserve">  Cross-Format Expansion</w:t>
      </w:r>
      <w:r>
        <w:rPr>
          <w:rFonts w:ascii="Calibri" w:cs="Calibri" w:eastAsia="Calibri" w:hAnsi="Calibri"/>
          <w:i/>
          <w:iCs/>
          <w:color w:val="5B6472"/>
          <w:sz w:val="19"/>
          <w:szCs w:val="19"/>
        </w:rPr>
        <w:t xml:space="preserve">   (93%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Positive Equity (Positive-Equity Vehicles)</w:t>
      </w:r>
    </w:p>
    <w:p>
      <w:pPr>
        <w:spacing w:after="60"/>
      </w:pPr>
      <w:r>
        <w:rPr>
          <w:rFonts w:ascii="Calibri" w:cs="Calibri" w:eastAsia="Calibri" w:hAnsi="Calibri"/>
          <w:b/>
          <w:bCs/>
          <w:color w:val="1F2A44"/>
          <w:sz w:val="21"/>
          <w:szCs w:val="21"/>
        </w:rPr>
        <w:t xml:space="preserve">Cross-Format Expansion Accounts: </w:t>
      </w:r>
      <w:r>
        <w:rPr>
          <w:rFonts w:ascii="Calibri" w:cs="Calibri" w:eastAsia="Calibri" w:hAnsi="Calibri"/>
          <w:b/>
          <w:bCs/>
          <w:color w:val="1F2A44"/>
          <w:sz w:val="26"/>
          <w:szCs w:val="26"/>
        </w:rPr>
        <w:t xml:space="preserve">640</w:t>
      </w:r>
      <w:r>
        <w:rPr>
          <w:rFonts w:ascii="Calibri" w:cs="Calibri" w:eastAsia="Calibri" w:hAnsi="Calibri"/>
          <w:color w:val="3F7D45"/>
          <w:sz w:val="19"/>
          <w:szCs w:val="19"/>
        </w:rPr>
        <w:t xml:space="preserve">   +8.7% vs prev period</w:t>
      </w:r>
    </w:p>
    <w:p>
      <w:pPr>
        <w:spacing w:after="160"/>
      </w:pPr>
      <w:r>
        <w:rPr>
          <w:rFonts w:ascii="Calibri" w:cs="Calibri" w:eastAsia="Calibri" w:hAnsi="Calibri"/>
          <w:b w:val="false"/>
          <w:bCs w:val="false"/>
          <w:i w:val="false"/>
          <w:iCs w:val="false"/>
          <w:color w:val="2B2F36"/>
          <w:sz w:val="21"/>
          <w:szCs w:val="21"/>
        </w:rPr>
        <w:t xml:space="preserve">640 accounts using a single packaging format (rigid- or flexible-only) detected globally; average incremental opportunity of $71k per account with cross-format pilot programs projected at 45% take-up.</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Salesforce, +2</w:t>
      </w:r>
    </w:p>
    <w:p>
      <w:pPr>
        <w:spacing w:after="220"/>
      </w:pPr>
      <w:r>
        <w:rPr>
          <w:rFonts w:ascii="Calibri" w:cs="Calibri" w:eastAsia="Calibri" w:hAnsi="Calibri"/>
          <w:i/>
          <w:iCs/>
          <w:color w:val="5B6472"/>
          <w:sz w:val="17"/>
          <w:szCs w:val="17"/>
        </w:rPr>
        <w:t xml:space="preserve">Last run: 2026-08-23 22:57</w:t>
      </w:r>
    </w:p>
    <w:p>
      <w:pPr>
        <w:spacing w:after="40" w:before="260"/>
      </w:pPr>
      <w:r>
        <w:rPr>
          <w:rFonts w:ascii="Calibri" w:cs="Calibri" w:eastAsia="Calibri" w:hAnsi="Calibri"/>
          <w:b/>
          <w:bCs/>
          <w:color w:val="B8862B"/>
          <w:sz w:val="22"/>
          <w:szCs w:val="22"/>
        </w:rPr>
        <w:t xml:space="preserve">8.  </w:t>
      </w:r>
      <w:r>
        <w:rPr>
          <w:rFonts w:ascii="Calibri" w:cs="Calibri" w:eastAsia="Calibri" w:hAnsi="Calibri"/>
          <w:b/>
          <w:bCs/>
          <w:color w:val="FFFFFF"/>
          <w:sz w:val="18"/>
          <w:szCs w:val="18"/>
          <w:shd w:fill="1F2A44" w:val="clear"/>
        </w:rPr>
        <w:t xml:space="preserve">[EXPAND]  </w:t>
      </w:r>
      <w:r>
        <w:rPr>
          <w:rFonts w:ascii="Calibri" w:cs="Calibri" w:eastAsia="Calibri" w:hAnsi="Calibri"/>
          <w:b/>
          <w:bCs/>
          <w:color w:val="1F2A44"/>
          <w:sz w:val="24"/>
          <w:szCs w:val="24"/>
        </w:rPr>
        <w:t xml:space="preserve">  Sustainable Portfolio Upgrade</w:t>
      </w:r>
      <w:r>
        <w:rPr>
          <w:rFonts w:ascii="Calibri" w:cs="Calibri" w:eastAsia="Calibri" w:hAnsi="Calibri"/>
          <w:i/>
          <w:iCs/>
          <w:color w:val="5B6472"/>
          <w:sz w:val="19"/>
          <w:szCs w:val="19"/>
        </w:rPr>
        <w:t xml:space="preserve">   (84% confidence)</w:t>
      </w:r>
    </w:p>
    <w:p>
      <w:pPr>
        <w:spacing w:after="60"/>
      </w:pPr>
      <w:r>
        <w:rPr>
          <w:rFonts w:ascii="Calibri" w:cs="Calibri" w:eastAsia="Calibri" w:hAnsi="Calibri"/>
          <w:b/>
          <w:bCs/>
          <w:color w:val="5B6472"/>
          <w:sz w:val="18"/>
          <w:szCs w:val="18"/>
        </w:rPr>
        <w:t xml:space="preserve">Replaces: </w:t>
      </w:r>
      <w:r>
        <w:rPr>
          <w:rFonts w:ascii="Calibri" w:cs="Calibri" w:eastAsia="Calibri" w:hAnsi="Calibri"/>
          <w:i/>
          <w:iCs/>
          <w:color w:val="5B6472"/>
          <w:sz w:val="18"/>
          <w:szCs w:val="18"/>
        </w:rPr>
        <w:t xml:space="preserve">Lifecycle Expansion (Lifecycle Revenue Opportunity)</w:t>
      </w:r>
    </w:p>
    <w:p>
      <w:pPr>
        <w:spacing w:after="60"/>
      </w:pPr>
      <w:r>
        <w:rPr>
          <w:rFonts w:ascii="Calibri" w:cs="Calibri" w:eastAsia="Calibri" w:hAnsi="Calibri"/>
          <w:b/>
          <w:bCs/>
          <w:color w:val="1F2A44"/>
          <w:sz w:val="21"/>
          <w:szCs w:val="21"/>
        </w:rPr>
        <w:t xml:space="preserve">Sustainability Upgrade Opportunity: </w:t>
      </w:r>
      <w:r>
        <w:rPr>
          <w:rFonts w:ascii="Calibri" w:cs="Calibri" w:eastAsia="Calibri" w:hAnsi="Calibri"/>
          <w:b/>
          <w:bCs/>
          <w:color w:val="1F2A44"/>
          <w:sz w:val="26"/>
          <w:szCs w:val="26"/>
        </w:rPr>
        <w:t xml:space="preserve">$68.4M</w:t>
      </w:r>
      <w:r>
        <w:rPr>
          <w:rFonts w:ascii="Calibri" w:cs="Calibri" w:eastAsia="Calibri" w:hAnsi="Calibri"/>
          <w:color w:val="3F7D45"/>
          <w:sz w:val="19"/>
          <w:szCs w:val="19"/>
        </w:rPr>
        <w:t xml:space="preserve">   +19.1% vs prev period</w:t>
      </w:r>
    </w:p>
    <w:p>
      <w:pPr>
        <w:spacing w:after="160"/>
      </w:pPr>
      <w:r>
        <w:rPr>
          <w:rFonts w:ascii="Calibri" w:cs="Calibri" w:eastAsia="Calibri" w:hAnsi="Calibri"/>
          <w:b w:val="false"/>
          <w:bCs w:val="false"/>
          <w:i w:val="false"/>
          <w:iCs w:val="false"/>
          <w:color w:val="2B2F36"/>
          <w:sz w:val="21"/>
          <w:szCs w:val="21"/>
        </w:rPr>
        <w:t xml:space="preserve">$68.4M sustainability upgrade opportunity identified globally; 480 current accounts qualify for recyclable or recycled-content packaging upgrades (e.g. AmPrima®, AmFiber™) aligned to their own ESG commitments, with average incremental revenue of $142k per account.</w:t>
      </w:r>
    </w:p>
    <w:p>
      <w:pPr>
        <w:spacing w:after="60"/>
      </w:pPr>
      <w:r>
        <w:rPr>
          <w:rFonts w:ascii="Calibri" w:cs="Calibri" w:eastAsia="Calibri" w:hAnsi="Calibri"/>
          <w:b/>
          <w:bCs/>
          <w:color w:val="1F2A44"/>
          <w:sz w:val="21"/>
          <w:szCs w:val="21"/>
        </w:rPr>
        <w:t xml:space="preserve">Source systems: </w:t>
      </w:r>
      <w:r>
        <w:rPr>
          <w:rFonts w:ascii="Calibri" w:cs="Calibri" w:eastAsia="Calibri" w:hAnsi="Calibri"/>
          <w:color w:val="2B2F36"/>
          <w:sz w:val="21"/>
          <w:szCs w:val="21"/>
        </w:rPr>
        <w:t xml:space="preserve">SAP, Sustainability/ESG data (e.g. EcoVadis), +2</w:t>
      </w:r>
    </w:p>
    <w:p>
      <w:pPr>
        <w:spacing w:after="220"/>
      </w:pPr>
      <w:r>
        <w:rPr>
          <w:rFonts w:ascii="Calibri" w:cs="Calibri" w:eastAsia="Calibri" w:hAnsi="Calibri"/>
          <w:i/>
          <w:iCs/>
          <w:color w:val="5B6472"/>
          <w:sz w:val="17"/>
          <w:szCs w:val="17"/>
        </w:rPr>
        <w:t xml:space="preserve">Last run: 2026-08-23 16:57</w:t>
      </w:r>
    </w:p>
    <w:p>
      <w:pPr>
        <w:pStyle w:val="Heading1"/>
        <w:spacing w:after="200" w:before="400"/>
      </w:pPr>
      <w:r>
        <w:rPr>
          <w:rFonts w:ascii="Calibri" w:cs="Calibri" w:eastAsia="Calibri" w:hAnsi="Calibri"/>
          <w:b/>
          <w:bCs/>
          <w:color w:val="1F2A44"/>
          <w:sz w:val="32"/>
          <w:szCs w:val="32"/>
        </w:rPr>
        <w:t xml:space="preserve">6. Reasoning Engine</w:t>
      </w:r>
    </w:p>
    <w:p>
      <w:pPr>
        <w:spacing w:after="160"/>
      </w:pPr>
      <w:r>
        <w:rPr>
          <w:rFonts w:ascii="Calibri" w:cs="Calibri" w:eastAsia="Calibri" w:hAnsi="Calibri"/>
          <w:b w:val="false"/>
          <w:bCs w:val="false"/>
          <w:i w:val="false"/>
          <w:iCs w:val="false"/>
          <w:color w:val="2B2F36"/>
          <w:sz w:val="21"/>
          <w:szCs w:val="21"/>
        </w:rPr>
        <w:t xml:space="preserve">Renamed from “Lumina Reasoning Engine” to keep the platform name consistent; the mechanic and copy pattern are unchanged.</w:t>
      </w:r>
    </w:p>
    <w:p>
      <w:pPr>
        <w:spacing w:after="80"/>
      </w:pPr>
      <w:r>
        <w:rPr>
          <w:rFonts w:ascii="Calibri" w:cs="Calibri" w:eastAsia="Calibri" w:hAnsi="Calibri"/>
          <w:b/>
          <w:bCs/>
          <w:color w:val="1F2A44"/>
          <w:sz w:val="21"/>
          <w:szCs w:val="21"/>
        </w:rPr>
        <w:t xml:space="preserve">Panel title: </w:t>
      </w:r>
      <w:r>
        <w:rPr>
          <w:rFonts w:ascii="Calibri" w:cs="Calibri" w:eastAsia="Calibri" w:hAnsi="Calibri"/>
          <w:color w:val="2B2F36"/>
          <w:sz w:val="21"/>
          <w:szCs w:val="21"/>
        </w:rPr>
        <w:t xml:space="preserve">Lumina Reasoning Engine</w:t>
      </w:r>
    </w:p>
    <w:p>
      <w:pPr>
        <w:spacing w:after="80"/>
      </w:pPr>
      <w:r>
        <w:rPr>
          <w:rFonts w:ascii="Calibri" w:cs="Calibri" w:eastAsia="Calibri" w:hAnsi="Calibri"/>
          <w:b/>
          <w:bCs/>
          <w:color w:val="1F2A44"/>
          <w:sz w:val="21"/>
          <w:szCs w:val="21"/>
        </w:rPr>
        <w:t xml:space="preserve">Subtitle: </w:t>
      </w:r>
      <w:r>
        <w:rPr>
          <w:rFonts w:ascii="Calibri" w:cs="Calibri" w:eastAsia="Calibri" w:hAnsi="Calibri"/>
          <w:color w:val="2B2F36"/>
          <w:sz w:val="21"/>
          <w:szCs w:val="21"/>
        </w:rPr>
        <w:t xml:space="preserve">Cross-model synthesis &amp; account play generation</w:t>
      </w:r>
    </w:p>
    <w:p>
      <w:pPr>
        <w:spacing w:after="80"/>
      </w:pPr>
      <w:r>
        <w:rPr>
          <w:rFonts w:ascii="Calibri" w:cs="Calibri" w:eastAsia="Calibri" w:hAnsi="Calibri"/>
          <w:b/>
          <w:bCs/>
          <w:color w:val="1F2A44"/>
          <w:sz w:val="21"/>
          <w:szCs w:val="21"/>
        </w:rPr>
        <w:t xml:space="preserve">Body copy: </w:t>
      </w:r>
      <w:r>
        <w:rPr>
          <w:rFonts w:ascii="Calibri" w:cs="Calibri" w:eastAsia="Calibri" w:hAnsi="Calibri"/>
          <w:color w:val="2B2F36"/>
          <w:sz w:val="21"/>
          <w:szCs w:val="21"/>
        </w:rPr>
        <w:t xml:space="preserve">The Reasoning Engine synthesises all 8 intelligence models simultaneously, identifies cross-model patterns, and generates prioritised account plays with full explainability chains — e.g. pairing a contract-renewal window with a sustainability-upgrade offer for the same account.</w:t>
      </w:r>
    </w:p>
    <w:p>
      <w:pPr>
        <w:spacing w:after="80"/>
      </w:pPr>
      <w:r>
        <w:rPr>
          <w:rFonts w:ascii="Calibri" w:cs="Calibri" w:eastAsia="Calibri" w:hAnsi="Calibri"/>
          <w:b/>
          <w:bCs/>
          <w:color w:val="1F2A44"/>
          <w:sz w:val="21"/>
          <w:szCs w:val="21"/>
        </w:rPr>
        <w:t xml:space="preserve">CTA button: </w:t>
      </w:r>
      <w:r>
        <w:rPr>
          <w:rFonts w:ascii="Calibri" w:cs="Calibri" w:eastAsia="Calibri" w:hAnsi="Calibri"/>
          <w:color w:val="2B2F36"/>
          <w:sz w:val="21"/>
          <w:szCs w:val="21"/>
        </w:rPr>
        <w:t xml:space="preserve">SYNTHESISE ACCOUNT PLAYS</w:t>
      </w:r>
    </w:p>
    <w:p>
      <w:pPr>
        <w:pStyle w:val="Heading1"/>
        <w:spacing w:after="200" w:before="400"/>
      </w:pPr>
      <w:r>
        <w:rPr>
          <w:rFonts w:ascii="Calibri" w:cs="Calibri" w:eastAsia="Calibri" w:hAnsi="Calibri"/>
          <w:b/>
          <w:bCs/>
          <w:color w:val="1F2A44"/>
          <w:sz w:val="32"/>
          <w:szCs w:val="32"/>
        </w:rPr>
        <w:t xml:space="preserve">7. Agentic AI Data Product Factory</w:t>
      </w:r>
    </w:p>
    <w:p>
      <w:pPr>
        <w:spacing w:after="160"/>
      </w:pPr>
      <w:r>
        <w:rPr>
          <w:rFonts w:ascii="Calibri" w:cs="Calibri" w:eastAsia="Calibri" w:hAnsi="Calibri"/>
          <w:b w:val="false"/>
          <w:bCs w:val="false"/>
          <w:i w:val="false"/>
          <w:iCs w:val="false"/>
          <w:color w:val="2B2F36"/>
          <w:sz w:val="21"/>
          <w:szCs w:val="21"/>
        </w:rPr>
        <w:t xml:space="preserve">Name, subtitle, and 4-tile value-prop row are unchanged — the workflow (discover → design → build → validate → publish, 11 specialised agents, human-in-the-loop, governed by design, publish-ready) is domain-agnostic. Only the request box placeholder, sample prompts, and catalog contents change.</w:t>
      </w:r>
    </w:p>
    <w:p>
      <w:pPr>
        <w:pStyle w:val="Heading3"/>
        <w:spacing w:after="120" w:before="240"/>
      </w:pPr>
      <w:r>
        <w:rPr>
          <w:rFonts w:ascii="Calibri" w:cs="Calibri" w:eastAsia="Calibri" w:hAnsi="Calibri"/>
          <w:b/>
          <w:bCs/>
          <w:color w:val="B8862B"/>
          <w:sz w:val="22"/>
          <w:szCs w:val="22"/>
        </w:rPr>
        <w:t xml:space="preserve">Launch panel copy</w:t>
      </w:r>
    </w:p>
    <w:p>
      <w:pPr>
        <w:spacing w:after="80"/>
      </w:pPr>
      <w:r>
        <w:rPr>
          <w:rFonts w:ascii="Calibri" w:cs="Calibri" w:eastAsia="Calibri" w:hAnsi="Calibri"/>
          <w:b/>
          <w:bCs/>
          <w:color w:val="1F2A44"/>
          <w:sz w:val="21"/>
          <w:szCs w:val="21"/>
        </w:rPr>
        <w:t xml:space="preserve">Heading: </w:t>
      </w:r>
      <w:r>
        <w:rPr>
          <w:rFonts w:ascii="Calibri" w:cs="Calibri" w:eastAsia="Calibri" w:hAnsi="Calibri"/>
          <w:color w:val="2B2F36"/>
          <w:sz w:val="21"/>
          <w:szCs w:val="21"/>
        </w:rPr>
        <w:t xml:space="preserve">Agentic AI Data Product Factory</w:t>
      </w:r>
    </w:p>
    <w:p>
      <w:pPr>
        <w:spacing w:after="80"/>
      </w:pPr>
      <w:r>
        <w:rPr>
          <w:rFonts w:ascii="Calibri" w:cs="Calibri" w:eastAsia="Calibri" w:hAnsi="Calibri"/>
          <w:b/>
          <w:bCs/>
          <w:color w:val="1F2A44"/>
          <w:sz w:val="21"/>
          <w:szCs w:val="21"/>
        </w:rPr>
        <w:t xml:space="preserve">Subheading: </w:t>
      </w:r>
      <w:r>
        <w:rPr>
          <w:rFonts w:ascii="Calibri" w:cs="Calibri" w:eastAsia="Calibri" w:hAnsi="Calibri"/>
          <w:color w:val="2B2F36"/>
          <w:sz w:val="21"/>
          <w:szCs w:val="21"/>
        </w:rPr>
        <w:t xml:space="preserve">Governed workflow platform — discover, design, build, validate &amp; publish trusted data products</w:t>
      </w:r>
    </w:p>
    <w:p>
      <w:pPr>
        <w:spacing w:after="80"/>
      </w:pPr>
      <w:r>
        <w:rPr>
          <w:rFonts w:ascii="Calibri" w:cs="Calibri" w:eastAsia="Calibri" w:hAnsi="Calibri"/>
          <w:b/>
          <w:bCs/>
          <w:color w:val="1F2A44"/>
          <w:sz w:val="21"/>
          <w:szCs w:val="21"/>
        </w:rPr>
        <w:t xml:space="preserve">Prompt box label: </w:t>
      </w:r>
      <w:r>
        <w:rPr>
          <w:rFonts w:ascii="Calibri" w:cs="Calibri" w:eastAsia="Calibri" w:hAnsi="Calibri"/>
          <w:color w:val="2B2F36"/>
          <w:sz w:val="21"/>
          <w:szCs w:val="21"/>
        </w:rPr>
        <w:t xml:space="preserve">Describe your data need</w:t>
      </w:r>
    </w:p>
    <w:p>
      <w:pPr>
        <w:spacing w:after="80"/>
      </w:pPr>
      <w:r>
        <w:rPr>
          <w:rFonts w:ascii="Calibri" w:cs="Calibri" w:eastAsia="Calibri" w:hAnsi="Calibri"/>
          <w:b/>
          <w:bCs/>
          <w:color w:val="1F2A44"/>
          <w:sz w:val="21"/>
          <w:szCs w:val="21"/>
        </w:rPr>
        <w:t xml:space="preserve">Prompt box placeholder: </w:t>
      </w:r>
      <w:r>
        <w:rPr>
          <w:rFonts w:ascii="Calibri" w:cs="Calibri" w:eastAsia="Calibri" w:hAnsi="Calibri"/>
          <w:color w:val="2B2F36"/>
          <w:sz w:val="21"/>
          <w:szCs w:val="21"/>
        </w:rPr>
        <w:t xml:space="preserve">e.g. Build a propensity-to-expand data product for key accounts combining ERP order history, portal activity, and RFP engagement…</w:t>
      </w:r>
    </w:p>
    <w:p>
      <w:pPr>
        <w:spacing w:after="80"/>
      </w:pPr>
      <w:r>
        <w:rPr>
          <w:rFonts w:ascii="Calibri" w:cs="Calibri" w:eastAsia="Calibri" w:hAnsi="Calibri"/>
          <w:b/>
          <w:bCs/>
          <w:color w:val="1F2A44"/>
          <w:sz w:val="21"/>
          <w:szCs w:val="21"/>
        </w:rPr>
        <w:t xml:space="preserve">Helper text: </w:t>
      </w:r>
      <w:r>
        <w:rPr>
          <w:rFonts w:ascii="Calibri" w:cs="Calibri" w:eastAsia="Calibri" w:hAnsi="Calibri"/>
          <w:color w:val="2B2F36"/>
          <w:sz w:val="21"/>
          <w:szCs w:val="21"/>
        </w:rPr>
        <w:t xml:space="preserve">Describe the business problem or analytics use case in plain language. The factory will orchestrate specialised AI agents to discover, design, build, validate, and publish a governed data product.</w:t>
      </w:r>
    </w:p>
    <w:p>
      <w:pPr>
        <w:spacing w:after="80"/>
      </w:pPr>
      <w:r>
        <w:rPr>
          <w:rFonts w:ascii="Calibri" w:cs="Calibri" w:eastAsia="Calibri" w:hAnsi="Calibri"/>
          <w:b/>
          <w:bCs/>
          <w:color w:val="1F2A44"/>
          <w:sz w:val="21"/>
          <w:szCs w:val="21"/>
        </w:rPr>
        <w:t xml:space="preserve">Button: </w:t>
      </w:r>
      <w:r>
        <w:rPr>
          <w:rFonts w:ascii="Calibri" w:cs="Calibri" w:eastAsia="Calibri" w:hAnsi="Calibri"/>
          <w:color w:val="2B2F36"/>
          <w:sz w:val="21"/>
          <w:szCs w:val="21"/>
        </w:rPr>
        <w:t xml:space="preserve">Launch Factory</w:t>
      </w:r>
    </w:p>
    <w:p>
      <w:pPr>
        <w:pStyle w:val="Heading3"/>
        <w:spacing w:after="120" w:before="240"/>
      </w:pPr>
      <w:r>
        <w:rPr>
          <w:rFonts w:ascii="Calibri" w:cs="Calibri" w:eastAsia="Calibri" w:hAnsi="Calibri"/>
          <w:b/>
          <w:bCs/>
          <w:color w:val="B8862B"/>
          <w:sz w:val="22"/>
          <w:szCs w:val="22"/>
        </w:rPr>
        <w:t xml:space="preserve">Sample requests</w:t>
      </w:r>
    </w:p>
    <w:p>
      <w:pPr>
        <w:spacing w:after="160"/>
      </w:pPr>
      <w:r>
        <w:rPr>
          <w:rFonts w:ascii="Calibri" w:cs="Calibri" w:eastAsia="Calibri" w:hAnsi="Calibri"/>
          <w:b w:val="false"/>
          <w:bCs w:val="false"/>
          <w:i w:val="false"/>
          <w:iCs w:val="false"/>
          <w:color w:val="2B2F36"/>
          <w:sz w:val="21"/>
          <w:szCs w:val="21"/>
        </w:rPr>
        <w:t xml:space="preserve">Example 1: Build an account expansion propensity data product that combines ERP order history, portal activity, and sustainability-spec engagement to score each account's likelihood to adopt a new packaging format in the next two quarters.</w:t>
      </w:r>
    </w:p>
    <w:p>
      <w:pPr>
        <w:spacing w:after="160"/>
      </w:pPr>
      <w:r>
        <w:rPr>
          <w:rFonts w:ascii="Calibri" w:cs="Calibri" w:eastAsia="Calibri" w:hAnsi="Calibri"/>
          <w:b w:val="false"/>
          <w:bCs w:val="false"/>
          <w:i w:val="false"/>
          <w:iCs w:val="false"/>
          <w:color w:val="2B2F36"/>
          <w:sz w:val="21"/>
          <w:szCs w:val="21"/>
        </w:rPr>
        <w:t xml:space="preserve">Example 2: I need a data product that identifies key accounts approaching their contract renewal window — combining contract terms, order-volume trend, and quality-complaint history — to flag renewal risk.</w:t>
      </w:r>
    </w:p>
    <w:p>
      <w:pPr>
        <w:spacing w:after="160"/>
      </w:pPr>
      <w:r>
        <w:rPr>
          <w:rFonts w:ascii="Calibri" w:cs="Calibri" w:eastAsia="Calibri" w:hAnsi="Calibri"/>
          <w:b w:val="false"/>
          <w:bCs w:val="false"/>
          <w:i w:val="false"/>
          <w:iCs w:val="false"/>
          <w:color w:val="2B2F36"/>
          <w:sz w:val="21"/>
          <w:szCs w:val="21"/>
        </w:rPr>
        <w:t xml:space="preserve">Example 3: Create a campaign attribution data product linking trade-show leads, digital touchpoints, and order data so the commercial team can measure which campaigns are driving new packaging contracts.</w:t>
      </w:r>
    </w:p>
    <w:p>
      <w:pPr>
        <w:pStyle w:val="Heading3"/>
        <w:spacing w:after="120" w:before="240"/>
      </w:pPr>
      <w:r>
        <w:rPr>
          <w:rFonts w:ascii="Calibri" w:cs="Calibri" w:eastAsia="Calibri" w:hAnsi="Calibri"/>
          <w:b/>
          <w:bCs/>
          <w:color w:val="B8862B"/>
          <w:sz w:val="22"/>
          <w:szCs w:val="22"/>
        </w:rPr>
        <w:t xml:space="preserve">Value-prop tiles (unchanged mechanic)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Tile</w:t>
            </w:r>
          </w:p>
        </w:tc>
        <w:tc>
          <w:tcPr>
            <w:tcW w:type="dxa" w:w="6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Copy</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11 Specialised Agents</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Each agent owns one workflow stage</w:t>
            </w:r>
          </w:p>
        </w:tc>
      </w:tr>
      <w:tr>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Human-in-the-Loop</w:t>
            </w:r>
          </w:p>
        </w:tc>
        <w:tc>
          <w:tcPr>
            <w:tcW w:type="dxa" w:w="6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Edit, override or approve every output</w:t>
            </w:r>
          </w:p>
        </w:tc>
      </w:tr>
      <w:tr>
        <w:tc>
          <w:tcPr>
            <w:tcW w:type="dxa" w:w="24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Governed by Design</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PII/customer-confidential data detection, masking &amp; access controls</w:t>
            </w:r>
          </w:p>
        </w:tc>
      </w:tr>
      <w:tr>
        <w:tc>
          <w:tcPr>
            <w:tcW w:type="dxa" w:w="24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Publish-Ready</w:t>
            </w:r>
          </w:p>
        </w:tc>
        <w:tc>
          <w:tcPr>
            <w:tcW w:type="dxa" w:w="6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Lineage, tests, docs &amp; endpoints included</w:t>
            </w:r>
          </w:p>
        </w:tc>
      </w:tr>
    </w:tbl>
    <w:p>
      <w:pPr>
        <w:pStyle w:val="Heading3"/>
        <w:spacing w:after="120" w:before="240"/>
      </w:pPr>
      <w:r>
        <w:rPr>
          <w:rFonts w:ascii="Calibri" w:cs="Calibri" w:eastAsia="Calibri" w:hAnsi="Calibri"/>
          <w:b/>
          <w:bCs/>
          <w:color w:val="B8862B"/>
          <w:sz w:val="22"/>
          <w:szCs w:val="22"/>
        </w:rPr>
        <w:t xml:space="preserve">Catalog filters</w:t>
      </w:r>
    </w:p>
    <w:p>
      <w:pPr>
        <w:spacing w:after="80"/>
      </w:pPr>
      <w:r>
        <w:rPr>
          <w:rFonts w:ascii="Calibri" w:cs="Calibri" w:eastAsia="Calibri" w:hAnsi="Calibri"/>
          <w:b/>
          <w:bCs/>
          <w:color w:val="1F2A44"/>
          <w:sz w:val="21"/>
          <w:szCs w:val="21"/>
        </w:rPr>
        <w:t xml:space="preserve">Domain: </w:t>
      </w:r>
      <w:r>
        <w:rPr>
          <w:rFonts w:ascii="Calibri" w:cs="Calibri" w:eastAsia="Calibri" w:hAnsi="Calibri"/>
          <w:color w:val="2B2F36"/>
          <w:sz w:val="21"/>
          <w:szCs w:val="21"/>
        </w:rPr>
        <w:t xml:space="preserve">All / Marketing / Sales / CRM / Digital / Sustainability</w:t>
      </w:r>
    </w:p>
    <w:p>
      <w:pPr>
        <w:spacing w:after="80"/>
      </w:pPr>
      <w:r>
        <w:rPr>
          <w:rFonts w:ascii="Calibri" w:cs="Calibri" w:eastAsia="Calibri" w:hAnsi="Calibri"/>
          <w:b/>
          <w:bCs/>
          <w:color w:val="1F2A44"/>
          <w:sz w:val="21"/>
          <w:szCs w:val="21"/>
        </w:rPr>
        <w:t xml:space="preserve">Status: </w:t>
      </w:r>
      <w:r>
        <w:rPr>
          <w:rFonts w:ascii="Calibri" w:cs="Calibri" w:eastAsia="Calibri" w:hAnsi="Calibri"/>
          <w:color w:val="2B2F36"/>
          <w:sz w:val="21"/>
          <w:szCs w:val="21"/>
        </w:rPr>
        <w:t xml:space="preserve">All / Published / Draft</w:t>
      </w:r>
    </w:p>
    <w:p>
      <w:pPr>
        <w:spacing w:after="80"/>
      </w:pPr>
      <w:r>
        <w:rPr>
          <w:rFonts w:ascii="Calibri" w:cs="Calibri" w:eastAsia="Calibri" w:hAnsi="Calibri"/>
          <w:b/>
          <w:bCs/>
          <w:color w:val="1F2A44"/>
          <w:sz w:val="21"/>
          <w:szCs w:val="21"/>
        </w:rPr>
        <w:t xml:space="preserve">Tier: </w:t>
      </w:r>
      <w:r>
        <w:rPr>
          <w:rFonts w:ascii="Calibri" w:cs="Calibri" w:eastAsia="Calibri" w:hAnsi="Calibri"/>
          <w:color w:val="2B2F36"/>
          <w:sz w:val="21"/>
          <w:szCs w:val="21"/>
        </w:rPr>
        <w:t xml:space="preserve">All / Gold / Silver / Bronze</w:t>
      </w:r>
    </w:p>
    <w:p>
      <w:pPr>
        <w:spacing w:after="80"/>
      </w:pPr>
      <w:r>
        <w:rPr>
          <w:rFonts w:ascii="Calibri" w:cs="Calibri" w:eastAsia="Calibri" w:hAnsi="Calibri"/>
          <w:b/>
          <w:bCs/>
          <w:color w:val="1F2A44"/>
          <w:sz w:val="21"/>
          <w:szCs w:val="21"/>
        </w:rPr>
        <w:t xml:space="preserve">Summary stats: </w:t>
      </w:r>
      <w:r>
        <w:rPr>
          <w:rFonts w:ascii="Calibri" w:cs="Calibri" w:eastAsia="Calibri" w:hAnsi="Calibri"/>
          <w:color w:val="2B2F36"/>
          <w:sz w:val="21"/>
          <w:szCs w:val="21"/>
        </w:rPr>
        <w:t xml:space="preserve">7 Published · 83 Avg Quality · 121 Consumers (unchanged mechanic)</w:t>
      </w:r>
    </w:p>
    <w:p>
      <w:pPr>
        <w:pStyle w:val="Heading3"/>
        <w:spacing w:after="120" w:before="240"/>
      </w:pPr>
      <w:r>
        <w:rPr>
          <w:rFonts w:ascii="Calibri" w:cs="Calibri" w:eastAsia="Calibri" w:hAnsi="Calibri"/>
          <w:b/>
          <w:bCs/>
          <w:color w:val="B8862B"/>
          <w:sz w:val="22"/>
          <w:szCs w:val="22"/>
        </w:rPr>
        <w:t xml:space="preserve">Data Product Catalog — 8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200"/>
        <w:gridCol w:w="2500"/>
      </w:tblGrid>
      <w:tr>
        <w:trPr>
          <w:tblHeader/>
        </w:trPr>
        <w:tc>
          <w:tcPr>
            <w:tcW w:type="dxa" w:w="26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Product name</w:t>
            </w:r>
          </w:p>
        </w:tc>
        <w:tc>
          <w:tcPr>
            <w:tcW w:type="dxa" w:w="15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c>
          <w:tcPr>
            <w:tcW w:type="dxa" w:w="1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Tier</w:t>
            </w:r>
          </w:p>
        </w:tc>
        <w:tc>
          <w:tcPr>
            <w:tcW w:type="dxa" w:w="1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Quality</w:t>
            </w:r>
          </w:p>
        </w:tc>
        <w:tc>
          <w:tcPr>
            <w:tcW w:type="dxa" w:w="25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Account Propensity Score v2</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Gold</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94%</w:t>
            </w:r>
          </w:p>
        </w:tc>
        <w:tc>
          <w:tcPr>
            <w:tcW w:type="dxa" w:w="2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ML model scoring accounts 0–100 on likelihood to expand packaging format or volume within 2 quarters. Trained on ERP, portal, and RFP signals.</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Sustainable Packaging Interest Index</w:t>
            </w:r>
          </w:p>
        </w:tc>
        <w:tc>
          <w:tcPr>
            <w:tcW w:type="dxa" w:w="1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Silver</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71%</w:t>
            </w:r>
          </w:p>
        </w:tc>
        <w:tc>
          <w:tcPr>
            <w:tcW w:type="dxa" w:w="2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Engagement scoring for sustainable/recyclable packaging interest using spec-sheet downloads and sustainability-portal activity.</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Campaign Attribution Dataset</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Draft</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Bronze</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58%</w:t>
            </w:r>
          </w:p>
        </w:tc>
        <w:tc>
          <w:tcPr>
            <w:tcW w:type="dxa" w:w="2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Multi-touch attribution across trade shows, digital, and CRM channels linking touchpoints to signed contracts.</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Supply Contract Lifecycle</w:t>
            </w:r>
          </w:p>
        </w:tc>
        <w:tc>
          <w:tcPr>
            <w:tcW w:type="dxa" w:w="1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Gold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97%</w:t>
            </w:r>
          </w:p>
        </w:tc>
        <w:tc>
          <w:tcPr>
            <w:tcW w:type="dxa" w:w="2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Full lifecycle view of supply contracts — start date, end date, volume commitment, and renewal eligibility flag per account.</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Key Account Performance</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Gold</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91%</w:t>
            </w:r>
          </w:p>
        </w:tc>
        <w:tc>
          <w:tcPr>
            <w:tcW w:type="dxa" w:w="2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Account-level KPIs including quote-to-order conversion, on-time-in-full rate, and satisfaction scores, aggregated monthly.</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Account 360 Profile</w:t>
            </w:r>
          </w:p>
        </w:tc>
        <w:tc>
          <w:tcPr>
            <w:tcW w:type="dxa" w:w="1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Gold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88%</w:t>
            </w:r>
          </w:p>
        </w:tc>
        <w:tc>
          <w:tcPr>
            <w:tcW w:type="dxa" w:w="2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Unified account view combining firmographics, packaging-format history, order/service records, and digital engagement.</w:t>
            </w:r>
          </w:p>
        </w:tc>
      </w:tr>
      <w:tr>
        <w:tc>
          <w:tcPr>
            <w:tcW w:type="dxa" w:w="26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Portal Behavioural Events</w:t>
            </w:r>
          </w:p>
        </w:tc>
        <w:tc>
          <w:tcPr>
            <w:tcW w:type="dxa" w:w="1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Silver</w:t>
            </w:r>
          </w:p>
        </w:tc>
        <w:tc>
          <w:tcPr>
            <w:tcW w:type="dxa" w:w="1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83%</w:t>
            </w:r>
          </w:p>
        </w:tc>
        <w:tc>
          <w:tcPr>
            <w:tcW w:type="dxa" w:w="25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Clickstream from the B2B customer portal: spec-sheet views, sample requests, and quote-configurator sessions.</w:t>
            </w:r>
          </w:p>
        </w:tc>
      </w:tr>
      <w:tr>
        <w:tc>
          <w:tcPr>
            <w:tcW w:type="dxa" w:w="26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Campaign Engagement</w:t>
            </w:r>
          </w:p>
        </w:tc>
        <w:tc>
          <w:tcPr>
            <w:tcW w:type="dxa" w:w="1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Published</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Silver</w:t>
            </w:r>
          </w:p>
        </w:tc>
        <w:tc>
          <w:tcPr>
            <w:tcW w:type="dxa" w:w="1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85%</w:t>
            </w:r>
          </w:p>
        </w:tc>
        <w:tc>
          <w:tcPr>
            <w:tcW w:type="dxa" w:w="25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Per-account engagement metrics (open rate, click rate, event attendance) for all CRM marketing campaigns, updated daily.</w:t>
            </w:r>
          </w:p>
        </w:tc>
      </w:tr>
    </w:tbl>
    <w:p>
      <w:pPr>
        <w:pStyle w:val="Heading1"/>
        <w:spacing w:after="200" w:before="400"/>
      </w:pPr>
      <w:r>
        <w:rPr>
          <w:rFonts w:ascii="Calibri" w:cs="Calibri" w:eastAsia="Calibri" w:hAnsi="Calibri"/>
          <w:b/>
          <w:bCs/>
          <w:color w:val="1F2A44"/>
          <w:sz w:val="32"/>
          <w:szCs w:val="32"/>
        </w:rPr>
        <w:t xml:space="preserve">8. Other Navigation Panels</w:t>
      </w:r>
    </w:p>
    <w:p>
      <w:pPr>
        <w:pStyle w:val="Heading3"/>
        <w:spacing w:after="120" w:before="240"/>
      </w:pPr>
      <w:r>
        <w:rPr>
          <w:rFonts w:ascii="Calibri" w:cs="Calibri" w:eastAsia="Calibri" w:hAnsi="Calibri"/>
          <w:b/>
          <w:bCs/>
          <w:color w:val="B8862B"/>
          <w:sz w:val="22"/>
          <w:szCs w:val="22"/>
        </w:rPr>
        <w:t xml:space="preserve">Account Campaign Command (was Campaign Command)</w:t>
      </w:r>
    </w:p>
    <w:p>
      <w:pPr>
        <w:spacing w:after="160"/>
      </w:pPr>
      <w:r>
        <w:rPr>
          <w:rFonts w:ascii="Calibri" w:cs="Calibri" w:eastAsia="Calibri" w:hAnsi="Calibri"/>
          <w:b w:val="false"/>
          <w:bCs w:val="false"/>
          <w:i w:val="false"/>
          <w:iCs w:val="false"/>
          <w:color w:val="2B2F36"/>
          <w:sz w:val="21"/>
          <w:szCs w:val="21"/>
        </w:rPr>
        <w:t xml:space="preserve">Strategic ABM (account-based marketing) plays generated from the Reasoning Engine — e.g. bundling a contract-renewal outreach with a sustainability-upgrade pitch for the same account, sequenced across email, account-team briefing, and portal messaging.</w:t>
      </w:r>
    </w:p>
    <w:p>
      <w:pPr>
        <w:pStyle w:val="Heading3"/>
        <w:spacing w:after="120" w:before="240"/>
      </w:pPr>
      <w:r>
        <w:rPr>
          <w:rFonts w:ascii="Calibri" w:cs="Calibri" w:eastAsia="Calibri" w:hAnsi="Calibri"/>
          <w:b/>
          <w:bCs/>
          <w:color w:val="B8862B"/>
          <w:sz w:val="22"/>
          <w:szCs w:val="22"/>
        </w:rPr>
        <w:t xml:space="preserve">Key Account Intel (was Retailer Intel)</w:t>
      </w:r>
    </w:p>
    <w:p>
      <w:pPr>
        <w:spacing w:after="160"/>
      </w:pPr>
      <w:r>
        <w:rPr>
          <w:rFonts w:ascii="Calibri" w:cs="Calibri" w:eastAsia="Calibri" w:hAnsi="Calibri"/>
          <w:b w:val="false"/>
          <w:bCs w:val="false"/>
          <w:i w:val="false"/>
          <w:iCs w:val="false"/>
          <w:color w:val="2B2F36"/>
          <w:sz w:val="21"/>
          <w:szCs w:val="21"/>
        </w:rPr>
        <w:t xml:space="preserve">Account drill-down replacing dealer drill-down: per-account view of order history, format mix, contract terms, complaint tickets, and portal engagement, scoped to named strategic accounts (or, where relevant, rolled up by regional distributor/converter).</w:t>
      </w:r>
    </w:p>
    <w:p>
      <w:pPr>
        <w:pStyle w:val="Heading3"/>
        <w:spacing w:after="120" w:before="240"/>
      </w:pPr>
      <w:r>
        <w:rPr>
          <w:rFonts w:ascii="Calibri" w:cs="Calibri" w:eastAsia="Calibri" w:hAnsi="Calibri"/>
          <w:b/>
          <w:bCs/>
          <w:color w:val="B8862B"/>
          <w:sz w:val="22"/>
          <w:szCs w:val="22"/>
        </w:rPr>
        <w:t xml:space="preserve">Performance Reports</w:t>
      </w:r>
    </w:p>
    <w:p>
      <w:pPr>
        <w:spacing w:after="160"/>
      </w:pPr>
      <w:r>
        <w:rPr>
          <w:rFonts w:ascii="Calibri" w:cs="Calibri" w:eastAsia="Calibri" w:hAnsi="Calibri"/>
          <w:b w:val="false"/>
          <w:bCs w:val="false"/>
          <w:i w:val="false"/>
          <w:iCs w:val="false"/>
          <w:color w:val="2B2F36"/>
          <w:sz w:val="21"/>
          <w:szCs w:val="21"/>
        </w:rPr>
        <w:t xml:space="preserve">Unchanged mechanic — scheduled and ad hoc reporting surface across all 8 models and the data catalog.</w:t>
      </w:r>
    </w:p>
    <w:p>
      <w:pPr>
        <w:pStyle w:val="Heading3"/>
        <w:spacing w:after="120" w:before="240"/>
      </w:pPr>
      <w:r>
        <w:rPr>
          <w:rFonts w:ascii="Calibri" w:cs="Calibri" w:eastAsia="Calibri" w:hAnsi="Calibri"/>
          <w:b/>
          <w:bCs/>
          <w:color w:val="B8862B"/>
          <w:sz w:val="22"/>
          <w:szCs w:val="22"/>
        </w:rPr>
        <w:t xml:space="preserve">Model Configuration</w:t>
      </w:r>
    </w:p>
    <w:p>
      <w:pPr>
        <w:spacing w:after="160"/>
      </w:pPr>
      <w:r>
        <w:rPr>
          <w:rFonts w:ascii="Calibri" w:cs="Calibri" w:eastAsia="Calibri" w:hAnsi="Calibri"/>
          <w:b w:val="false"/>
          <w:bCs w:val="false"/>
          <w:i w:val="false"/>
          <w:iCs w:val="false"/>
          <w:color w:val="2B2F36"/>
          <w:sz w:val="21"/>
          <w:szCs w:val="21"/>
        </w:rPr>
        <w:t xml:space="preserve">Unchanged mechanic — admin surface for tuning model thresholds, retraining cadence, and source-system connections.</w:t>
      </w:r>
    </w:p>
    <w:p>
      <w:pPr>
        <w:pStyle w:val="Heading1"/>
        <w:spacing w:after="200" w:before="400"/>
      </w:pPr>
      <w:r>
        <w:rPr>
          <w:rFonts w:ascii="Calibri" w:cs="Calibri" w:eastAsia="Calibri" w:hAnsi="Calibri"/>
          <w:b/>
          <w:bCs/>
          <w:color w:val="1F2A44"/>
          <w:sz w:val="32"/>
          <w:szCs w:val="32"/>
        </w:rPr>
        <w:t xml:space="preserve">9. Source-System Reference</w:t>
      </w:r>
    </w:p>
    <w:p>
      <w:pPr>
        <w:spacing w:after="160"/>
      </w:pPr>
      <w:r>
        <w:rPr>
          <w:rFonts w:ascii="Calibri" w:cs="Calibri" w:eastAsia="Calibri" w:hAnsi="Calibri"/>
          <w:b w:val="false"/>
          <w:bCs w:val="false"/>
          <w:i w:val="false"/>
          <w:iCs w:val="false"/>
          <w:color w:val="2B2F36"/>
          <w:sz w:val="21"/>
          <w:szCs w:val="21"/>
        </w:rPr>
        <w:t xml:space="preserve">Chips shown on each model card (“Salesforce, Google, +3” style) should map to Amcor's actual commercial and operational stack rather than the automotive-retail stack in the original.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Category</w:t>
            </w:r>
          </w:p>
        </w:tc>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JLR version</w:t>
            </w:r>
          </w:p>
        </w:tc>
        <w:tc>
          <w:tcPr>
            <w:tcW w:type="dxa" w:w="3200"/>
            <w:shd w:fill="1F2A4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Amcor version</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ERP / order data</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SAP</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SAP</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CRM</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Salesforce</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Salesforce</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Digital / marketing</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Google</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LinkedIn Sales Navigator, marketing automation platform</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Dealer/retailer systems</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Keyloop</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Plant MES / logistics execution</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Owner app</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Mobile</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B2B customer portal</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Contract management</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Contract lifecycle management (e.g. Icertis-class CLM)</w:t>
            </w:r>
          </w:p>
        </w:tc>
      </w:tr>
      <w:tr>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Sustainability / ESG</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t>
            </w:r>
          </w:p>
        </w:tc>
        <w:tc>
          <w:tcPr>
            <w:tcW w:type="dxa" w:w="3200"/>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EcoVadis / CDP-class sustainability data</w:t>
            </w:r>
          </w:p>
        </w:tc>
      </w:tr>
      <w:tr>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Voice of customer</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w:t>
            </w:r>
          </w:p>
        </w:tc>
        <w:tc>
          <w:tcPr>
            <w:tcW w:type="dxa" w:w="3200"/>
            <w:shd w:fill="F2F4F7" w:val="clear"/>
            <w:tcMar>
              <w:top w:type="dxa" w:w="80"/>
              <w:left w:type="dxa" w:w="120"/>
              <w:bottom w:type="dxa" w:w="80"/>
              <w:right w:type="dxa" w:w="120"/>
            </w:tcMar>
            <w:vAlign w:val="center"/>
          </w:tcPr>
          <w:p>
            <w:r>
              <w:rPr>
                <w:rFonts w:ascii="Calibri" w:cs="Calibri" w:eastAsia="Calibri" w:hAnsi="Calibri"/>
                <w:b w:val="false"/>
                <w:bCs w:val="false"/>
                <w:color w:val="2B2F36"/>
                <w:sz w:val="19"/>
                <w:szCs w:val="19"/>
              </w:rPr>
              <w:t xml:space="preserve">Qualtrics-class survey platform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2026-08-24T02:47:06.055Z</dcterms:created>
  <dcterms:modified xsi:type="dcterms:W3CDTF">2026-08-24T02:47:06.069Z</dcterms:modified>
</cp:coreProperties>
</file>

<file path=docProps/custom.xml><?xml version="1.0" encoding="utf-8"?>
<Properties xmlns="http://schemas.openxmlformats.org/officeDocument/2006/custom-properties" xmlns:vt="http://schemas.openxmlformats.org/officeDocument/2006/docPropsVTypes"/>
</file>