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1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rPr>
          <w:i/>
          <w:iCs/>
        </w:rPr>
        <w:t xml:space="preserve">Placeholder — to be completed before submission.</w:t>
      </w:r>
    </w:p>
    <w:p>
      <w:pPr>
        <w:pStyle w:val="BodyText"/>
      </w:pPr>
      <w:r>
        <w:t xml:space="preserve">Author 1</w:t>
      </w:r>
      <w:r>
        <w:t xml:space="preserve">1</w:t>
      </w:r>
      <w:r>
        <w:t xml:space="preserve">, …</w:t>
      </w:r>
    </w:p>
    <w:p>
      <w:pPr>
        <w:pStyle w:val="BodyText"/>
      </w:pPr>
      <w:r>
        <w:t xml:space="preserve">1</w:t>
      </w:r>
      <w:r>
        <w:t xml:space="preserve">Affiliation.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i/>
          <w:iCs/>
        </w:rPr>
        <w:t xml:space="preserve">Note for the author list:</w:t>
      </w:r>
      <w:r>
        <w:t xml:space="preserve"> </w:t>
      </w:r>
      <w:r>
        <w:t xml:space="preserve">the repository’s contributor model is a long-horizon</w:t>
      </w:r>
      <w:r>
        <w:t xml:space="preserve"> </w:t>
      </w:r>
      <w:r>
        <w:t xml:space="preserve">(</w:t>
      </w:r>
      <w:r>
        <w:t xml:space="preserve">“cathedral”</w:t>
      </w:r>
      <w:r>
        <w:t xml:space="preserve">) one in which authorship will accrue across cohorts. A CRediT-style</w:t>
      </w:r>
      <w:r>
        <w:t xml:space="preserve"> </w:t>
      </w:r>
      <w:r>
        <w:t xml:space="preserve">contribution table plus a machine-readable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should be added to the</w:t>
      </w:r>
      <w:r>
        <w:t xml:space="preserve"> </w:t>
      </w:r>
      <w:r>
        <w:t xml:space="preserve">repository before submission so that the author list and the code’s own provenance</w:t>
      </w:r>
      <w:r>
        <w:t xml:space="preserve"> </w:t>
      </w:r>
      <w:r>
        <w:t xml:space="preserve">record cannot drift apart. This is currently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place and is a submission</w:t>
      </w:r>
      <w:r>
        <w:t xml:space="preserve"> </w:t>
      </w:r>
      <w:r>
        <w:t xml:space="preserve">blocker, not an editorial nicety.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haven’t finished the author list. This project is designed</w:t>
      </w:r>
      <w:r>
        <w:t xml:space="preserve"> </w:t>
      </w:r>
      <w:r>
        <w:t xml:space="preserve">to outlive the people who started it, so contributors will keep joining for years, and we</w:t>
      </w:r>
      <w:r>
        <w:t xml:space="preserve"> </w:t>
      </w:r>
      <w:r>
        <w:t xml:space="preserve">need a formal, machine-readable record of who did what — kept in the code itself, so it</w:t>
      </w:r>
      <w:r>
        <w:t xml:space="preserve"> </w:t>
      </w:r>
      <w:r>
        <w:t xml:space="preserve">can’t drift out of sync with the paper. That file doesn’t exist yet, and we’re calling</w:t>
      </w:r>
      <w:r>
        <w:t xml:space="preserve"> </w:t>
      </w:r>
      <w:r>
        <w:t xml:space="preserve">that a genuine blocker rather than paperwork, because a paper whose whole argument is</w:t>
      </w:r>
      <w:r>
        <w:t xml:space="preserve"> </w:t>
      </w:r>
      <w:r>
        <w:t xml:space="preserve">“track where everything came from”</w:t>
      </w:r>
      <w:r>
        <w:t xml:space="preserve"> </w:t>
      </w:r>
      <w:r>
        <w:t xml:space="preserve">would look ridiculous if it couldn’t track its own</w:t>
      </w:r>
      <w:r>
        <w:t xml:space="preserve"> </w:t>
      </w:r>
      <w:r>
        <w:t xml:space="preserve">authors.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0"/>
    <w:bookmarkStart w:id="15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1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1"/>
    <w:bookmarkStart w:id="12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2"/>
    <w:bookmarkStart w:id="13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3"/>
    <w:bookmarkStart w:id="14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6" w:name="Xc0913c212bb8b0c1730e82d1901b32c267d1df6"/>
      <w:r>
        <w:t xml:space="preserve">✅ Campaign run 2026-08-03 — pre-registration honoured</w:t>
      </w:r>
      <w:bookmarkEnd w:id="16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7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7"/>
    <w:bookmarkStart w:id="18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8"/>
    <w:bookmarkStart w:id="19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19"/>
    <w:bookmarkStart w:id="20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0"/>
    <w:bookmarkStart w:id="21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on</w:t>
      </w:r>
      <w:r>
        <w:t xml:space="preserve"> </w:t>
      </w:r>
      <w:r>
        <w:t xml:space="preserve">purpose and in detail. 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the beam</w:t>
      </w:r>
      <w:r>
        <w:t xml:space="preserve"> </w:t>
      </w:r>
      <w:r>
        <w:t xml:space="preserve">onto a 1 km target at the distance of Pluto, your transmitter must be about six billion</w:t>
      </w:r>
      <w:r>
        <w:t xml:space="preserve"> </w:t>
      </w:r>
      <w:r>
        <w:t xml:space="preserve">wavelengths across — and cranking the frequency up doesn’t rescue you, it just changes</w:t>
      </w:r>
      <w:r>
        <w:t xml:space="preserve"> </w:t>
      </w:r>
      <w:r>
        <w:t xml:space="preserve">what that means in metres, from absurd to merely impossible.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</w:t>
      </w:r>
      <w:r>
        <w:t xml:space="preserve"> </w:t>
      </w:r>
      <w:r>
        <w:t xml:space="preserve">wave stretches and squeezes things, it doesn’t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them; to push, the asteroid would</w:t>
      </w:r>
      <w:r>
        <w:t xml:space="preserve"> </w:t>
      </w:r>
      <w:r>
        <w:t xml:space="preserve">have to 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we’re roughly forty</w:t>
      </w:r>
      <w:r>
        <w:t xml:space="preserve"> </w:t>
      </w:r>
      <w:r>
        <w:t xml:space="preserve">orders of magnitude short on raw power. For scale, NASA’s DART mission actually shifted an</w:t>
      </w:r>
      <w:r>
        <w:t xml:space="preserve"> </w:t>
      </w:r>
      <w:r>
        <w:t xml:space="preserve">asteroid in 2022 by flying a spacecraft into it, and even that delivered about a thousand</w:t>
      </w:r>
      <w:r>
        <w:t xml:space="preserve"> </w:t>
      </w:r>
      <w:r>
        <w:t xml:space="preserve">times less push than the job needs. The rule we’ve written into the project:</w:t>
      </w:r>
      <w:r>
        <w:t xml:space="preserve"> </w:t>
      </w:r>
      <w:r>
        <w:rPr>
          <w:b/>
          <w:bCs/>
        </w:rPr>
        <w:t xml:space="preserve">if a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 ever makes one of these walls vanish, we assume the change is broken, not that we</w:t>
      </w:r>
      <w:r>
        <w:rPr>
          <w:b/>
          <w:bCs/>
        </w:rPr>
        <w:t xml:space="preserve"> </w:t>
      </w:r>
      <w:r>
        <w:rPr>
          <w:b/>
          <w:bCs/>
        </w:rPr>
        <w:t xml:space="preserve">solved it.</w:t>
      </w:r>
    </w:p>
    <w:bookmarkEnd w:id="21"/>
    <w:bookmarkStart w:id="22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2"/>
    <w:bookmarkStart w:id="23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 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5"/>
    <w:bookmarkStart w:id="35" w:name="methods"/>
    <w:p>
      <w:pPr>
        <w:pStyle w:val="Heading2"/>
      </w:pPr>
      <w:r>
        <w:t xml:space="preserve">Methods</w:t>
      </w:r>
    </w:p>
    <w:bookmarkStart w:id="26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6"/>
    <w:bookmarkStart w:id="27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7"/>
    <w:bookmarkStart w:id="28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8"/>
    <w:bookmarkStart w:id="29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 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29"/>
    <w:bookmarkStart w:id="30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0"/>
    <w:bookmarkStart w:id="31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1"/>
    <w:bookmarkStart w:id="32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2"/>
    <w:bookmarkStart w:id="33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3"/>
    <w:bookmarkStart w:id="34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6"/>
    <w:bookmarkStart w:id="37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Misner, C. W., Thorne, K. S. &amp; Wheeler, J. A.</w:t>
      </w:r>
      <w:r>
        <w:t xml:space="preserve"> </w:t>
      </w:r>
      <w:r>
        <w:rPr>
          <w:i/>
          <w:iCs/>
        </w:rPr>
        <w:t xml:space="preserve">Gravitation</w:t>
      </w:r>
      <w:r>
        <w:t xml:space="preserve"> </w:t>
      </w:r>
      <w:r>
        <w:t xml:space="preserve">(Freeman, 1973).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Dolph, C. L. A current distribution for broadside arrays.</w:t>
      </w:r>
      <w:r>
        <w:t xml:space="preserve"> </w:t>
      </w:r>
      <w:r>
        <w:rPr>
          <w:i/>
          <w:iCs/>
        </w:rPr>
        <w:t xml:space="preserve">Proc. IRE</w:t>
      </w:r>
      <w:r>
        <w:t xml:space="preserve"> </w:t>
      </w:r>
      <w:r>
        <w:rPr>
          <w:b/>
          <w:bCs/>
        </w:rPr>
        <w:t xml:space="preserve">34</w:t>
      </w:r>
      <w:r>
        <w:t xml:space="preserve">, 335–348</w:t>
      </w:r>
      <w:r>
        <w:t xml:space="preserve"> </w:t>
      </w:r>
      <w:r>
        <w:t xml:space="preserve">(1946).</w:t>
      </w:r>
      <w:r>
        <w:t xml:space="preserve"> </w:t>
      </w:r>
      <w:r>
        <w:rPr>
          <w:i/>
          <w:iCs/>
        </w:rPr>
        <w:t xml:space="preserve">(In-paper equation numbers unconfirmed; implemented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scipy.signal.windows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Taylor, T. T. Design of line-source antennas for narrow beamwidth and low side lobes.</w:t>
      </w:r>
      <w:r>
        <w:t xml:space="preserve"> </w:t>
      </w:r>
      <w:r>
        <w:rPr>
          <w:i/>
          <w:iCs/>
        </w:rPr>
        <w:t xml:space="preserve">IRE Trans. Antennas Propag.</w:t>
      </w:r>
      <w:r>
        <w:t xml:space="preserve"> </w:t>
      </w:r>
      <w:r>
        <w:rPr>
          <w:b/>
          <w:bCs/>
        </w:rPr>
        <w:t xml:space="preserve">3</w:t>
      </w:r>
      <w:r>
        <w:t xml:space="preserve">, 16–28 (1955).</w:t>
      </w:r>
      <w:r>
        <w:t xml:space="preserve"> </w:t>
      </w:r>
      <w:r>
        <w:rPr>
          <w:i/>
          <w:iCs/>
        </w:rPr>
        <w:t xml:space="preserve">(As ref. 21.)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Placeholder.</w:t>
      </w:r>
    </w:p>
    <w:bookmarkEnd w:id="39"/>
    <w:bookmarkStart w:id="4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Placeholder — use CRediT taxonomy. Must be reconciled with the repository’s commit</w:t>
      </w:r>
      <w:r>
        <w:rPr>
          <w:i/>
          <w:iCs/>
        </w:rPr>
        <w:t xml:space="preserve"> </w:t>
      </w:r>
      <w:r>
        <w:rPr>
          <w:i/>
          <w:iCs/>
        </w:rPr>
        <w:t xml:space="preserve">provenance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CITATION.cff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submission.</w:t>
      </w:r>
    </w:p>
    <w:bookmarkEnd w:id="40"/>
    <w:bookmarkStart w:id="41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  <w:r>
        <w:t xml:space="preserve"> </w:t>
      </w:r>
      <w:r>
        <w:rPr>
          <w:i/>
          <w:iCs/>
        </w:rPr>
        <w:t xml:space="preserve">(Confirm before submission; note the</w:t>
      </w:r>
      <w:r>
        <w:rPr>
          <w:i/>
          <w:iCs/>
        </w:rPr>
        <w:t xml:space="preserve"> </w:t>
      </w:r>
      <w:r>
        <w:rPr>
          <w:i/>
          <w:iCs/>
        </w:rPr>
        <w:t xml:space="preserve">Apache-2.0 patent grant in Code availability.)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Standard journal declarations, not yet filled in. The last one</w:t>
      </w:r>
      <w:r>
        <w:t xml:space="preserve"> </w:t>
      </w:r>
      <w:r>
        <w:t xml:space="preserve">states that nobody stands to profit in a way that might bias the results — flagged for</w:t>
      </w:r>
      <w:r>
        <w:t xml:space="preserve"> </w:t>
      </w:r>
      <w:r>
        <w:t xml:space="preserve">confirmation before submission, given the patent grant mentioned above.</w:t>
      </w:r>
    </w:p>
    <w:p>
      <w:r>
        <w:pict>
          <v:rect style="width:0;height:1.5pt" o:hralign="center" o:hrstd="t" o:hr="t"/>
        </w:pict>
      </w:r>
    </w:p>
    <w:bookmarkEnd w:id="41"/>
    <w:bookmarkStart w:id="68" w:name="display-items"/>
    <w:p>
      <w:pPr>
        <w:pStyle w:val="Heading2"/>
      </w:pPr>
      <w:r>
        <w:t xml:space="preserve">Display items</w:t>
      </w:r>
    </w:p>
    <w:bookmarkStart w:id="42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2"/>
    <w:bookmarkStart w:id="43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3"/>
    <w:bookmarkStart w:id="44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4"/>
    <w:bookmarkStart w:id="66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drawing>
          <wp:inline>
            <wp:extent cx="5334000" cy="535441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paper/campaign/fig1_architectu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s/paper/campaign/fig2_provenan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ocs/paper/campaign/fig3_mismatc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is complete</w:t>
      </w:r>
      <w:r>
        <w:t xml:space="preserve"> </w:t>
      </w:r>
      <w:r>
        <w:t xml:space="preserve">at every N 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ocs/paper/campaign/fig4_alignmen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ocs/paper/campaign/fig5_degenerac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505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paper/campaign/fig6_focu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ocs/paper/campaign/fig7_wall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66"/>
    <w:bookmarkStart w:id="67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3–7.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69"/>
    <w:bookmarkStart w:id="70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CITATION.cff</w:t>
      </w:r>
      <w:r>
        <w:rPr>
          <w:b/>
          <w:bCs/>
        </w:rPr>
        <w:t xml:space="preserve">, no author list, no CRediT table.</w:t>
      </w:r>
      <w:r>
        <w:t xml:space="preserve"> </w:t>
      </w:r>
      <w:r>
        <w:t xml:space="preserve">A manuscript about provenance</w:t>
      </w:r>
      <w:r>
        <w:t xml:space="preserve"> </w:t>
      </w:r>
      <w:r>
        <w:t xml:space="preserve">discipline that cannot state its own authorship provenance is self-refuting.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25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Reference 8</w:t>
      </w:r>
      <w:r>
        <w:t xml:space="preserve"> </w:t>
      </w:r>
      <w:r>
        <w:t xml:space="preserve">(DART) and any other</w:t>
      </w:r>
      <w:r>
        <w:t xml:space="preserve"> </w:t>
      </w:r>
      <w:r>
        <w:rPr>
          <w:rStyle w:val="VerbatimChar"/>
        </w:rPr>
        <w:t xml:space="preserve">[complete]</w:t>
      </w:r>
      <w:r>
        <w:t xml:space="preserve"> </w:t>
      </w:r>
      <w:r>
        <w:t xml:space="preserve">marker need volume/page verification</w:t>
      </w:r>
      <w:r>
        <w:t xml:space="preserve"> </w:t>
      </w:r>
      <w:r>
        <w:t xml:space="preserve">against the published record, not against memory.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2026-08-06T19:06:16Z</dcterms:created>
  <dcterms:modified xsi:type="dcterms:W3CDTF">2026-08-06T19:06:16Z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