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0" w:name="Xf461e95384ea953e38f74659cc2270f636b595b"/>
    <w:p>
      <w:pPr>
        <w:pStyle w:val="Heading1"/>
      </w:pPr>
      <w:r>
        <w:t xml:space="preserve">Provenance-enforced simulation of engineered gravitational radiation: a spin-2 phased-array framework with a quantified feasibility ledger</w:t>
      </w:r>
    </w:p>
    <w:p>
      <w:pPr>
        <w:pStyle w:val="FirstParagraph"/>
      </w:pPr>
      <w:r>
        <w:rPr>
          <w:b/>
          <w:bCs/>
        </w:rPr>
        <w:t xml:space="preserve">DRAFT — not for circulation.</w:t>
      </w:r>
      <w:r>
        <w:t xml:space="preserve"> </w:t>
      </w:r>
      <w:r>
        <w:t xml:space="preserve">Target format: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Article (Main ≤ 3,000 words;</w:t>
      </w:r>
      <w:r>
        <w:t xml:space="preserve"> </w:t>
      </w:r>
      <w:r>
        <w:t xml:space="preserve">Methods unlimited; ≤ 50 references; ≤ 6 display items in the main text; Extended Data</w:t>
      </w:r>
      <w:r>
        <w:t xml:space="preserve"> </w:t>
      </w:r>
      <w:r>
        <w:t xml:space="preserve">≤ 10 items). Section headings follow</w:t>
      </w:r>
      <w:r>
        <w:t xml:space="preserve"> </w:t>
      </w:r>
      <w:r>
        <w:rPr>
          <w:i/>
          <w:iCs/>
        </w:rPr>
        <w:t xml:space="preserve">Nature</w:t>
      </w:r>
      <w:r>
        <w:t xml:space="preserve">’s Article template.</w:t>
      </w:r>
    </w:p>
    <w:p>
      <w:pPr>
        <w:pStyle w:val="BlockText"/>
      </w:pPr>
      <w:r>
        <w:rPr>
          <w:b/>
          <w:bCs/>
        </w:rPr>
        <w:t xml:space="preserve">Reading note.</w:t>
      </w:r>
      <w:r>
        <w:t xml:space="preserve"> </w:t>
      </w:r>
      <w:r>
        <w:t xml:space="preserve">Every paragraph of content in this draft is followed by a</w:t>
      </w:r>
      <w:r>
        <w:t xml:space="preserve"> </w:t>
      </w:r>
      <w:r>
        <w:rPr>
          <w:b/>
          <w:bCs/>
          <w:i/>
          <w:iCs/>
        </w:rPr>
        <w:t xml:space="preserve">Non-expert summary</w:t>
      </w:r>
      <w:r>
        <w:t xml:space="preserve"> </w:t>
      </w:r>
      <w:r>
        <w:t xml:space="preserve">— a plain-language restatement of what that paragraph says,</w:t>
      </w:r>
      <w:r>
        <w:t xml:space="preserve"> </w:t>
      </w:r>
      <w:r>
        <w:t xml:space="preserve">written for a reader with no physics training. These are</w:t>
      </w:r>
      <w:r>
        <w:t xml:space="preserve"> </w:t>
      </w:r>
      <w:r>
        <w:rPr>
          <w:b/>
          <w:bCs/>
        </w:rPr>
        <w:t xml:space="preserve">drafting aids, not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</w:t>
      </w:r>
      <w:r>
        <w:t xml:space="preserve">, and must be stripped before submission. They exist so that a</w:t>
      </w:r>
      <w:r>
        <w:t xml:space="preserve"> </w:t>
      </w:r>
      <w:r>
        <w:t xml:space="preserve">non-specialist author, collaborator, or reviewer can follow the argument end to end and</w:t>
      </w:r>
      <w:r>
        <w:t xml:space="preserve"> </w:t>
      </w:r>
      <w:r>
        <w:t xml:space="preserve">challenge it. If a summary and its paragraph disagree, the paragraph is what the</w:t>
      </w:r>
      <w:r>
        <w:t xml:space="preserve"> </w:t>
      </w:r>
      <w:r>
        <w:t xml:space="preserve">manuscript claims — but the disagreement is a bug worth chasing, because it usually</w:t>
      </w:r>
      <w:r>
        <w:t xml:space="preserve"> </w:t>
      </w:r>
      <w:r>
        <w:t xml:space="preserve">means the paragraph is unclear rather than that the summary is wrong.</w:t>
      </w:r>
    </w:p>
    <w:p>
      <w:pPr>
        <w:pStyle w:val="BlockText"/>
      </w:pPr>
      <w:r>
        <w:rPr>
          <w:b/>
          <w:bCs/>
        </w:rPr>
        <w:t xml:space="preserve">Status of this draft.</w:t>
      </w:r>
      <w:r>
        <w:t xml:space="preserve"> </w:t>
      </w:r>
      <w:r>
        <w:t xml:space="preserve">The Main, Discussion and Methods are written.</w:t>
      </w:r>
      <w:r>
        <w:t xml:space="preserve"> </w:t>
      </w:r>
      <w:r>
        <w:rPr>
          <w:b/>
          <w:bCs/>
        </w:rPr>
        <w:t xml:space="preserve">The Results</w:t>
      </w:r>
      <w:r>
        <w:rPr>
          <w:b/>
          <w:bCs/>
        </w:rPr>
        <w:t xml:space="preserve"> </w:t>
      </w:r>
      <w:r>
        <w:rPr>
          <w:b/>
          <w:bCs/>
        </w:rPr>
        <w:t xml:space="preserve">section is a pre-registered stub</w:t>
      </w:r>
      <w:r>
        <w:t xml:space="preserve"> </w:t>
      </w:r>
      <w:r>
        <w:t xml:space="preserve">(§Results below): every subsection states the</w:t>
      </w:r>
      <w:r>
        <w:t xml:space="preserve"> </w:t>
      </w:r>
      <w:r>
        <w:t xml:space="preserve">quantity to be reported, the run that produces it, the tolerance that would falsify</w:t>
      </w:r>
      <w:r>
        <w:t xml:space="preserve"> </w:t>
      </w:r>
      <w:r>
        <w:t xml:space="preserve">it, and the display item it lands in — but no numbers from campaign runs are entered</w:t>
      </w:r>
      <w:r>
        <w:t xml:space="preserve"> </w:t>
      </w:r>
      <w:r>
        <w:t xml:space="preserve">yet. Numbers that appear anywhere in this draft are</w:t>
      </w:r>
      <w:r>
        <w:t xml:space="preserve"> </w:t>
      </w:r>
      <w:r>
        <w:rPr>
          <w:b/>
          <w:bCs/>
        </w:rPr>
        <w:t xml:space="preserve">already-committed test and</w:t>
      </w:r>
      <w:r>
        <w:rPr>
          <w:b/>
          <w:bCs/>
        </w:rPr>
        <w:t xml:space="preserve"> </w:t>
      </w:r>
      <w:r>
        <w:rPr>
          <w:b/>
          <w:bCs/>
        </w:rPr>
        <w:t xml:space="preserve">benchmark outputs</w:t>
      </w:r>
      <w:r>
        <w:t xml:space="preserve"> </w:t>
      </w:r>
      <w:r>
        <w:t xml:space="preserve">from the repository, not campaign results, and each is traceable</w:t>
      </w:r>
      <w:r>
        <w:t xml:space="preserve"> </w:t>
      </w:r>
      <w:r>
        <w:t xml:space="preserve">to a named test. See §</w:t>
      </w:r>
      <w:r>
        <w:t xml:space="preserve">“Numbers in this draft”</w:t>
      </w:r>
      <w:r>
        <w:t xml:space="preserve"> </w:t>
      </w:r>
      <w:r>
        <w:t xml:space="preserve">for the distinction and the audit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paper is half-written on purpose. The parts explaining</w:t>
      </w:r>
      <w:r>
        <w:t xml:space="preserve"> </w:t>
      </w:r>
      <w:r>
        <w:rPr>
          <w:i/>
          <w:iCs/>
        </w:rPr>
        <w:t xml:space="preserve">what we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works</w:t>
      </w:r>
      <w:r>
        <w:t xml:space="preserve"> </w:t>
      </w:r>
      <w:r>
        <w:t xml:space="preserve">are done. The part reporting</w:t>
      </w:r>
      <w:r>
        <w:t xml:space="preserve"> </w:t>
      </w:r>
      <w:r>
        <w:rPr>
          <w:i/>
          <w:iCs/>
        </w:rPr>
        <w:t xml:space="preserve">what we found when we</w:t>
      </w:r>
      <w:r>
        <w:rPr>
          <w:i/>
          <w:iCs/>
        </w:rPr>
        <w:t xml:space="preserve"> </w:t>
      </w:r>
      <w:r>
        <w:rPr>
          <w:i/>
          <w:iCs/>
        </w:rPr>
        <w:t xml:space="preserve">ran it</w:t>
      </w:r>
      <w:r>
        <w:t xml:space="preserve"> </w:t>
      </w:r>
      <w:r>
        <w:t xml:space="preserve">is deliberately left as an empty, pre-filled-in outline — we wrote down what</w:t>
      </w:r>
      <w:r>
        <w:t xml:space="preserve"> </w:t>
      </w:r>
      <w:r>
        <w:t xml:space="preserve">we’re going to measure and what result would prove us wrong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running anything,</w:t>
      </w:r>
      <w:r>
        <w:t xml:space="preserve"> </w:t>
      </w:r>
      <w:r>
        <w:t xml:space="preserve">so we can’t quietly move the goalposts later. Any number you see in this draft today</w:t>
      </w:r>
      <w:r>
        <w:t xml:space="preserve"> </w:t>
      </w:r>
      <w:r>
        <w:t xml:space="preserve">comes from a test that already runs, not from a result we’re hoping for.</w:t>
      </w:r>
    </w:p>
    <w:p>
      <w:r>
        <w:pict>
          <v:rect style="width:0;height:1.5pt" o:hralign="center" o:hrstd="t" o:hr="t"/>
        </w:pict>
      </w:r>
    </w:p>
    <w:bookmarkStart w:id="9" w:name="author-list"/>
    <w:p>
      <w:pPr>
        <w:pStyle w:val="Heading2"/>
      </w:pPr>
      <w:r>
        <w:t xml:space="preserve">Author list</w:t>
      </w:r>
    </w:p>
    <w:p>
      <w:pPr>
        <w:pStyle w:val="FirstParagraph"/>
      </w:pPr>
      <w:r>
        <w:rPr>
          <w:i/>
          <w:iCs/>
        </w:rPr>
        <w:t xml:space="preserve">Placeholder — to be completed before submission.</w:t>
      </w:r>
    </w:p>
    <w:p>
      <w:pPr>
        <w:pStyle w:val="BodyText"/>
      </w:pPr>
      <w:r>
        <w:t xml:space="preserve">Author 1</w:t>
      </w:r>
      <w:r>
        <w:t xml:space="preserve">1</w:t>
      </w:r>
      <w:r>
        <w:t xml:space="preserve">, …</w:t>
      </w:r>
    </w:p>
    <w:p>
      <w:pPr>
        <w:pStyle w:val="BodyText"/>
      </w:pPr>
      <w:r>
        <w:t xml:space="preserve">1</w:t>
      </w:r>
      <w:r>
        <w:t xml:space="preserve">Affiliation.</w:t>
      </w:r>
    </w:p>
    <w:p>
      <w:pPr>
        <w:pStyle w:val="BodyText"/>
      </w:pPr>
      <w:r>
        <w:t xml:space="preserve">Correspondence: dpaulday@protonmail.com</w:t>
      </w:r>
    </w:p>
    <w:p>
      <w:pPr>
        <w:pStyle w:val="BodyText"/>
      </w:pPr>
      <w:r>
        <w:rPr>
          <w:i/>
          <w:iCs/>
        </w:rPr>
        <w:t xml:space="preserve">Note for the author list:</w:t>
      </w:r>
      <w:r>
        <w:t xml:space="preserve"> </w:t>
      </w:r>
      <w:r>
        <w:t xml:space="preserve">the repository’s contributor model is a long-horizon</w:t>
      </w:r>
      <w:r>
        <w:t xml:space="preserve"> </w:t>
      </w:r>
      <w:r>
        <w:t xml:space="preserve">(</w:t>
      </w:r>
      <w:r>
        <w:t xml:space="preserve">“cathedral”</w:t>
      </w:r>
      <w:r>
        <w:t xml:space="preserve">) one in which authorship will accrue across cohorts. A CRediT-style</w:t>
      </w:r>
      <w:r>
        <w:t xml:space="preserve"> </w:t>
      </w:r>
      <w:r>
        <w:t xml:space="preserve">contribution table plus a machine-readable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should be added to the</w:t>
      </w:r>
      <w:r>
        <w:t xml:space="preserve"> </w:t>
      </w:r>
      <w:r>
        <w:t xml:space="preserve">repository before submission so that the author list and the code’s own provenance</w:t>
      </w:r>
      <w:r>
        <w:t xml:space="preserve"> </w:t>
      </w:r>
      <w:r>
        <w:t xml:space="preserve">record cannot drift apart. This is currently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place and is a submission</w:t>
      </w:r>
      <w:r>
        <w:t xml:space="preserve"> </w:t>
      </w:r>
      <w:r>
        <w:t xml:space="preserve">blocker, not an editorial nicety.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haven’t finished the author list. This project is designed</w:t>
      </w:r>
      <w:r>
        <w:t xml:space="preserve"> </w:t>
      </w:r>
      <w:r>
        <w:t xml:space="preserve">to outlive the people who started it, so contributors will keep joining for years, and we</w:t>
      </w:r>
      <w:r>
        <w:t xml:space="preserve"> </w:t>
      </w:r>
      <w:r>
        <w:t xml:space="preserve">need a formal, machine-readable record of who did what — kept in the code itself, so it</w:t>
      </w:r>
      <w:r>
        <w:t xml:space="preserve"> </w:t>
      </w:r>
      <w:r>
        <w:t xml:space="preserve">can’t drift out of sync with the paper. That file doesn’t exist yet, and we’re calling</w:t>
      </w:r>
      <w:r>
        <w:t xml:space="preserve"> </w:t>
      </w:r>
      <w:r>
        <w:t xml:space="preserve">that a genuine blocker rather than paperwork, because a paper whose whole argument is</w:t>
      </w:r>
      <w:r>
        <w:t xml:space="preserve"> </w:t>
      </w:r>
      <w:r>
        <w:t xml:space="preserve">“track where everything came from”</w:t>
      </w:r>
      <w:r>
        <w:t xml:space="preserve"> </w:t>
      </w:r>
      <w:r>
        <w:t xml:space="preserve">would look ridiculous if it couldn’t track its own</w:t>
      </w:r>
      <w:r>
        <w:t xml:space="preserve"> </w:t>
      </w:r>
      <w:r>
        <w:t xml:space="preserve">authors.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(target 150–200 words; current draft ≈ 195)</w:t>
      </w:r>
    </w:p>
    <w:p>
      <w:pPr>
        <w:pStyle w:val="BodyText"/>
      </w:pPr>
      <w:r>
        <w:t xml:space="preserve">Gravitational radiation is a spin-2 field, and the phased-array formalism that governs</w:t>
      </w:r>
      <w:r>
        <w:t xml:space="preserve"> </w:t>
      </w:r>
      <w:r>
        <w:t xml:space="preserve">coherent electromagnetic apertures does not carry over to it unchanged. We present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, an open-source framework that models the generation, propagation, coherent</w:t>
      </w:r>
      <w:r>
        <w:t xml:space="preserve"> </w:t>
      </w:r>
      <w:r>
        <w:t xml:space="preserve">superposition and target coupling of gravitational radiation from arrays of</w:t>
      </w:r>
      <w:r>
        <w:t xml:space="preserve"> </w:t>
      </w:r>
      <w:r>
        <w:t xml:space="preserve">controllably accelerated masses, together with the first systematic derivation of</w:t>
      </w:r>
      <w:r>
        <w:t xml:space="preserve"> </w:t>
      </w:r>
      <w:r>
        <w:t xml:space="preserve">array-theoretic quantities — element mismatch, array gain, alignment tolerance,</w:t>
      </w:r>
      <w:r>
        <w:t xml:space="preserve"> </w:t>
      </w:r>
      <w:r>
        <w:t xml:space="preserve">focusing phase — for a spin-2 rather than a spin-1 field. Polarization rotates as</w:t>
      </w:r>
      <w:r>
        <w:t xml:space="preserve"> </w:t>
      </w:r>
      <w:r>
        <w:t xml:space="preserve">e^(2iψ), so the element-to-element mismatch factor is cos(2Δψ) rather than cos(Δψ);</w:t>
      </w:r>
      <w:r>
        <w:t xml:space="preserve"> </w:t>
      </w:r>
      <w:r>
        <w:t xml:space="preserve">elements 90° apart cancel completely where electromagnetic intuition predicts a</w:t>
      </w:r>
      <w:r>
        <w:t xml:space="preserve"> </w:t>
      </w:r>
      <w:r>
        <w:t xml:space="preserve">doubling of power, and the orientation tolerance for 1% gain loss is exactly twice as</w:t>
      </w:r>
      <w:r>
        <w:t xml:space="preserve"> </w:t>
      </w:r>
      <w:r>
        <w:t xml:space="preserve">tight. Because such results have no external reference implementation to check against,</w:t>
      </w:r>
      <w:r>
        <w:t xml:space="preserve"> </w:t>
      </w:r>
      <w:r>
        <w:t xml:space="preserve">the framework’s second contribution is architectural: every implemented equation carries</w:t>
      </w:r>
      <w:r>
        <w:t xml:space="preserve"> </w:t>
      </w:r>
      <w:r>
        <w:t xml:space="preserve">a machine-checked citation to a numbered equation in an open-access source, every claim</w:t>
      </w:r>
      <w:r>
        <w:t xml:space="preserve"> </w:t>
      </w:r>
      <w:r>
        <w:t xml:space="preserve">is registered as established, derived or conjectural, every approximation is recorded</w:t>
      </w:r>
      <w:r>
        <w:t xml:space="preserve"> </w:t>
      </w:r>
      <w:r>
        <w:t xml:space="preserve">with the regime in which it fails, and results computed from momentum-non-conserving</w:t>
      </w:r>
      <w:r>
        <w:t xml:space="preserve"> </w:t>
      </w:r>
      <w:r>
        <w:t xml:space="preserve">sources are cryptographically inseparable from an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provenance stamp.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gravitational waves; linearized gravity; phased arrays; spin-2 fields;</w:t>
      </w:r>
      <w:r>
        <w:t xml:space="preserve"> </w:t>
      </w:r>
      <w:r>
        <w:t xml:space="preserve">research software engineering; computational reproducibility; planetary defence.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Radio engineers know how to combine many antennas so their</w:t>
      </w:r>
      <w:r>
        <w:t xml:space="preserve"> </w:t>
      </w:r>
      <w:r>
        <w:t xml:space="preserve">signals reinforce each other in one direction — that’s a</w:t>
      </w:r>
      <w:r>
        <w:t xml:space="preserve"> </w:t>
      </w:r>
      <w:r>
        <w:t xml:space="preserve">“phased array,”</w:t>
      </w:r>
      <w:r>
        <w:t xml:space="preserve"> </w:t>
      </w:r>
      <w:r>
        <w:t xml:space="preserve">the technology</w:t>
      </w:r>
      <w:r>
        <w:t xml:space="preserve"> </w:t>
      </w:r>
      <w:r>
        <w:t xml:space="preserve">behind radar and 5G. We asked whether the same trick works for gravitational waves</w:t>
      </w:r>
      <w:r>
        <w:t xml:space="preserve"> </w:t>
      </w:r>
      <w:r>
        <w:t xml:space="preserve">(ripples in space itself). The answer is</w:t>
      </w:r>
      <w:r>
        <w:t xml:space="preserve"> </w:t>
      </w:r>
      <w:r>
        <w:rPr>
          <w:b/>
          <w:bCs/>
        </w:rPr>
        <w:t xml:space="preserve">yes, but the rules are different</w:t>
      </w:r>
      <w:r>
        <w:t xml:space="preserve">, because</w:t>
      </w:r>
      <w:r>
        <w:t xml:space="preserve"> </w:t>
      </w:r>
      <w:r>
        <w:t xml:space="preserve">gravity’s waves have a different symmetry from radio waves. Concretely: two gravitational</w:t>
      </w:r>
      <w:r>
        <w:t xml:space="preserve"> </w:t>
      </w:r>
      <w:r>
        <w:t xml:space="preserve">emitters turned 90° apart from each other</w:t>
      </w:r>
      <w:r>
        <w:t xml:space="preserve"> </w:t>
      </w:r>
      <w:r>
        <w:rPr>
          <w:b/>
          <w:bCs/>
        </w:rPr>
        <w:t xml:space="preserve">cancel out to nothing</w:t>
      </w:r>
      <w:r>
        <w:t xml:space="preserve">, whereas two radio</w:t>
      </w:r>
      <w:r>
        <w:t xml:space="preserve"> </w:t>
      </w:r>
      <w:r>
        <w:t xml:space="preserve">antennas in the same arrangement would give you double the power. Get that wrong and your</w:t>
      </w:r>
      <w:r>
        <w:t xml:space="preserve"> </w:t>
      </w:r>
      <w:r>
        <w:t xml:space="preserve">array radiates silence while you confidently expect twice the output. Since nobody has</w:t>
      </w:r>
      <w:r>
        <w:t xml:space="preserve"> </w:t>
      </w:r>
      <w:r>
        <w:t xml:space="preserve">built one of these, there’s no existing software to check our answers against — so the</w:t>
      </w:r>
      <w:r>
        <w:t xml:space="preserve"> </w:t>
      </w:r>
      <w:r>
        <w:t xml:space="preserve">paper’s second half is about making the code itself auditable: every formula must cite a</w:t>
      </w:r>
      <w:r>
        <w:t xml:space="preserve"> </w:t>
      </w:r>
      <w:r>
        <w:t xml:space="preserve">specific numbered equation in a paper anyone can open, and any result computed from a</w:t>
      </w:r>
      <w:r>
        <w:t xml:space="preserve"> </w:t>
      </w:r>
      <w:r>
        <w:t xml:space="preserve">physically impossible setup gets permanently branded as such, in a way the software will</w:t>
      </w:r>
      <w:r>
        <w:t xml:space="preserve"> </w:t>
      </w:r>
      <w:r>
        <w:t xml:space="preserve">not let you remove.</w:t>
      </w:r>
    </w:p>
    <w:p>
      <w:r>
        <w:pict>
          <v:rect style="width:0;height:1.5pt" o:hralign="center" o:hrstd="t" o:hr="t"/>
        </w:pict>
      </w:r>
    </w:p>
    <w:bookmarkEnd w:id="10"/>
    <w:bookmarkStart w:id="15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detection of gravitational waves</w:t>
      </w:r>
      <w:r>
        <w:t xml:space="preserve">1</w:t>
      </w:r>
      <w:r>
        <w:t xml:space="preserve"> </w:t>
      </w:r>
      <w:r>
        <w:t xml:space="preserve">established that spacetime strain</w:t>
      </w:r>
      <w:r>
        <w:t xml:space="preserve"> </w:t>
      </w:r>
      <w:r>
        <w:t xml:space="preserve">propagates, superposes and can be measured. It did not establish that gravitational</w:t>
      </w:r>
      <w:r>
        <w:t xml:space="preserve"> </w:t>
      </w:r>
      <w:r>
        <w:t xml:space="preserve">radiation can be</w:t>
      </w:r>
      <w:r>
        <w:t xml:space="preserve"> </w:t>
      </w:r>
      <w:r>
        <w:rPr>
          <w:i/>
          <w:iCs/>
        </w:rPr>
        <w:t xml:space="preserve">engineered</w:t>
      </w:r>
      <w:r>
        <w:t xml:space="preserve"> </w:t>
      </w:r>
      <w:r>
        <w:t xml:space="preserve">— deliberately generated, phased, steered and delivered.</w:t>
      </w:r>
      <w:r>
        <w:t xml:space="preserve"> </w:t>
      </w:r>
      <w:r>
        <w:t xml:space="preserve">That question is treated seriously in only a small and uneven literature, and it is</w:t>
      </w:r>
      <w:r>
        <w:t xml:space="preserve"> </w:t>
      </w:r>
      <w:r>
        <w:t xml:space="preserve">adjacent to a body of work on</w:t>
      </w:r>
      <w:r>
        <w:t xml:space="preserve"> </w:t>
      </w:r>
      <w:r>
        <w:t xml:space="preserve">“high-frequency gravitational waves”</w:t>
      </w:r>
      <w:r>
        <w:t xml:space="preserve"> </w:t>
      </w:r>
      <w:r>
        <w:t xml:space="preserve">that a JASON review</w:t>
      </w:r>
      <w:r>
        <w:t xml:space="preserve"> </w:t>
      </w:r>
      <w:r>
        <w:t xml:space="preserve">commissioned by the U.S. Office of the Director of National Intelligence found to be</w:t>
      </w:r>
      <w:r>
        <w:t xml:space="preserve"> </w:t>
      </w:r>
      <w:r>
        <w:t xml:space="preserve">fundamentally in error</w:t>
      </w:r>
      <w:r>
        <w:t xml:space="preserve">2</w:t>
      </w:r>
      <w:r>
        <w:t xml:space="preserve">. The credible prior art on deliberately generated</w:t>
      </w:r>
      <w:r>
        <w:t xml:space="preserve"> </w:t>
      </w:r>
      <w:r>
        <w:t xml:space="preserve">gravitational radiation is narrow — the electromagnetic-cavity emission analysis of</w:t>
      </w:r>
      <w:r>
        <w:t xml:space="preserve"> </w:t>
      </w:r>
      <w:r>
        <w:t xml:space="preserve">Grishchuk and Sazhin</w:t>
      </w:r>
      <w:r>
        <w:t xml:space="preserve">3</w:t>
      </w:r>
      <w:r>
        <w:t xml:space="preserve"> </w:t>
      </w:r>
      <w:r>
        <w:t xml:space="preserve">is its canonical entry.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In 2015 scientists finally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gravitational waves</w:t>
      </w:r>
      <w:r>
        <w:t xml:space="preserve"> </w:t>
      </w:r>
      <w:r>
        <w:t xml:space="preserve">arriving from colliding black holes, which proved these ripples are real and behave as</w:t>
      </w:r>
      <w:r>
        <w:t xml:space="preserve"> </w:t>
      </w:r>
      <w:r>
        <w:t xml:space="preserve">predicted. That is very different from being able to</w:t>
      </w:r>
      <w:r>
        <w:t xml:space="preserve"> </w:t>
      </w:r>
      <w:r>
        <w:rPr>
          <w:i/>
          <w:iCs/>
        </w:rPr>
        <w:t xml:space="preserve">make</w:t>
      </w:r>
      <w:r>
        <w:t xml:space="preserve"> </w:t>
      </w:r>
      <w:r>
        <w:t xml:space="preserve">them on purpose and aim them</w:t>
      </w:r>
      <w:r>
        <w:t xml:space="preserve"> </w:t>
      </w:r>
      <w:r>
        <w:t xml:space="preserve">somewhere. Almost nobody has studied the</w:t>
      </w:r>
      <w:r>
        <w:t xml:space="preserve"> </w:t>
      </w:r>
      <w:r>
        <w:t xml:space="preserve">“make them”</w:t>
      </w:r>
      <w:r>
        <w:t xml:space="preserve"> </w:t>
      </w:r>
      <w:r>
        <w:t xml:space="preserve">question seriously — and the people</w:t>
      </w:r>
      <w:r>
        <w:t xml:space="preserve"> </w:t>
      </w:r>
      <w:r>
        <w:t xml:space="preserve">who claimed to have solved it were investigated by a US government scientific review panel</w:t>
      </w:r>
      <w:r>
        <w:t xml:space="preserve"> </w:t>
      </w:r>
      <w:r>
        <w:t xml:space="preserve">and found to be plainly wrong. So this is a field with a small amount of good work and a</w:t>
      </w:r>
      <w:r>
        <w:t xml:space="preserve"> </w:t>
      </w:r>
      <w:r>
        <w:t xml:space="preserve">notable amount of discredited work, which shapes everything that follows.</w:t>
      </w:r>
    </w:p>
    <w:p>
      <w:pPr>
        <w:pStyle w:val="BodyText"/>
      </w:pPr>
      <w:r>
        <w:t xml:space="preserve">This history creates an unusual methodological requirement. A framework in this problem</w:t>
      </w:r>
      <w:r>
        <w:t xml:space="preserve"> </w:t>
      </w:r>
      <w:r>
        <w:t xml:space="preserve">domain that reports a favourable number is, on its face, indistinguishable from the</w:t>
      </w:r>
      <w:r>
        <w:t xml:space="preserve"> </w:t>
      </w:r>
      <w:r>
        <w:t xml:space="preserve">discredited literature. The distinguishing property cannot be the result; it must be the</w:t>
      </w:r>
      <w:r>
        <w:t xml:space="preserve"> </w:t>
      </w:r>
      <w:r>
        <w:rPr>
          <w:i/>
          <w:iCs/>
        </w:rPr>
        <w:t xml:space="preserve">apparatus that produced the result</w:t>
      </w:r>
      <w:r>
        <w:t xml:space="preserve"> </w:t>
      </w:r>
      <w:r>
        <w:t xml:space="preserve">— specifically, whether that apparatus is capable</w:t>
      </w:r>
      <w:r>
        <w:t xml:space="preserve"> </w:t>
      </w:r>
      <w:r>
        <w:t xml:space="preserve">of stating its own distance from the claim it is adjacent to, and whether it can be</w:t>
      </w:r>
      <w:r>
        <w:t xml:space="preserve"> </w:t>
      </w:r>
      <w:r>
        <w:t xml:space="preserve">audited by a reader who does not trust its authors.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Here’s the awkward problem. If our software spits out an</w:t>
      </w:r>
      <w:r>
        <w:t xml:space="preserve"> </w:t>
      </w:r>
      <w:r>
        <w:t xml:space="preserve">encouraging number, that alone looks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like the discredited work — encouraging</w:t>
      </w:r>
      <w:r>
        <w:t xml:space="preserve"> </w:t>
      </w:r>
      <w:r>
        <w:t xml:space="preserve">numbers are what those people produced too. So a good result cannot be what makes us</w:t>
      </w:r>
      <w:r>
        <w:t xml:space="preserve"> </w:t>
      </w:r>
      <w:r>
        <w:t xml:space="preserve">credible. The only thing that can is the machinery: can the tool honestly report how far</w:t>
      </w:r>
      <w:r>
        <w:t xml:space="preserve"> </w:t>
      </w:r>
      <w:r>
        <w:t xml:space="preserve">short it falls, and can a total stranger who assumes we’re either fooling ourselves or</w:t>
      </w:r>
      <w:r>
        <w:t xml:space="preserve"> </w:t>
      </w:r>
      <w:r>
        <w:t xml:space="preserve">lying check every step? We designed for a hostile reader, not a friendly one.</w:t>
      </w:r>
    </w:p>
    <w:p>
      <w:pPr>
        <w:pStyle w:val="BodyText"/>
      </w:pPr>
      <w:r>
        <w:t xml:space="preserve">We therefore built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to two specifications simultaneously. As physics, it is a</w:t>
      </w:r>
      <w:r>
        <w:t xml:space="preserve"> </w:t>
      </w:r>
      <w:r>
        <w:t xml:space="preserve">linearized-gravity source-and-propagation code: retarded multipole expansion,</w:t>
      </w:r>
      <w:r>
        <w:t xml:space="preserve"> </w:t>
      </w:r>
      <w:r>
        <w:t xml:space="preserve">transverse-traceless projection, coherent superposition across an array of sources,</w:t>
      </w:r>
      <w:r>
        <w:t xml:space="preserve"> </w:t>
      </w:r>
      <w:r>
        <w:t xml:space="preserve">and explicit coupling channels at the target. As software, it is an</w:t>
      </w:r>
      <w:r>
        <w:t xml:space="preserve"> </w:t>
      </w:r>
      <w:r>
        <w:rPr>
          <w:i/>
          <w:iCs/>
        </w:rPr>
        <w:t xml:space="preserve">auditable</w:t>
      </w:r>
      <w:r>
        <w:t xml:space="preserve"> </w:t>
      </w:r>
      <w:r>
        <w:t xml:space="preserve">object:</w:t>
      </w:r>
      <w:r>
        <w:t xml:space="preserve"> </w:t>
      </w:r>
      <w:r>
        <w:t xml:space="preserve">citation discipline is enforced in continuous integration, claims are separated into</w:t>
      </w:r>
      <w:r>
        <w:t xml:space="preserve"> </w:t>
      </w:r>
      <w:r>
        <w:t xml:space="preserve">established physics, our derivations and open conjecture, approximations are catalogued</w:t>
      </w:r>
      <w:r>
        <w:t xml:space="preserve"> </w:t>
      </w:r>
      <w:r>
        <w:t xml:space="preserve">with their breakdown regimes, and a quantitative feasibility ledger is emitted on every</w:t>
      </w:r>
      <w:r>
        <w:t xml:space="preserve"> </w:t>
      </w:r>
      <w:r>
        <w:t xml:space="preserve">run stating how far the modelled configuration sits from the application it is motivated</w:t>
      </w:r>
      <w:r>
        <w:t xml:space="preserve"> </w:t>
      </w:r>
      <w:r>
        <w:t xml:space="preserve">by.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 the software has two jobs at once. Job one is ordinary</w:t>
      </w:r>
      <w:r>
        <w:t xml:space="preserve"> </w:t>
      </w:r>
      <w:r>
        <w:t xml:space="preserve">physics: work out what gravitational waves a set of moving masses produces, how those</w:t>
      </w:r>
      <w:r>
        <w:t xml:space="preserve"> </w:t>
      </w:r>
      <w:r>
        <w:t xml:space="preserve">waves travel, how they combine, and what they do on arrival. Job two is bookkeeping with</w:t>
      </w:r>
      <w:r>
        <w:t xml:space="preserve"> </w:t>
      </w:r>
      <w:r>
        <w:t xml:space="preserve">teeth: the code refuses to build unless every formula cites its source; claims are sorted</w:t>
      </w:r>
      <w:r>
        <w:t xml:space="preserve"> </w:t>
      </w:r>
      <w:r>
        <w:t xml:space="preserve">into</w:t>
      </w:r>
      <w:r>
        <w:t xml:space="preserve"> </w:t>
      </w:r>
      <w:r>
        <w:t xml:space="preserve">“textbook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and</w:t>
      </w:r>
      <w:r>
        <w:t xml:space="preserve"> </w:t>
      </w:r>
      <w:r>
        <w:t xml:space="preserve">“guess”</w:t>
      </w:r>
      <w:r>
        <w:t xml:space="preserve">; every simplifying assumption is</w:t>
      </w:r>
      <w:r>
        <w:t xml:space="preserve"> </w:t>
      </w:r>
      <w:r>
        <w:t xml:space="preserve">written down</w:t>
      </w:r>
      <w:r>
        <w:t xml:space="preserve"> </w:t>
      </w:r>
      <w:r>
        <w:rPr>
          <w:i/>
          <w:iCs/>
        </w:rPr>
        <w:t xml:space="preserve">along with the conditions under which it stops being true</w:t>
      </w:r>
      <w:r>
        <w:t xml:space="preserve">; and every single</w:t>
      </w:r>
      <w:r>
        <w:t xml:space="preserve"> </w:t>
      </w:r>
      <w:r>
        <w:t xml:space="preserve">run prints a scorecard of how far the design is from actually working.</w:t>
      </w:r>
    </w:p>
    <w:bookmarkStart w:id="11" w:name="X503e849f44b167e82c572d12356e3704fd023e6"/>
    <w:p>
      <w:pPr>
        <w:pStyle w:val="Heading3"/>
      </w:pPr>
      <w:r>
        <w:t xml:space="preserve">The physics gap that motivates the architecture</w:t>
      </w:r>
    </w:p>
    <w:p>
      <w:pPr>
        <w:pStyle w:val="FirstParagraph"/>
      </w:pPr>
      <w:r>
        <w:t xml:space="preserve">Three properties of the problem drive nearly every design decision.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facts about this particular physics problem dictated</w:t>
      </w:r>
      <w:r>
        <w:t xml:space="preserve"> </w:t>
      </w:r>
      <w:r>
        <w:t xml:space="preserve">almost every choice we made in building the software. They’re covered one at a time below.</w:t>
      </w:r>
    </w:p>
    <w:p>
      <w:pPr>
        <w:pStyle w:val="BodyText"/>
      </w:pPr>
      <w:r>
        <w:rPr>
          <w:b/>
          <w:bCs/>
        </w:rPr>
        <w:t xml:space="preserve">The regime is deeply linear.</w:t>
      </w:r>
      <w:r>
        <w:t xml:space="preserve"> </w:t>
      </w:r>
      <w:r>
        <w:t xml:space="preserve">Strains in any configuration this framework models are</w:t>
      </w:r>
      <w:r>
        <w:t xml:space="preserve"> </w:t>
      </w:r>
      <w:r>
        <w:t xml:space="preserve">of order h ~ 10⁻⁴⁰ — forty orders of magnitude inside the perturbative regime. Numerical</w:t>
      </w:r>
      <w:r>
        <w:t xml:space="preserve"> </w:t>
      </w:r>
      <w:r>
        <w:t xml:space="preserve">relativity, the standard tool for gravitational-wave source modelling, exists to handle</w:t>
      </w:r>
      <w:r>
        <w:t xml:space="preserve"> </w:t>
      </w:r>
      <w:r>
        <w:t xml:space="preserve">the strong-field region near merging compact objects and is the wrong instrument here:</w:t>
      </w:r>
      <w:r>
        <w:t xml:space="preserve"> </w:t>
      </w:r>
      <w:r>
        <w:t xml:space="preserve">it would solve a nonlinear partial differential equation to recover, at great cost, what</w:t>
      </w:r>
      <w:r>
        <w:t xml:space="preserve"> </w:t>
      </w:r>
      <w:r>
        <w:t xml:space="preserve">a linear integral gives exactly, on grids sized in geometric units of the source mass</w:t>
      </w:r>
      <w:r>
        <w:t xml:space="preserve"> </w:t>
      </w:r>
      <w:r>
        <w:t xml:space="preserve">rather than the 6 × 10¹² m of the engagement geometry. More importantly, linearity is</w:t>
      </w:r>
      <w:r>
        <w:t xml:space="preserve"> </w:t>
      </w:r>
      <w:r>
        <w:t xml:space="preserve">not a simplification we accept reluctantly.</w:t>
      </w:r>
      <w:r>
        <w:t xml:space="preserve"> </w:t>
      </w:r>
      <w:r>
        <w:rPr>
          <w:b/>
          <w:bCs/>
        </w:rPr>
        <w:t xml:space="preserve">Superposition holds exactly in the linear</w:t>
      </w:r>
      <w:r>
        <w:rPr>
          <w:b/>
          <w:bCs/>
        </w:rPr>
        <w:t xml:space="preserve"> </w:t>
      </w:r>
      <w:r>
        <w:rPr>
          <w:b/>
          <w:bCs/>
        </w:rPr>
        <w:t xml:space="preserve">regime, and without exact superposition the phrase</w:t>
      </w:r>
      <w:r>
        <w:rPr>
          <w:b/>
          <w:bCs/>
        </w:rPr>
        <w:t xml:space="preserve"> </w:t>
      </w:r>
      <w:r>
        <w:rPr>
          <w:b/>
          <w:bCs/>
        </w:rPr>
        <w:t xml:space="preserve">“phased array of gravitational-wave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has no referent.</w:t>
      </w:r>
      <w:r>
        <w:t xml:space="preserve"> </w:t>
      </w:r>
      <w:r>
        <w:t xml:space="preserve">The choice of formalism is what makes the concept coherent</w:t>
      </w:r>
      <w:r>
        <w:t xml:space="preserve"> </w:t>
      </w:r>
      <w:r>
        <w:t xml:space="preserve">enough to model 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effects here are unimaginably tiny — a number with forty</w:t>
      </w:r>
      <w:r>
        <w:t xml:space="preserve"> </w:t>
      </w:r>
      <w:r>
        <w:t xml:space="preserve">zeros after the decimal point. That’s actually good news, twice over. First, it means we</w:t>
      </w:r>
      <w:r>
        <w:t xml:space="preserve"> </w:t>
      </w:r>
      <w:r>
        <w:t xml:space="preserve">can skip the monstrously expensive supercomputer methods built for violent events like</w:t>
      </w:r>
      <w:r>
        <w:t xml:space="preserve"> </w:t>
      </w:r>
      <w:r>
        <w:t xml:space="preserve">black-hole collisions; those tools are designed for a regime we never come close to</w:t>
      </w:r>
      <w:r>
        <w:t xml:space="preserve"> </w:t>
      </w:r>
      <w:r>
        <w:t xml:space="preserve">entering, and using them here would be like running a crash simulation to work out how</w:t>
      </w:r>
      <w:r>
        <w:t xml:space="preserve"> </w:t>
      </w:r>
      <w:r>
        <w:t xml:space="preserve">much a feather bends. Second, and more importantly, when effects are this small they</w:t>
      </w:r>
      <w:r>
        <w:t xml:space="preserve"> </w:t>
      </w:r>
      <w:r>
        <w:t xml:space="preserve">simply</w:t>
      </w:r>
      <w:r>
        <w:t xml:space="preserve"> </w:t>
      </w:r>
      <w:r>
        <w:rPr>
          <w:b/>
          <w:bCs/>
        </w:rPr>
        <w:t xml:space="preserve">add together</w:t>
      </w:r>
      <w:r>
        <w:t xml:space="preserve">, cleanly and exactly. That matters enormously, because</w:t>
      </w:r>
      <w:r>
        <w:t xml:space="preserve"> </w:t>
      </w:r>
      <w:r>
        <w:t xml:space="preserve">“combine</w:t>
      </w:r>
      <w:r>
        <w:t xml:space="preserve"> </w:t>
      </w:r>
      <w:r>
        <w:t xml:space="preserve">many sources so they reinforce each other”</w:t>
      </w:r>
      <w:r>
        <w:t xml:space="preserve"> </w:t>
      </w:r>
      <w:r>
        <w:t xml:space="preserve">only means anything if the sources add. The</w:t>
      </w:r>
      <w:r>
        <w:t xml:space="preserve"> </w:t>
      </w:r>
      <w:r>
        <w:t xml:space="preserve">whole idea depends on being in this gentle regime.</w:t>
      </w:r>
    </w:p>
    <w:p>
      <w:pPr>
        <w:pStyle w:val="BodyText"/>
      </w:pPr>
      <w:r>
        <w:rPr>
          <w:b/>
          <w:bCs/>
        </w:rPr>
        <w:t xml:space="preserve">The leading radiation is quadrupolar, and this is a constraint on the concept, not a</w:t>
      </w:r>
      <w:r>
        <w:rPr>
          <w:b/>
          <w:bCs/>
        </w:rPr>
        <w:t xml:space="preserve"> </w:t>
      </w:r>
      <w:r>
        <w:rPr>
          <w:b/>
          <w:bCs/>
        </w:rPr>
        <w:t xml:space="preserve">detail of the implementation.</w:t>
      </w:r>
      <w:r>
        <w:t xml:space="preserve"> </w:t>
      </w:r>
      <w:r>
        <w:t xml:space="preserve">Expanding the retarded integral in multipoles, the mass</w:t>
      </w:r>
      <w:r>
        <w:t xml:space="preserve"> </w:t>
      </w:r>
      <w:r>
        <w:t xml:space="preserve">monopole is conserved and does not radiate; the mass dipole’s second derivative is the</w:t>
      </w:r>
      <w:r>
        <w:t xml:space="preserve"> </w:t>
      </w:r>
      <w:r>
        <w:t xml:space="preserve">net external force, which vanishes for an isolated system; the mass quadrupole is the</w:t>
      </w:r>
      <w:r>
        <w:t xml:space="preserve"> </w:t>
      </w:r>
      <w:r>
        <w:t xml:space="preserve">first non-vanishing term</w:t>
      </w:r>
      <w:r>
        <w:t xml:space="preserve">4</w:t>
      </w:r>
      <w:r>
        <w:t xml:space="preserve">. It is tempting, when modelling a mass that is</w:t>
      </w:r>
      <w:r>
        <w:t xml:space="preserve"> </w:t>
      </w:r>
      <w:r>
        <w:t xml:space="preserve">“made to accelerate”</w:t>
      </w:r>
      <w:r>
        <w:t xml:space="preserve">, to leave the accelerating agent out of the model. Doing so</w:t>
      </w:r>
      <w:r>
        <w:t xml:space="preserve"> </w:t>
      </w:r>
      <w:r>
        <w:t xml:space="preserve">silently breaks momentum conservation and promotes a mass-dipole term that is roughly</w:t>
      </w:r>
      <w:r>
        <w:t xml:space="preserve"> </w:t>
      </w:r>
      <w:r>
        <w:rPr>
          <w:b/>
          <w:bCs/>
        </w:rPr>
        <w:t xml:space="preserve">10¹⁰ times</w:t>
      </w:r>
      <w:r>
        <w:t xml:space="preserve"> </w:t>
      </w:r>
      <w:r>
        <w:t xml:space="preserve">the true quadrupole signal. That artifact does not present as a bug. It</w:t>
      </w:r>
      <w:r>
        <w:t xml:space="preserve"> </w:t>
      </w:r>
      <w:r>
        <w:t xml:space="preserve">presents as a breakthrough. Guarding against it is the single most load-bearing</w:t>
      </w:r>
      <w:r>
        <w:t xml:space="preserve"> </w:t>
      </w:r>
      <w:r>
        <w:t xml:space="preserve">requirement on the software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 hierarchy of ways an object can radiate gravity, and</w:t>
      </w:r>
      <w:r>
        <w:t xml:space="preserve"> </w:t>
      </w:r>
      <w:r>
        <w:t xml:space="preserve">nature switches off the two easiest ones. Simply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mass radiates nothing. Simply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t xml:space="preserve">radiates nothing either, as long as nothing outside your system is pushing. Only</w:t>
      </w:r>
      <w:r>
        <w:t xml:space="preserve"> </w:t>
      </w:r>
      <w:r>
        <w:t xml:space="preserve">the third-simplest motion — squeezing and stretching a shape — actually emits.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can fool yourself catastrophically.</w:t>
      </w:r>
      <w:r>
        <w:t xml:space="preserve"> </w:t>
      </w:r>
      <w:r>
        <w:t xml:space="preserve">If you model a mass being shoved but</w:t>
      </w:r>
      <w:r>
        <w:t xml:space="preserve"> </w:t>
      </w:r>
      <w:r>
        <w:t xml:space="preserve">“forget”</w:t>
      </w:r>
      <w:r>
        <w:t xml:space="preserve"> </w:t>
      </w:r>
      <w:r>
        <w:t xml:space="preserve">to include whatever is doing the shoving, the equations quietly hand you the</w:t>
      </w:r>
      <w:r>
        <w:t xml:space="preserve"> </w:t>
      </w:r>
      <w:r>
        <w:t xml:space="preserve">switched-off second option, and it’s about</w:t>
      </w:r>
      <w:r>
        <w:t xml:space="preserve"> </w:t>
      </w:r>
      <w:r>
        <w:rPr>
          <w:b/>
          <w:bCs/>
        </w:rPr>
        <w:t xml:space="preserve">ten billion times bigger</w:t>
      </w:r>
      <w:r>
        <w:t xml:space="preserve"> </w:t>
      </w:r>
      <w:r>
        <w:t xml:space="preserve">than the real</w:t>
      </w:r>
      <w:r>
        <w:t xml:space="preserve"> </w:t>
      </w:r>
      <w:r>
        <w:t xml:space="preserve">signal. It doesn’t look like a bug. It looks like you’ve discovered something</w:t>
      </w:r>
      <w:r>
        <w:t xml:space="preserve"> </w:t>
      </w:r>
      <w:r>
        <w:t xml:space="preserve">extraordinary. Preventing that specific self-deception is the single most important thing</w:t>
      </w:r>
      <w:r>
        <w:t xml:space="preserve"> </w:t>
      </w:r>
      <w:r>
        <w:t xml:space="preserve">this software does.</w:t>
      </w:r>
    </w:p>
    <w:p>
      <w:pPr>
        <w:pStyle w:val="BodyText"/>
      </w:pPr>
      <w:r>
        <w:rPr>
          <w:b/>
          <w:bCs/>
        </w:rPr>
        <w:t xml:space="preserve">The array formalism must be re-derived, not ported.</w:t>
      </w:r>
      <w:r>
        <w:t xml:space="preserve"> </w:t>
      </w:r>
      <w:r>
        <w:t xml:space="preserve">Under a rotation ψ about the</w:t>
      </w:r>
      <w:r>
        <w:t xml:space="preserve"> </w:t>
      </w:r>
      <w:r>
        <w:t xml:space="preserve">propagation direction, gravitational-wave polarization transforms as e^(2iψ), not</w:t>
      </w:r>
      <w:r>
        <w:t xml:space="preserve"> </w:t>
      </w:r>
      <w:r>
        <w:t xml:space="preserve">e^(iψ); h₊ and h× are separated by 45°, not 90°; and superposition acts on the</w:t>
      </w:r>
      <w:r>
        <w:t xml:space="preserve"> </w:t>
      </w:r>
      <w:r>
        <w:t xml:space="preserve">TT-projected tensor h_ij, never on scalar amplitudes. Every open-source array-synthesis</w:t>
      </w:r>
      <w:r>
        <w:t xml:space="preserve"> </w:t>
      </w:r>
      <w:r>
        <w:t xml:space="preserve">library implements the spin-1 case. Code adapted from antenna, radar or acoustics</w:t>
      </w:r>
      <w:r>
        <w:t xml:space="preserve"> </w:t>
      </w:r>
      <w:r>
        <w:t xml:space="preserve">references will run, produce plausible numbers, and be wrong. We treated this as the</w:t>
      </w:r>
      <w:r>
        <w:t xml:space="preserve"> </w:t>
      </w:r>
      <w:r>
        <w:t xml:space="preserve">project’s highest-risk failure class and attacked it with a dedicated design spike four</w:t>
      </w:r>
      <w:r>
        <w:t xml:space="preserve"> </w:t>
      </w:r>
      <w:r>
        <w:t xml:space="preserve">development sprints before anything depended on its output.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You cannot just download existing antenna software and point it</w:t>
      </w:r>
      <w:r>
        <w:t xml:space="preserve"> </w:t>
      </w:r>
      <w:r>
        <w:t xml:space="preserve">at gravity. Light and radio waves</w:t>
      </w:r>
      <w:r>
        <w:t xml:space="preserve"> </w:t>
      </w:r>
      <w:r>
        <w:t xml:space="preserve">“twist”</w:t>
      </w:r>
      <w:r>
        <w:t xml:space="preserve"> </w:t>
      </w:r>
      <w:r>
        <w:t xml:space="preserve">one way as you rotate them; gravitational waves</w:t>
      </w:r>
      <w:r>
        <w:t xml:space="preserve"> </w:t>
      </w:r>
      <w:r>
        <w:t xml:space="preserve">twist</w:t>
      </w:r>
      <w:r>
        <w:t xml:space="preserve"> </w:t>
      </w:r>
      <w:r>
        <w:rPr>
          <w:b/>
          <w:bCs/>
        </w:rPr>
        <w:t xml:space="preserve">twice as fast</w:t>
      </w:r>
      <w:r>
        <w:t xml:space="preserve">. Every off-the-shelf array tool in existence is built for the</w:t>
      </w:r>
      <w:r>
        <w:t xml:space="preserve"> </w:t>
      </w:r>
      <w:r>
        <w:t xml:space="preserve">first case. Borrow one and your code runs happily, produces sensible-looking numbers, and</w:t>
      </w:r>
      <w:r>
        <w:t xml:space="preserve"> </w:t>
      </w:r>
      <w:r>
        <w:t xml:space="preserve">is silently wrong — the worst possible failure, because nothing complains. We flagged this</w:t>
      </w:r>
      <w:r>
        <w:t xml:space="preserve"> </w:t>
      </w:r>
      <w:r>
        <w:t xml:space="preserve">as the project’s biggest danger and deliberately tackled it</w:t>
      </w:r>
      <w:r>
        <w:t xml:space="preserve"> </w:t>
      </w:r>
      <w:r>
        <w:rPr>
          <w:i/>
          <w:iCs/>
        </w:rPr>
        <w:t xml:space="preserve">months</w:t>
      </w:r>
      <w:r>
        <w:t xml:space="preserve"> </w:t>
      </w:r>
      <w:r>
        <w:t xml:space="preserve">before anything else</w:t>
      </w:r>
      <w:r>
        <w:t xml:space="preserve"> </w:t>
      </w:r>
      <w:r>
        <w:t xml:space="preserve">depended on the answer, so that a mistake would surface early instead of poisoning</w:t>
      </w:r>
      <w:r>
        <w:t xml:space="preserve"> </w:t>
      </w:r>
      <w:r>
        <w:t xml:space="preserve">everything built on top of it.</w:t>
      </w:r>
    </w:p>
    <w:bookmarkEnd w:id="11"/>
    <w:bookmarkStart w:id="12" w:name="what-the-framework-computes"/>
    <w:p>
      <w:pPr>
        <w:pStyle w:val="Heading3"/>
      </w:pPr>
      <w:r>
        <w:t xml:space="preserve">What the framework computes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organized as nine layers with a strict dependency order (Fig. 1).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supplies constants, validated array contracts, a scaled strain representation and the</w:t>
      </w:r>
      <w:r>
        <w:t xml:space="preserve"> </w:t>
      </w:r>
      <w:r>
        <w:t xml:space="preserve">numerical backends.</w:t>
      </w:r>
      <w:r>
        <w:t xml:space="preserve"> </w:t>
      </w:r>
      <w:r>
        <w:rPr>
          <w:rStyle w:val="VerbatimChar"/>
        </w:rPr>
        <w:t xml:space="preserve">bodies</w:t>
      </w:r>
      <w:r>
        <w:t xml:space="preserve"> </w:t>
      </w:r>
      <w:r>
        <w:t xml:space="preserve">builds mass distributions and their multipole moments,</w:t>
      </w:r>
      <w:r>
        <w:t xml:space="preserve"> </w:t>
      </w:r>
      <w:r>
        <w:t xml:space="preserve">including the three mechanisms by which a sphere’s radius and density cease to be</w:t>
      </w:r>
      <w:r>
        <w:t xml:space="preserve"> </w:t>
      </w:r>
      <w:r>
        <w:t xml:space="preserve">degenerate with its total mass.</w:t>
      </w:r>
      <w:r>
        <w:t xml:space="preserve"> </w:t>
      </w:r>
      <w:r>
        <w:rPr>
          <w:rStyle w:val="VerbatimChar"/>
        </w:rPr>
        <w:t xml:space="preserve">kinematics</w:t>
      </w:r>
      <w:r>
        <w:t xml:space="preserve"> </w:t>
      </w:r>
      <w:r>
        <w:t xml:space="preserve">synthesizes finite (non-impulsive)</w:t>
      </w:r>
      <w:r>
        <w:t xml:space="preserve"> </w:t>
      </w:r>
      <w:r>
        <w:t xml:space="preserve">acceleration profiles and multi-tone drives.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converts those into radiation —</w:t>
      </w:r>
      <w:r>
        <w:t xml:space="preserve"> </w:t>
      </w:r>
      <w:r>
        <w:t xml:space="preserve">quadrupole strain, luminosity, linear memory, and a deliberately flagged dipole path.</w:t>
      </w:r>
      <w:r>
        <w:t xml:space="preserve"> </w:t>
      </w:r>
      <w:r>
        <w:rPr>
          <w:rStyle w:val="VerbatimChar"/>
        </w:rPr>
        <w:t xml:space="preserve">propagate</w:t>
      </w:r>
      <w:r>
        <w:t xml:space="preserve"> </w:t>
      </w:r>
      <w:r>
        <w:t xml:space="preserve">handles retarded evaluation, TT projection and spin-2 polarization.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performs geometry, grating-lobe analysis, tensor superposition and focusing.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evaluates geodesic deviation and three competing coupling channels side by side.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emits the feasibility report.</w:t>
      </w:r>
      <w:r>
        <w:t xml:space="preserve"> </w:t>
      </w:r>
      <w:r>
        <w:rPr>
          <w:rStyle w:val="VerbatimChar"/>
        </w:rPr>
        <w:t xml:space="preserve">viz</w:t>
      </w:r>
      <w:r>
        <w:t xml:space="preserve"> </w:t>
      </w:r>
      <w:r>
        <w:t xml:space="preserve">renders fields and beam patterns.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software is built as nine stacked layers, each depending</w:t>
      </w:r>
      <w:r>
        <w:t xml:space="preserve"> </w:t>
      </w:r>
      <w:r>
        <w:t xml:space="preserve">only on the ones below it, like floors of a building. From the bottom up: basic constants</w:t>
      </w:r>
      <w:r>
        <w:t xml:space="preserve"> </w:t>
      </w:r>
      <w:r>
        <w:t xml:space="preserve">and safety checks; descriptions of the physical objects (spheres, and what happens when</w:t>
      </w:r>
      <w:r>
        <w:t xml:space="preserve"> </w:t>
      </w:r>
      <w:r>
        <w:t xml:space="preserve">they squash or spin); the motions those objects perform; the gravitational waves those</w:t>
      </w:r>
      <w:r>
        <w:t xml:space="preserve"> </w:t>
      </w:r>
      <w:r>
        <w:t xml:space="preserve">motions emit; how the waves travel outward; how many emitters combine into a steered</w:t>
      </w:r>
      <w:r>
        <w:t xml:space="preserve"> </w:t>
      </w:r>
      <w:r>
        <w:t xml:space="preserve">beam; what happens when the beam arrives at the asteroid; the honest scorecard of how far</w:t>
      </w:r>
      <w:r>
        <w:t xml:space="preserve"> </w:t>
      </w:r>
      <w:r>
        <w:t xml:space="preserve">short we fall; and finally the pictures.</w:t>
      </w:r>
    </w:p>
    <w:p>
      <w:pPr>
        <w:pStyle w:val="BodyText"/>
      </w:pPr>
      <w:r>
        <w:t xml:space="preserve">Two of these layers exist because of a physical fact rather than a software convenience.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exists because a framework that cannot state its own gap is</w:t>
      </w:r>
      <w:r>
        <w:t xml:space="preserve"> </w:t>
      </w:r>
      <w:r>
        <w:t xml:space="preserve">epistemically indistinguishable from the literature described above.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stamping machinery inside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exists because the ~10¹⁰ dipole artifact</w:t>
      </w:r>
      <w:r>
        <w:t xml:space="preserve"> </w:t>
      </w:r>
      <w:r>
        <w:t xml:space="preserve">must be</w:t>
      </w:r>
      <w:r>
        <w:t xml:space="preserve"> </w:t>
      </w:r>
      <w:r>
        <w:rPr>
          <w:i/>
          <w:iCs/>
        </w:rPr>
        <w:t xml:space="preserve">unable</w:t>
      </w:r>
      <w:r>
        <w:t xml:space="preserve"> </w:t>
      </w:r>
      <w:r>
        <w:t xml:space="preserve">to reach a headline result, not merely discouraged from doing so.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of those nine layers aren’t there for engineering reasons —</w:t>
      </w:r>
      <w:r>
        <w:t xml:space="preserve"> </w:t>
      </w:r>
      <w:r>
        <w:t xml:space="preserve">they’re there for honesty reasons. The scorecard exists because a tool that can’t say how</w:t>
      </w:r>
      <w:r>
        <w:t xml:space="preserve"> </w:t>
      </w:r>
      <w:r>
        <w:t xml:space="preserve">badly it’s failing is indistinguishable from the discredited work. And the branding</w:t>
      </w:r>
      <w:r>
        <w:t xml:space="preserve"> </w:t>
      </w:r>
      <w:r>
        <w:t xml:space="preserve">machinery exists because</w:t>
      </w:r>
      <w:r>
        <w:t xml:space="preserve"> </w:t>
      </w:r>
      <w:r>
        <w:t xml:space="preserve">“please remember not to misuse this number”</w:t>
      </w:r>
      <w:r>
        <w:t xml:space="preserve"> </w:t>
      </w:r>
      <w:r>
        <w:t xml:space="preserve">is not good enough</w:t>
      </w:r>
      <w:r>
        <w:t xml:space="preserve"> </w:t>
      </w:r>
      <w:r>
        <w:t xml:space="preserve">when the number is ten billion times too big and looks like a Nobel Prize. It has to be</w:t>
      </w:r>
      <w:r>
        <w:t xml:space="preserve"> </w:t>
      </w:r>
      <w:r>
        <w:rPr>
          <w:i/>
          <w:iCs/>
        </w:rPr>
        <w:t xml:space="preserve">impossible</w:t>
      </w:r>
      <w:r>
        <w:t xml:space="preserve">, not merely discouraged.</w:t>
      </w:r>
    </w:p>
    <w:bookmarkEnd w:id="12"/>
    <w:bookmarkStart w:id="13" w:name="the-spin-2-extension-of-array-theory"/>
    <w:p>
      <w:pPr>
        <w:pStyle w:val="Heading3"/>
      </w:pPr>
      <w:r>
        <w:t xml:space="preserve">The spin-2 extension of array theory</w:t>
      </w:r>
    </w:p>
    <w:p>
      <w:pPr>
        <w:pStyle w:val="FirstParagraph"/>
      </w:pPr>
      <w:r>
        <w:t xml:space="preserve">For an array of N elements observed along n̂, the total strain is the sum of TT-projected</w:t>
      </w:r>
      <w:r>
        <w:t xml:space="preserve"> </w:t>
      </w:r>
      <w:r>
        <w:t xml:space="preserve">element tensors,</w:t>
      </w:r>
    </w:p>
    <w:p>
      <w:pPr>
        <w:pStyle w:val="BodyText"/>
      </w:pPr>
      <w:r>
        <w:t xml:space="preserve">h_ij^TT(n̂) = Σ_n Λ_ij,kl(n̂) · h_kl^(n) · e^(iφ_n),</w:t>
      </w:r>
    </w:p>
    <w:p>
      <w:pPr>
        <w:pStyle w:val="BodyText"/>
      </w:pPr>
      <w:r>
        <w:t xml:space="preserve">which after projection lives in the two-dimensional polarization space spanned by e⁺ and</w:t>
      </w:r>
      <w:r>
        <w:t xml:space="preserve"> </w:t>
      </w:r>
      <w:r>
        <w:t xml:space="preserve">e^×. The sum is a vector sum in that space. Writing h ≡ h₊ − i h×, a rotation by ψ acts</w:t>
      </w:r>
      <w:r>
        <w:t xml:space="preserve"> </w:t>
      </w:r>
      <w:r>
        <w:t xml:space="preserve">as h → h e^(2iψ), and the consequences depart sharply from the electromagnetic case</w:t>
      </w:r>
      <w:r>
        <w:t xml:space="preserve"> </w:t>
      </w:r>
      <w:r>
        <w:t xml:space="preserve">(Table 1):</w:t>
      </w:r>
    </w:p>
    <w:p>
      <w:pPr>
        <w:pStyle w:val="Compact"/>
        <w:numPr>
          <w:ilvl w:val="0"/>
          <w:numId w:val="1001"/>
        </w:numPr>
      </w:pPr>
      <w:r>
        <w:t xml:space="preserve">The element-to-element mismatch factor is</w:t>
      </w:r>
      <w:r>
        <w:t xml:space="preserve"> </w:t>
      </w:r>
      <w:r>
        <w:rPr>
          <w:b/>
          <w:bCs/>
        </w:rPr>
        <w:t xml:space="preserve">cos(2Δψ)</w:t>
      </w:r>
      <w:r>
        <w:t xml:space="preserve">. It is maximal at Δψ = 45°, not</w:t>
      </w:r>
      <w:r>
        <w:t xml:space="preserve"> </w:t>
      </w:r>
      <w:r>
        <w:t xml:space="preserve">90°, and has period 180°.</w:t>
      </w:r>
    </w:p>
    <w:p>
      <w:pPr>
        <w:pStyle w:val="Compact"/>
        <w:numPr>
          <w:ilvl w:val="0"/>
          <w:numId w:val="1001"/>
        </w:numPr>
      </w:pPr>
      <w:r>
        <w:t xml:space="preserve">Two co-phased elements 90° apart</w:t>
      </w:r>
      <w:r>
        <w:t xml:space="preserve"> </w:t>
      </w:r>
      <w:r>
        <w:rPr>
          <w:b/>
          <w:bCs/>
        </w:rPr>
        <w:t xml:space="preserve">cancel completely</w:t>
      </w:r>
      <w:r>
        <w:t xml:space="preserve">. Spin-1 reasoning predicts they</w:t>
      </w:r>
      <w:r>
        <w:t xml:space="preserve"> </w:t>
      </w:r>
      <w:r>
        <w:t xml:space="preserve">are polarization-orthogonal and their powers add. An array laid out on</w:t>
      </w:r>
      <w:r>
        <w:t xml:space="preserve"> </w:t>
      </w:r>
      <w:r>
        <w:t xml:space="preserve">electromagnetic reasoning with orthogonally-oriented elements radiates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along</w:t>
      </w:r>
      <w:r>
        <w:t xml:space="preserve"> </w:t>
      </w:r>
      <w:r>
        <w:t xml:space="preserve">the intended axis, and its designer has every reason to expect twice the</w:t>
      </w:r>
      <w:r>
        <w:t xml:space="preserve"> </w:t>
      </w:r>
      <w:r>
        <w:t xml:space="preserve">single-element power. Physically this is not exotic — an x-oriented oscillator</w:t>
      </w:r>
      <w:r>
        <w:t xml:space="preserve"> </w:t>
      </w:r>
      <w:r>
        <w:t xml:space="preserve">stretches along x and squeezes along y while a y-oriented one does the reverse — but</w:t>
      </w:r>
      <w:r>
        <w:t xml:space="preserve"> </w:t>
      </w:r>
      <w:r>
        <w:t xml:space="preserve">it is invisible by analogy from antenna theory.</w:t>
      </w:r>
    </w:p>
    <w:p>
      <w:pPr>
        <w:pStyle w:val="Compact"/>
        <w:numPr>
          <w:ilvl w:val="0"/>
          <w:numId w:val="1001"/>
        </w:numPr>
      </w:pPr>
      <w:r>
        <w:t xml:space="preserve">Array gain is N²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co-oriented elements: gain = |Σ_n A_n e^(2iψ_n)|² / A².</w:t>
      </w:r>
    </w:p>
    <w:p>
      <w:pPr>
        <w:pStyle w:val="Compact"/>
        <w:numPr>
          <w:ilvl w:val="0"/>
          <w:numId w:val="1001"/>
        </w:numPr>
      </w:pPr>
      <w:r>
        <w:t xml:space="preserve">For orientations jittered with standard deviation σ about a common axis, the gain</w:t>
      </w:r>
      <w:r>
        <w:t xml:space="preserve"> </w:t>
      </w:r>
      <w:r>
        <w:t xml:space="preserve">fraction is</w:t>
      </w:r>
      <w:r>
        <w:t xml:space="preserve"> </w:t>
      </w:r>
      <w:r>
        <w:rPr>
          <w:b/>
          <w:bCs/>
        </w:rPr>
        <w:t xml:space="preserve">exp(−4σ²)</w:t>
      </w:r>
      <w:r>
        <w:t xml:space="preserve"> </w:t>
      </w:r>
      <w:r>
        <w:t xml:space="preserve">in the N → ∞ limit, with an exact finite-N bias</w:t>
      </w:r>
      <w:r>
        <w:t xml:space="preserve"> </w:t>
      </w:r>
      <w:r>
        <w:rPr>
          <w:b/>
          <w:bCs/>
        </w:rPr>
        <w:t xml:space="preserve">+(1 − exp(−4σ²))/N</w:t>
      </w:r>
      <w:r>
        <w:t xml:space="preserve"> </w:t>
      </w:r>
      <w:r>
        <w:t xml:space="preserve">— verified to within 5% of that prediction across</w:t>
      </w:r>
      <w:r>
        <w:t xml:space="preserve"> </w:t>
      </w:r>
      <w:r>
        <w:t xml:space="preserve">N ∈ {100, 200, 1000} and σ ∈ {2.87°, 10°, 20°}, the deviation halving as N doubles. The bias is</w:t>
      </w:r>
      <w:r>
        <w:t xml:space="preserve"> </w:t>
      </w:r>
      <w:r>
        <w:rPr>
          <w:i/>
          <w:iCs/>
        </w:rPr>
        <w:t xml:space="preserve">positive</w:t>
      </w:r>
      <w:r>
        <w:t xml:space="preserve">, so a real finite array marginally outperforms the limiting law.</w:t>
      </w:r>
      <w:r>
        <w:t xml:space="preserve"> </w:t>
      </w:r>
      <w:r>
        <w:rPr>
          <w:b/>
          <w:bCs/>
        </w:rPr>
        <w:t xml:space="preserve">A 1% power</w:t>
      </w:r>
      <w:r>
        <w:rPr>
          <w:b/>
          <w:bCs/>
        </w:rPr>
        <w:t xml:space="preserve"> </w:t>
      </w:r>
      <w:r>
        <w:rPr>
          <w:b/>
          <w:bCs/>
        </w:rPr>
        <w:t xml:space="preserve">loss requires co-orientation to σ ≤ 2.87°, exactly twice as tight as the spin-1</w:t>
      </w:r>
      <w:r>
        <w:rPr>
          <w:b/>
          <w:bCs/>
        </w:rPr>
        <w:t xml:space="preserve"> </w:t>
      </w:r>
      <w:r>
        <w:rPr>
          <w:b/>
          <w:bCs/>
        </w:rPr>
        <w:t xml:space="preserve">equivalent.</w:t>
      </w:r>
      <w:r>
        <w:t xml:space="preserve"> </w:t>
      </w:r>
      <w:r>
        <w:t xml:space="preserve">This is a constraint on any physical array, not a modelling detail.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paper’s central physics result, and it’s the part a</w:t>
      </w:r>
      <w:r>
        <w:t xml:space="preserve"> </w:t>
      </w:r>
      <w:r>
        <w:t xml:space="preserve">radio engineer would get wrong. When you combine gravitational emitters, how much they</w:t>
      </w:r>
      <w:r>
        <w:t xml:space="preserve"> </w:t>
      </w:r>
      <w:r>
        <w:t xml:space="preserve">help each other depends on their relative rotation — but on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angle, compared</w:t>
      </w:r>
      <w:r>
        <w:t xml:space="preserve"> </w:t>
      </w:r>
      <w:r>
        <w:t xml:space="preserve">to radio. Four consequences. (1) The worst misalignment is at 45°, not 90°. (2) At exactly</w:t>
      </w:r>
      <w:r>
        <w:t xml:space="preserve"> </w:t>
      </w:r>
      <w:r>
        <w:t xml:space="preserve">90° the emitters don’t just fail to help, they</w:t>
      </w:r>
      <w:r>
        <w:t xml:space="preserve"> </w:t>
      </w:r>
      <w:r>
        <w:rPr>
          <w:b/>
          <w:bCs/>
        </w:rPr>
        <w:t xml:space="preserve">actively erase each other</w:t>
      </w:r>
      <w:r>
        <w:t xml:space="preserve">, giving you</w:t>
      </w:r>
      <w:r>
        <w:t xml:space="preserve"> </w:t>
      </w:r>
      <w:r>
        <w:t xml:space="preserve">literally zero — while radio intuition promises double. (3) You only get the full</w:t>
      </w:r>
      <w:r>
        <w:t xml:space="preserve"> </w:t>
      </w:r>
      <w:r>
        <w:t xml:space="preserve">multiplied-up power if every emitter is turned the same way. (4) Real hardware is never</w:t>
      </w:r>
      <w:r>
        <w:t xml:space="preserve"> </w:t>
      </w:r>
      <w:r>
        <w:t xml:space="preserve">perfectly aligned, and we can say exactly how much sloppiness costs: to lose no more than</w:t>
      </w:r>
      <w:r>
        <w:t xml:space="preserve"> </w:t>
      </w:r>
      <w:r>
        <w:t xml:space="preserve">1% of your power, every emitter must be aligned to within</w:t>
      </w:r>
      <w:r>
        <w:t xml:space="preserve"> </w:t>
      </w:r>
      <w:r>
        <w:rPr>
          <w:b/>
          <w:bCs/>
        </w:rPr>
        <w:t xml:space="preserve">2.87 degrees</w:t>
      </w:r>
      <w:r>
        <w:t xml:space="preserve"> </w:t>
      </w:r>
      <w:r>
        <w:t xml:space="preserve">— precisely</w:t>
      </w:r>
      <w:r>
        <w:t xml:space="preserve"> </w:t>
      </w:r>
      <w:r>
        <w:t xml:space="preserve">twice as strict as the radio equivalent. That last number is a hard engineering</w:t>
      </w:r>
      <w:r>
        <w:t xml:space="preserve"> </w:t>
      </w:r>
      <w:r>
        <w:t xml:space="preserve">requirement for anyone who ever tries to build one of these. One refinement worth</w:t>
      </w:r>
      <w:r>
        <w:t xml:space="preserve"> </w:t>
      </w:r>
      <w:r>
        <w:t xml:space="preserve">noting: that alignment formula describes an array with</w:t>
      </w:r>
      <w:r>
        <w:t xml:space="preserve"> </w:t>
      </w:r>
      <w:r>
        <w:rPr>
          <w:i/>
          <w:iCs/>
        </w:rPr>
        <w:t xml:space="preserve">infinitely many</w:t>
      </w:r>
      <w:r>
        <w:t xml:space="preserve"> </w:t>
      </w:r>
      <w:r>
        <w:t xml:space="preserve">emitters. A real</w:t>
      </w:r>
      <w:r>
        <w:t xml:space="preserve"> </w:t>
      </w:r>
      <w:r>
        <w:t xml:space="preserve">array with a finite number does slightly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than it, by an amount we can calculate</w:t>
      </w:r>
      <w:r>
        <w:t xml:space="preserve"> </w:t>
      </w:r>
      <w:r>
        <w:t xml:space="preserve">exactly — so the 2.87° figure is a safe, conservative requirement rather than an optimistic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two-element prototype that established these results reproduced the analytic TT form</w:t>
      </w:r>
      <w:r>
        <w:t xml:space="preserve"> </w:t>
      </w:r>
      <w:r>
        <w:t xml:space="preserve">to 10⁻¹⁴ across nine orientation angles and confirmed that the period in ψ is 180°, not</w:t>
      </w:r>
      <w:r>
        <w:t xml:space="preserve"> </w:t>
      </w:r>
      <w:r>
        <w:t xml:space="preserve">360°. The scalar array factor is retained in the codebase as an explicitly labelled</w:t>
      </w:r>
      <w:r>
        <w:t xml:space="preserve"> </w:t>
      </w:r>
      <w:r>
        <w:t xml:space="preserve">spin-1 baseline that the tensor superposition must reduce to for co-oriented elements —</w:t>
      </w:r>
      <w:r>
        <w:t xml:space="preserve"> </w:t>
      </w:r>
      <w:r>
        <w:t xml:space="preserve">a regression check that proves the extension is a controlled departure rather than a</w:t>
      </w:r>
      <w:r>
        <w:t xml:space="preserve"> </w:t>
      </w:r>
      <w:r>
        <w:t xml:space="preserve">rewrite.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checked this with a stripped-down two-emitter test case,</w:t>
      </w:r>
      <w:r>
        <w:t xml:space="preserve"> </w:t>
      </w:r>
      <w:r>
        <w:t xml:space="preserve">which matched the hand-derived algebra to fourteen decimal places at nine different</w:t>
      </w:r>
      <w:r>
        <w:t xml:space="preserve"> </w:t>
      </w:r>
      <w:r>
        <w:t xml:space="preserve">angles. We also deliberately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the old radio-style calculation in the codebase,</w:t>
      </w:r>
      <w:r>
        <w:t xml:space="preserve"> </w:t>
      </w:r>
      <w:r>
        <w:t xml:space="preserve">clearly labelled as such, and require the new gravity version to agree with it in the one</w:t>
      </w:r>
      <w:r>
        <w:t xml:space="preserve"> </w:t>
      </w:r>
      <w:r>
        <w:t xml:space="preserve">situation where both should give the same answer. That’s the proof that we extended the</w:t>
      </w:r>
      <w:r>
        <w:t xml:space="preserve"> </w:t>
      </w:r>
      <w:r>
        <w:t xml:space="preserve">old theory carefully rather than just replacing it with something new and unchecked.</w:t>
      </w:r>
    </w:p>
    <w:bookmarkEnd w:id="13"/>
    <w:bookmarkStart w:id="14" w:name="provenance-as-an-architectural-feature"/>
    <w:p>
      <w:pPr>
        <w:pStyle w:val="Heading3"/>
      </w:pPr>
      <w:r>
        <w:t xml:space="preserve">Provenance as an architectural feature</w:t>
      </w:r>
    </w:p>
    <w:p>
      <w:pPr>
        <w:pStyle w:val="FirstParagraph"/>
      </w:pPr>
      <w:r>
        <w:t xml:space="preserve">The framework’s second contribution is that its epistemic status is</w:t>
      </w:r>
      <w:r>
        <w:t xml:space="preserve"> </w:t>
      </w:r>
      <w:r>
        <w:rPr>
          <w:i/>
          <w:iCs/>
        </w:rPr>
        <w:t xml:space="preserve">machine-readable</w:t>
      </w:r>
      <w:r>
        <w:t xml:space="preserve">.</w:t>
      </w:r>
      <w:r>
        <w:t xml:space="preserve"> </w:t>
      </w:r>
      <w:r>
        <w:t xml:space="preserve">Five mechanisms, described in full in Methods: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 discipline in CI.</w:t>
      </w:r>
      <w:r>
        <w:t xml:space="preserve"> </w:t>
      </w:r>
      <w:r>
        <w:t xml:space="preserve">Every public function in the physics packages must</w:t>
      </w:r>
      <w:r>
        <w:t xml:space="preserve"> </w:t>
      </w:r>
      <w:r>
        <w:t xml:space="preserve">carry a docstring line of the form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A build</w:t>
      </w:r>
      <w:r>
        <w:t xml:space="preserve"> </w:t>
      </w:r>
      <w:r>
        <w:t xml:space="preserve">fails without it.</w:t>
      </w:r>
      <w:r>
        <w:t xml:space="preserve"> </w:t>
      </w:r>
      <w:r>
        <w:t xml:space="preserve">“Blanchet ch. 3”</w:t>
      </w:r>
      <w:r>
        <w:t xml:space="preserve"> </w:t>
      </w:r>
      <w:r>
        <w:t xml:space="preserve">is rejected;</w:t>
      </w:r>
      <w:r>
        <w:t xml:space="preserve"> </w:t>
      </w:r>
      <w:r>
        <w:t xml:space="preserve">“Blanchet eq. 3”</w:t>
      </w:r>
      <w:r>
        <w:t xml:space="preserve"> </w:t>
      </w:r>
      <w:r>
        <w:t xml:space="preserve">is accepted. The</w:t>
      </w:r>
      <w:r>
        <w:t xml:space="preserve"> </w:t>
      </w:r>
      <w:r>
        <w:t xml:space="preserve">check verifies that a citation is</w:t>
      </w:r>
      <w:r>
        <w:t xml:space="preserve"> </w:t>
      </w:r>
      <w:r>
        <w:rPr>
          <w:i/>
          <w:iCs/>
        </w:rPr>
        <w:t xml:space="preserve">present and specific</w:t>
      </w:r>
      <w:r>
        <w:t xml:space="preserve">; correctness remains a human</w:t>
      </w:r>
      <w:r>
        <w:t xml:space="preserve"> </w:t>
      </w:r>
      <w:r>
        <w:t xml:space="preserve">review gate. Sources are required to be openly accessible wherever possible, on the</w:t>
      </w:r>
      <w:r>
        <w:t xml:space="preserve"> </w:t>
      </w:r>
      <w:r>
        <w:t xml:space="preserve">explicit ground that a citation a reader cannot open is not a citation.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claims registry</w:t>
      </w:r>
      <w:r>
        <w:t xml:space="preserve"> </w:t>
      </w:r>
      <w:r>
        <w:t xml:space="preserve">separating established physics (11 entries), our derived</w:t>
      </w:r>
      <w:r>
        <w:t xml:space="preserve"> </w:t>
      </w:r>
      <w:r>
        <w:t xml:space="preserve">extensions (7) and open conjecture (4). Promotion from conjecture to derivation</w:t>
      </w:r>
      <w:r>
        <w:t xml:space="preserve"> </w:t>
      </w:r>
      <w:r>
        <w:t xml:space="preserve">requires a written derivation plus a limiting case reducing to established physics;</w:t>
      </w:r>
      <w:r>
        <w:t xml:space="preserve"> </w:t>
      </w:r>
      <w:r>
        <w:t xml:space="preserve">promotion from derivation to established requires independent publication, which we</w:t>
      </w:r>
      <w:r>
        <w:t xml:space="preserve"> </w:t>
      </w:r>
      <w:r>
        <w:t xml:space="preserve">do not grant ourselves.</w:t>
      </w:r>
      <w:r>
        <w:t xml:space="preserve"> </w:t>
      </w:r>
      <w:r>
        <w:rPr>
          <w:b/>
          <w:bCs/>
        </w:rPr>
        <w:t xml:space="preserve">Demotions are recorded with a date and reason, never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assumption ledger</w:t>
      </w:r>
      <w:r>
        <w:t xml:space="preserve"> </w:t>
      </w:r>
      <w:r>
        <w:t xml:space="preserve">— 30 rows at the time of writing — each naming an</w:t>
      </w:r>
      <w:r>
        <w:t xml:space="preserve"> </w:t>
      </w:r>
      <w:r>
        <w:t xml:space="preserve">approximation, where it is asserted in code, the regime in which it holds, and the</w:t>
      </w:r>
      <w:r>
        <w:t xml:space="preserve"> </w:t>
      </w:r>
      <w:r>
        <w:t xml:space="preserve">regime in which it</w:t>
      </w:r>
      <w:r>
        <w:t xml:space="preserve"> </w:t>
      </w:r>
      <w:r>
        <w:rPr>
          <w:i/>
          <w:iCs/>
        </w:rPr>
        <w:t xml:space="preserve">fails</w:t>
      </w:r>
      <w:r>
        <w:t xml:space="preserve">. Several of this framework’s interesting configurations</w:t>
      </w:r>
      <w:r>
        <w:t xml:space="preserve"> </w:t>
      </w:r>
      <w:r>
        <w:t xml:space="preserve">live near those edges.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errata file</w:t>
      </w:r>
      <w:r>
        <w:t xml:space="preserve"> </w:t>
      </w:r>
      <w:r>
        <w:t xml:space="preserve">for verified errors in the primary literature. Two typographical</w:t>
      </w:r>
      <w:r>
        <w:t xml:space="preserve"> </w:t>
      </w:r>
      <w:r>
        <w:t xml:space="preserve">errors in the worked binary example of a standard review</w:t>
      </w:r>
      <w:r>
        <w:t xml:space="preserve">5</w:t>
      </w:r>
      <w:r>
        <w:t xml:space="preserve"> </w:t>
      </w:r>
      <w:r>
        <w:t xml:space="preserve">were established</w:t>
      </w:r>
      <w:r>
        <w:t xml:space="preserve"> </w:t>
      </w:r>
      <w:r>
        <w:t xml:space="preserve">numerically — one of which yields a non-symmetric quadrupole tensor, which is</w:t>
      </w:r>
      <w:r>
        <w:t xml:space="preserve"> </w:t>
      </w:r>
      <w:r>
        <w:t xml:space="preserve">impossible by construction. Without this record, a future reader checking our code</w:t>
      </w:r>
      <w:r>
        <w:t xml:space="preserve"> </w:t>
      </w:r>
      <w:r>
        <w:t xml:space="preserve">against the paper would conclude that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have the bug and</w:t>
      </w:r>
      <w:r>
        <w:t xml:space="preserve"> </w:t>
      </w:r>
      <w:r>
        <w:t xml:space="preserve">“fix”</w:t>
      </w:r>
      <w:r>
        <w:t xml:space="preserve"> </w:t>
      </w:r>
      <w:r>
        <w:t xml:space="preserve">correct code to</w:t>
      </w:r>
      <w:r>
        <w:t xml:space="preserve"> </w:t>
      </w:r>
      <w:r>
        <w:t xml:space="preserve">match a typo.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Inseparable unphysicality stamping.</w:t>
      </w:r>
      <w:r>
        <w:t xml:space="preserve"> </w:t>
      </w:r>
      <w:r>
        <w:t xml:space="preserve">Results computed from a</w:t>
      </w:r>
      <w:r>
        <w:t xml:space="preserve"> </w:t>
      </w:r>
      <w:r>
        <w:t xml:space="preserve">momentum-non-conserving source carry a stamp that ordinary numerical use cannot</w:t>
      </w:r>
      <w:r>
        <w:t xml:space="preserve"> </w:t>
      </w:r>
      <w:r>
        <w:t xml:space="preserve">remove; attempts to coerce a stamped result into a bare array raise rather than</w:t>
      </w:r>
      <w:r>
        <w:t xml:space="preserve"> </w:t>
      </w:r>
      <w:r>
        <w:t xml:space="preserve">silently converting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safeguards, all automated rather than left to good</w:t>
      </w:r>
      <w:r>
        <w:t xml:space="preserve"> </w:t>
      </w:r>
      <w:r>
        <w:t xml:space="preserve">intentions.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Every physics formula must name the exact numbered equation it came</w:t>
      </w:r>
      <w:r>
        <w:t xml:space="preserve"> </w:t>
      </w:r>
      <w:r>
        <w:t xml:space="preserve">from, in a paper anyone can open for free —</w:t>
      </w:r>
      <w:r>
        <w:t xml:space="preserve"> </w:t>
      </w:r>
      <w:r>
        <w:t xml:space="preserve">“see chapter 3”</w:t>
      </w:r>
      <w:r>
        <w:t xml:space="preserve"> </w:t>
      </w:r>
      <w:r>
        <w:t xml:space="preserve">is rejected,</w:t>
      </w:r>
      <w:r>
        <w:t xml:space="preserve"> </w:t>
      </w:r>
      <w:r>
        <w:t xml:space="preserve">“see equation 3”</w:t>
      </w:r>
      <w:r>
        <w:t xml:space="preserve"> </w:t>
      </w:r>
      <w:r>
        <w:t xml:space="preserve">is accepted — and the code literally will not build otherwise.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Every claim is</w:t>
      </w:r>
      <w:r>
        <w:t xml:space="preserve"> </w:t>
      </w:r>
      <w:r>
        <w:t xml:space="preserve">filed as</w:t>
      </w:r>
      <w:r>
        <w:t xml:space="preserve"> </w:t>
      </w:r>
      <w:r>
        <w:t xml:space="preserve">“established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or</w:t>
      </w:r>
      <w:r>
        <w:t xml:space="preserve"> </w:t>
      </w:r>
      <w:r>
        <w:t xml:space="preserve">“unproven guess,”</w:t>
      </w:r>
      <w:r>
        <w:t xml:space="preserve"> </w:t>
      </w:r>
      <w:r>
        <w:t xml:space="preserve">and we are not</w:t>
      </w:r>
      <w:r>
        <w:t xml:space="preserve"> </w:t>
      </w:r>
      <w:r>
        <w:t xml:space="preserve">allowed to promote our own work into the</w:t>
      </w:r>
      <w:r>
        <w:t xml:space="preserve"> </w:t>
      </w:r>
      <w:r>
        <w:t xml:space="preserve">“established”</w:t>
      </w:r>
      <w:r>
        <w:t xml:space="preserve"> </w:t>
      </w:r>
      <w:r>
        <w:t xml:space="preserve">pile; only outside publication can</w:t>
      </w:r>
      <w:r>
        <w:t xml:space="preserve"> </w:t>
      </w:r>
      <w:r>
        <w:t xml:space="preserve">do that. Downgrades are recorded permanently, never quietly deleted.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Every</w:t>
      </w:r>
      <w:r>
        <w:t xml:space="preserve"> </w:t>
      </w:r>
      <w:r>
        <w:t xml:space="preserve">simplification is listed together with the conditions under which it breaks — and</w:t>
      </w:r>
      <w:r>
        <w:t xml:space="preserve"> </w:t>
      </w:r>
      <w:r>
        <w:t xml:space="preserve">awkwardly, the configurations we most want to explore sit near those breaking points.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We keep a list of mistakes we found in</w:t>
      </w:r>
      <w:r>
        <w:t xml:space="preserve"> </w:t>
      </w:r>
      <w:r>
        <w:rPr>
          <w:i/>
          <w:iCs/>
        </w:rPr>
        <w:t xml:space="preserve">published papers</w:t>
      </w:r>
      <w:r>
        <w:t xml:space="preserve">, so a future reader</w:t>
      </w:r>
      <w:r>
        <w:t xml:space="preserve"> </w:t>
      </w:r>
      <w:r>
        <w:t xml:space="preserve">doesn’t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our working code to match somebody’s typo.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t xml:space="preserve">Numbers from</w:t>
      </w:r>
      <w:r>
        <w:t xml:space="preserve"> </w:t>
      </w:r>
      <w:r>
        <w:t xml:space="preserve">physically impossible setups are branded, and the software refuses to hand them over</w:t>
      </w:r>
      <w:r>
        <w:t xml:space="preserve"> </w:t>
      </w:r>
      <w:r>
        <w:t xml:space="preserve">unbranded.</w:t>
      </w:r>
    </w:p>
    <w:p>
      <w:pPr>
        <w:pStyle w:val="BodyText"/>
      </w:pPr>
      <w:r>
        <w:t xml:space="preserve">Fig. 2 shows how these five mechanisms interlock. Each was added in response to a</w:t>
      </w:r>
      <w:r>
        <w:t xml:space="preserve"> </w:t>
      </w:r>
      <w:r>
        <w:t xml:space="preserve">specific realized or near-miss failure, which we document rather than smooth over</w:t>
      </w:r>
      <w:r>
        <w:t xml:space="preserve"> </w:t>
      </w:r>
      <w:r>
        <w:t xml:space="preserve">(Discussion).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None of those five safeguards was dreamed up in advance out of</w:t>
      </w:r>
      <w:r>
        <w:t xml:space="preserve"> </w:t>
      </w:r>
      <w:r>
        <w:t xml:space="preserve">tidiness. Each one exists because something actually went wrong, or very nearly did, and</w:t>
      </w:r>
      <w:r>
        <w:t xml:space="preserve"> </w:t>
      </w:r>
      <w:r>
        <w:t xml:space="preserve">we chose to write up the near-miss rather than quietly patch it and look competent.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results"/>
    <w:p>
      <w:pPr>
        <w:pStyle w:val="Heading2"/>
      </w:pPr>
      <w:r>
        <w:t xml:space="preserve">Results</w:t>
      </w:r>
    </w:p>
    <w:p>
      <w:pPr>
        <w:pStyle w:val="Heading3"/>
      </w:pPr>
      <w:bookmarkStart w:id="16" w:name="Xbb38188a52c02777f3cb08cd904f3580809066d"/>
      <w:r>
        <w:t xml:space="preserve">⚠ STUB — pre-registered structure, no campaign numbers entered</w:t>
      </w:r>
      <w:bookmarkEnd w:id="16"/>
    </w:p>
    <w:p>
      <w:pPr>
        <w:pStyle w:val="BlockText"/>
      </w:pPr>
      <w:r>
        <w:t xml:space="preserve">This section is deliberately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parameter-space campaign is run,</w:t>
      </w:r>
      <w:r>
        <w:t xml:space="preserve"> </w:t>
      </w:r>
      <w:r>
        <w:t xml:space="preserve">in the pre-registration style, so that the analysis plan cannot be adjusted after</w:t>
      </w:r>
      <w:r>
        <w:t xml:space="preserve"> </w:t>
      </w:r>
      <w:r>
        <w:t xml:space="preserve">seeing the outcome. Each subsection below states: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the question,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the exact entry point and configuration that answers it,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— the quantity and display item,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Falsifier</w:t>
      </w:r>
      <w:r>
        <w:t xml:space="preserve"> </w:t>
      </w:r>
      <w:r>
        <w:t xml:space="preserve">— the outcome that would contradict the framework’s stated claim, and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Filling rule.</w:t>
      </w:r>
      <w:r>
        <w:t xml:space="preserve"> </w:t>
      </w:r>
      <w:r>
        <w:t xml:space="preserve">A subsection may only be completed from a committed run whose</w:t>
      </w:r>
      <w:r>
        <w:t xml:space="preserve"> </w:t>
      </w:r>
      <w:r>
        <w:t xml:space="preserve">manifest hash appears in the Source Data. Any number entered here must be</w:t>
      </w:r>
      <w:r>
        <w:t xml:space="preserve"> </w:t>
      </w:r>
      <w:r>
        <w:t xml:space="preserve">reproducible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or by a committed script in</w:t>
      </w:r>
      <w:r>
        <w:t xml:space="preserve"> </w:t>
      </w:r>
      <w:r>
        <w:rPr>
          <w:rStyle w:val="VerbatimChar"/>
        </w:rPr>
        <w:t xml:space="preserve">scratchpad/</w:t>
      </w:r>
      <w:r>
        <w:t xml:space="preserve">. Prose may not be</w:t>
      </w:r>
      <w:r>
        <w:t xml:space="preserve"> </w:t>
      </w:r>
      <w:r>
        <w:t xml:space="preserve">written before the number it describes.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whole section is an empty form, filled in ahead of time on</w:t>
      </w:r>
      <w:r>
        <w:t xml:space="preserve"> </w:t>
      </w:r>
      <w:r>
        <w:t xml:space="preserve">purpose. For each experiment we’ve written down the question, exactly which command</w:t>
      </w:r>
      <w:r>
        <w:t xml:space="preserve"> </w:t>
      </w:r>
      <w:r>
        <w:t xml:space="preserve">answers it, what we’ll report, and — crucially —</w:t>
      </w:r>
      <w:r>
        <w:t xml:space="preserve"> </w:t>
      </w:r>
      <w:r>
        <w:rPr>
          <w:b/>
          <w:bCs/>
        </w:rPr>
        <w:t xml:space="preserve">what outcome would prove us wrong</w:t>
      </w:r>
      <w:r>
        <w:t xml:space="preserve">,</w:t>
      </w:r>
      <w:r>
        <w:t xml:space="preserve"> </w:t>
      </w:r>
      <w:r>
        <w:t xml:space="preserve">all before running anything. This is a technique borrowed from medical trials to stop</w:t>
      </w:r>
      <w:r>
        <w:t xml:space="preserve"> </w:t>
      </w:r>
      <w:r>
        <w:t xml:space="preserve">researchers unconsciously reshaping their analysis once they’ve seen the data. The rule</w:t>
      </w:r>
      <w:r>
        <w:t xml:space="preserve"> </w:t>
      </w:r>
      <w:r>
        <w:t xml:space="preserve">we’ve imposed on ourselves: no sentence may be written until the number it describes</w:t>
      </w:r>
      <w:r>
        <w:t xml:space="preserve"> </w:t>
      </w:r>
      <w:r>
        <w:t xml:space="preserve">exists and can be regenerated from scratch by anyone.</w:t>
      </w:r>
    </w:p>
    <w:bookmarkStart w:id="17" w:name="r1-validation-against-known-systems"/>
    <w:p>
      <w:pPr>
        <w:pStyle w:val="Heading3"/>
      </w:pPr>
      <w:r>
        <w:t xml:space="preserve">R1 — Validation against known systems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the implementation reproduce results the community already agrees on, at</w:t>
      </w:r>
      <w:r>
        <w:t xml:space="preserve"> </w:t>
      </w:r>
      <w:r>
        <w:t xml:space="preserve">the precision claimed?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pytest tests/benchmarks/</w:t>
      </w:r>
      <w:r>
        <w:t xml:space="preserve"> </w:t>
      </w:r>
      <w:r>
        <w:t xml:space="preserve">(full suite).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1: benchmark, quantity, reference value, computed value,</w:t>
      </w:r>
      <w:r>
        <w:t xml:space="preserve"> </w:t>
      </w:r>
      <w:r>
        <w:t xml:space="preserve">relative deviation, governing equation ID.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benchmark whose deviation exceeds its committed tolerance.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PARTIALLY AVAILABLE</w:t>
      </w:r>
      <w:r>
        <w:t xml:space="preserve"> </w:t>
      </w:r>
      <w:r>
        <w:t xml:space="preserve">— the benchmark suite is green in the repository and</w:t>
      </w:r>
      <w:r>
        <w:t xml:space="preserve"> </w:t>
      </w:r>
      <w:r>
        <w:t xml:space="preserve">its current values are given in Extended Data Table 1 as committed test outputs. This</w:t>
      </w:r>
      <w:r>
        <w:t xml:space="preserve"> </w:t>
      </w:r>
      <w:r>
        <w:t xml:space="preserve">subsection needs only the narrative pass and the final re-run under the submission tag.</w:t>
      </w:r>
      <w:r>
        <w:t xml:space="preserve"> </w:t>
      </w:r>
      <w:r>
        <w:t xml:space="preserve">The load-bearing entries are: the circular-binary strain and luminosity at rtol 10⁻⁶;</w:t>
      </w:r>
      <w:r>
        <w:t xml:space="preserve"> </w:t>
      </w:r>
      <w:r>
        <w:t xml:space="preserve">the luminosity built from the analytic third derivative reproducing the independent</w:t>
      </w:r>
      <w:r>
        <w:t xml:space="preserve"> </w:t>
      </w:r>
      <w:r>
        <w:t xml:space="preserve">closed form L = (32/5)(G/c⁵)μ²a⁴ω⁶ to</w:t>
      </w:r>
      <w:r>
        <w:t xml:space="preserve"> </w:t>
      </w:r>
      <w:r>
        <w:rPr>
          <w:b/>
          <w:bCs/>
        </w:rPr>
        <w:t xml:space="preserve">4.1 × 10⁻¹⁶</w:t>
      </w:r>
      <w:r>
        <w:t xml:space="preserve">; the PSR B1913+16 orbital decay</w:t>
      </w:r>
      <w:r>
        <w:t xml:space="preserve"> </w:t>
      </w:r>
      <w:r>
        <w:t xml:space="preserve">rate reproduced to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(−2.4031 × 10⁻¹² computed against −2.398 × 10⁻¹²</w:t>
      </w:r>
      <w:r>
        <w:t xml:space="preserve"> </w:t>
      </w:r>
      <w:r>
        <w:t xml:space="preserve">observed</w:t>
      </w:r>
      <w:r>
        <w:t xml:space="preserve">6,7</w:t>
      </w:r>
      <w:r>
        <w:t xml:space="preserve">); and the dipole-cancellation benchmark, in which the dipole</w:t>
      </w:r>
      <w:r>
        <w:t xml:space="preserve"> </w:t>
      </w:r>
      <w:r>
        <w:t xml:space="preserve">term vanishes to &lt; 10⁻¹² relative across 20 seeded momentum-conserving configurations</w:t>
      </w:r>
      <w:r>
        <w:t xml:space="preserve"> </w:t>
      </w:r>
      <w:r>
        <w:t xml:space="preserve">while a deliberate positive control exceeds 10⁻³.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Before trusting the software on anything new, we make it</w:t>
      </w:r>
      <w:r>
        <w:t xml:space="preserve"> </w:t>
      </w:r>
      <w:r>
        <w:t xml:space="preserve">reproduce things already known to be true. The headline check involves a real pair of</w:t>
      </w:r>
      <w:r>
        <w:t xml:space="preserve"> </w:t>
      </w:r>
      <w:r>
        <w:t xml:space="preserve">stars — a binary pulsar discovered in 1974, whose orbit is measurably shrinking as it</w:t>
      </w:r>
      <w:r>
        <w:t xml:space="preserve"> </w:t>
      </w:r>
      <w:r>
        <w:t xml:space="preserve">radiates gravitational waves. That measurement won a Nobel Prize. Our code predicts the</w:t>
      </w:r>
      <w:r>
        <w:t xml:space="preserve"> </w:t>
      </w:r>
      <w:r>
        <w:t xml:space="preserve">shrinkage rate to within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of the observed value. We also verify the</w:t>
      </w:r>
      <w:r>
        <w:t xml:space="preserve"> </w:t>
      </w:r>
      <w:r>
        <w:t xml:space="preserve">“switched-off</w:t>
      </w:r>
      <w:r>
        <w:t xml:space="preserve"> </w:t>
      </w:r>
      <w:r>
        <w:t xml:space="preserve">second option”</w:t>
      </w:r>
      <w:r>
        <w:t xml:space="preserve"> </w:t>
      </w:r>
      <w:r>
        <w:t xml:space="preserve">from earlier really does switch off: in properly modelled setups it</w:t>
      </w:r>
      <w:r>
        <w:t xml:space="preserve"> </w:t>
      </w:r>
      <w:r>
        <w:t xml:space="preserve">vanishes to a trillionth, while a deliberately broken setup we included as a control</w:t>
      </w:r>
      <w:r>
        <w:t xml:space="preserve"> </w:t>
      </w:r>
      <w:r>
        <w:t xml:space="preserve">shows it blazing away. That second half matters — a test that only ever passes isn’t</w:t>
      </w:r>
      <w:r>
        <w:t xml:space="preserve"> </w:t>
      </w:r>
      <w:r>
        <w:t xml:space="preserve">testing anything.</w:t>
      </w:r>
    </w:p>
    <w:bookmarkEnd w:id="17"/>
    <w:bookmarkStart w:id="18" w:name="Xd8c850938c941443aef64082d7295da96dca15e"/>
    <w:p>
      <w:pPr>
        <w:pStyle w:val="Heading3"/>
      </w:pPr>
      <w:r>
        <w:t xml:space="preserve">R2 — The spin-2 array laws, measured rather than derived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 the cos(2Δψ) mismatch law, the N²-only-for-co-oriented gain law, and the</w:t>
      </w:r>
      <w:r>
        <w:t xml:space="preserve"> </w:t>
      </w:r>
      <w:r>
        <w:t xml:space="preserve">exp(−4σ²) alignment tolerance hold across the array configurations of interest, or only</w:t>
      </w:r>
      <w:r>
        <w:t xml:space="preserve"> </w:t>
      </w:r>
      <w:r>
        <w:t xml:space="preserve">in the two-element case in which they were derived?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Orientation sweep over Δψ ∈ [0°, 180°] at N ∈ {2, 16, 64, 100, 1000}; jitter</w:t>
      </w:r>
      <w:r>
        <w:t xml:space="preserve"> </w:t>
      </w:r>
      <w:r>
        <w:t xml:space="preserve">study at σ ∈ [0°, 20°], ≥ 400 realizations per point, seeded.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3 (measured gain vs. 2 + 2cos(2Δψ), with the spin-1 prediction</w:t>
      </w:r>
      <w:r>
        <w:t xml:space="preserve"> </w:t>
      </w:r>
      <w:r>
        <w:t xml:space="preserve">overplotted); Fig. 4 (gain fraction vs. σ against exp(−4σ²) and exp(−σ²)).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Departure from cos(2Δψ) beyond the committed tolerance at any Δψ; or the</w:t>
      </w:r>
      <w:r>
        <w:t xml:space="preserve"> </w:t>
      </w:r>
      <w:r>
        <w:t xml:space="preserve">90° cancellation failing to be complete; or the measured tolerance curve agreeing better</w:t>
      </w:r>
      <w:r>
        <w:t xml:space="preserve"> </w:t>
      </w:r>
      <w:r>
        <w:t xml:space="preserve">with exp(−σ²) than exp(−4σ²).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 The two-element case is already committed (Table 1) and</w:t>
      </w:r>
      <w:r>
        <w:t xml:space="preserve"> </w:t>
      </w:r>
      <w:r>
        <w:t xml:space="preserve">agrees exactly; the N-element generalization is the new content.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proved the new rotation rules using just two emitters. Do</w:t>
      </w:r>
      <w:r>
        <w:t xml:space="preserve"> </w:t>
      </w:r>
      <w:r>
        <w:t xml:space="preserve">they still hold with sixteen, a hundred, a thousand? That’s this experiment. We’ve stated</w:t>
      </w:r>
      <w:r>
        <w:t xml:space="preserve"> </w:t>
      </w:r>
      <w:r>
        <w:t xml:space="preserve">in advance exactly what would prove us wrong: if the 90° pair fails to cancel completely,</w:t>
      </w:r>
      <w:r>
        <w:t xml:space="preserve"> </w:t>
      </w:r>
      <w:r>
        <w:t xml:space="preserve">or if the alignment-tolerance curve turns out to match the ordinary radio formula better</w:t>
      </w:r>
      <w:r>
        <w:t xml:space="preserve"> </w:t>
      </w:r>
      <w:r>
        <w:t xml:space="preserve">than our gravitational one, then our central claim is broken and we say so.</w:t>
      </w:r>
    </w:p>
    <w:bookmarkEnd w:id="18"/>
    <w:bookmarkStart w:id="19" w:name="X5575678f2424231dc7f5f1cda81eb96ddfef7d7"/>
    <w:p>
      <w:pPr>
        <w:pStyle w:val="Heading3"/>
      </w:pPr>
      <w:r>
        <w:t xml:space="preserve">R3 — Body-parameter sensitivity and the degeneracy-breaking mechanisms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Under what conditions do a body’s radius and density stop being degenerate with</w:t>
      </w:r>
      <w:r>
        <w:t xml:space="preserve"> </w:t>
      </w:r>
      <w:r>
        <w:t xml:space="preserve">its total mass, and by how much?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Fixed-mass sweeps over radius across ≥ 2 orders of magnitude, for the rigid,</w:t>
      </w:r>
      <w:r>
        <w:t xml:space="preserve"> </w:t>
      </w:r>
      <w:r>
        <w:t xml:space="preserve">elastic (Love-number) and finite-size-retardation models; materials spanning</w:t>
      </w:r>
      <w:r>
        <w:t xml:space="preserve"> </w:t>
      </w:r>
      <w:r>
        <w:t xml:space="preserve">steel/tungsten/osmium rigidities.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5: radiated quadrupole amplitude vs. radius at fixed mass, one trace</w:t>
      </w:r>
      <w:r>
        <w:t xml:space="preserve"> </w:t>
      </w:r>
      <w:r>
        <w:t xml:space="preserve">per model. Extended Data Table 2: measured degeneracy-breaking factor per mechanism.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radius dependence appearing in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— the rigid model’s</w:t>
      </w:r>
      <w:r>
        <w:t xml:space="preserve"> </w:t>
      </w:r>
      <w:r>
        <w:t xml:space="preserve">radiated amplitude must sit at the numerical floor, and a leaked R-dependent term as</w:t>
      </w:r>
      <w:r>
        <w:t xml:space="preserve"> </w:t>
      </w:r>
      <w:r>
        <w:t xml:space="preserve">small as 10⁻¹⁴ is designed to trip the floor check.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 </w:t>
      </w:r>
      <w:r>
        <w:t xml:space="preserve">for the campaign sweep; the committed unit-scale study</w:t>
      </w:r>
      <w:r>
        <w:t xml:space="preserve"> </w:t>
      </w:r>
      <w:r>
        <w:t xml:space="preserve">already shows rigid-model radiation at a measured floor of 10⁻¹⁵ against elastic-model</w:t>
      </w:r>
      <w:r>
        <w:t xml:space="preserve"> </w:t>
      </w:r>
      <w:r>
        <w:t xml:space="preserve">variation of ~7.6 × 10⁴ – 1.0 × 10⁵ ×, which the campaign should extend rather than</w:t>
      </w:r>
      <w:r>
        <w:t xml:space="preserve"> </w:t>
      </w:r>
      <w:r>
        <w:t xml:space="preserve">merely repeat.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If you’re building emitters, you’d like to know whether it</w:t>
      </w:r>
      <w:r>
        <w:t xml:space="preserve"> </w:t>
      </w:r>
      <w:r>
        <w:t xml:space="preserve">matters that your masses are big and light versus small and dense. For a perfectly rigid</w:t>
      </w:r>
      <w:r>
        <w:t xml:space="preserve"> </w:t>
      </w:r>
      <w:r>
        <w:t xml:space="preserve">ball the surprising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only the total weight matters, and size and density</w:t>
      </w:r>
      <w:r>
        <w:t xml:space="preserve"> </w:t>
      </w:r>
      <w:r>
        <w:t xml:space="preserve">cancel out entirely. But real objects aren’t perfectly rigid: they flex. Once you allow</w:t>
      </w:r>
      <w:r>
        <w:t xml:space="preserve"> </w:t>
      </w:r>
      <w:r>
        <w:t xml:space="preserve">flexing, size and density matter enormously — we measure a difference of up to about</w:t>
      </w:r>
      <w:r>
        <w:t xml:space="preserve"> </w:t>
      </w:r>
      <w:r>
        <w:t xml:space="preserve">100,000× across steel, tungsten and osmium. This experiment maps that out, and includes a</w:t>
      </w:r>
      <w:r>
        <w:t xml:space="preserve"> </w:t>
      </w:r>
      <w:r>
        <w:t xml:space="preserve">trap for ourselves: if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ever shows any size dependence at all, even at</w:t>
      </w:r>
      <w:r>
        <w:t xml:space="preserve"> </w:t>
      </w:r>
      <w:r>
        <w:t xml:space="preserve">the fourteenth decimal place, something has leaked and the code is wrong.</w:t>
      </w:r>
    </w:p>
    <w:bookmarkEnd w:id="19"/>
    <w:bookmarkStart w:id="20" w:name="X6dbbc7438e1a93b60d03d81cf297e4072a15f1f"/>
    <w:p>
      <w:pPr>
        <w:pStyle w:val="Heading3"/>
      </w:pPr>
      <w:r>
        <w:t xml:space="preserve">R4 — Spatiotemporal focusing with incommensurate drive frequencies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driving array elements at mutually incommensurate (prime-valued) frequencies</w:t>
      </w:r>
      <w:r>
        <w:t xml:space="preserve"> </w:t>
      </w:r>
      <w:r>
        <w:t xml:space="preserve">produce the mode-locking signature — peak amplitude N·A at the focus against a random-</w:t>
      </w:r>
      <w:r>
        <w:t xml:space="preserve"> </w:t>
      </w:r>
      <w:r>
        <w:t xml:space="preserve">phase background — and does the peak-to-background ratio scale as √N?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at f ≥ 10⁵ Hz for the reference aperture, N ∈ {16, 64, 100};</w:t>
      </w:r>
      <w:r>
        <w:t xml:space="preserve"> </w:t>
      </w:r>
      <w:r>
        <w:t xml:space="preserve">background estimated over randomized phase realizations.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6: focal-plane amplitude map and the peak-to-background ratio vs. √N.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Ratio not scaling as √N; or the peak failing to reach N·A at broadside to</w:t>
      </w:r>
      <w:r>
        <w:t xml:space="preserve"> </w:t>
      </w:r>
      <w:r>
        <w:t xml:space="preserve">rtol 10⁻⁶.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</w:t>
      </w:r>
      <w:r>
        <w:t xml:space="preserve"> </w:t>
      </w:r>
      <w:r>
        <w:rPr>
          <w:b/>
          <w:bCs/>
        </w:rPr>
        <w:t xml:space="preserve">Four traps must be honoured in the analysis and stated in</w:t>
      </w:r>
      <w:r>
        <w:rPr>
          <w:b/>
          <w:bCs/>
        </w:rPr>
        <w:t xml:space="preserve"> </w:t>
      </w:r>
      <w:r>
        <w:rPr>
          <w:b/>
          <w:bCs/>
        </w:rPr>
        <w:t xml:space="preserve">the caption</w:t>
      </w:r>
      <w:r>
        <w:t xml:space="preserve">, each of which produces a test that passes while asserting nothing:</w:t>
      </w:r>
      <w:r>
        <w:t xml:space="preserve"> </w:t>
      </w:r>
      <w:r>
        <w:t xml:space="preserve">(i) at the project’s nominal 1 kHz drive the 12.4 km reference aperture spans D/λ = 0.041</w:t>
      </w:r>
      <w:r>
        <w:t xml:space="preserve"> </w:t>
      </w:r>
      <w:r>
        <w:t xml:space="preserve">— it is a point source, not an array, and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weighting including uniform w = 1</w:t>
      </w:r>
      <w:r>
        <w:t xml:space="preserve"> </w:t>
      </w:r>
      <w:r>
        <w:t xml:space="preserve">returns exactly N, so any measurement at that frequency is vacuous; (ii) the sign</w:t>
      </w:r>
      <w:r>
        <w:t xml:space="preserve"> </w:t>
      </w:r>
      <w:r>
        <w:t xml:space="preserve">convention exp(+iφ) is undetermined within a few beamwidths of broadside and must be</w:t>
      </w:r>
      <w:r>
        <w:t xml:space="preserve"> </w:t>
      </w:r>
      <w:r>
        <w:t xml:space="preserve">pinned tens of beamwidths off-axis; (iii) peak gain is N only near broadside, falling to</w:t>
      </w:r>
      <w:r>
        <w:t xml:space="preserve"> </w:t>
      </w:r>
      <w:r>
        <w:t xml:space="preserve">≈ 45 at 50 beamwidths for N = 64; (iv) the random-phase background mean is the Rayleigh</w:t>
      </w:r>
      <w:r>
        <w:t xml:space="preserve"> </w:t>
      </w:r>
      <w:r>
        <w:t xml:space="preserve">value √(Nπ)/2 ≈ 0.886√N,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√N, so an implementer chasing the 12% discrepancy would</w:t>
      </w:r>
      <w:r>
        <w:t xml:space="preserve"> </w:t>
      </w:r>
      <w:r>
        <w:t xml:space="preserve">be chasing correct behaviour.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trick borrowed from lasers: if you drive many emitters at</w:t>
      </w:r>
      <w:r>
        <w:t xml:space="preserve"> </w:t>
      </w:r>
      <w:r>
        <w:t xml:space="preserve">frequencies that never quite line up with one another (using prime numbers, so their</w:t>
      </w:r>
      <w:r>
        <w:t xml:space="preserve"> </w:t>
      </w:r>
      <w:r>
        <w:t xml:space="preserve">rhythms take an extremely long time to repeat), all the waves coincide at exactly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point in space and time</w:t>
      </w:r>
      <w:r>
        <w:t xml:space="preserve"> </w:t>
      </w:r>
      <w:r>
        <w:t xml:space="preserve">and nowhere else — a brief, sharp spike instead of a spread-out</w:t>
      </w:r>
      <w:r>
        <w:t xml:space="preserve"> </w:t>
      </w:r>
      <w:r>
        <w:t xml:space="preserve">beam. This experiment tests whether that works here. The important part is the four</w:t>
      </w:r>
      <w:r>
        <w:t xml:space="preserve"> </w:t>
      </w:r>
      <w:r>
        <w:t xml:space="preserve">warnings: each describes a way of running this test that would</w:t>
      </w:r>
      <w:r>
        <w:t xml:space="preserve"> </w:t>
      </w:r>
      <w:r>
        <w:rPr>
          <w:i/>
          <w:iCs/>
        </w:rPr>
        <w:t xml:space="preserve">appear</w:t>
      </w:r>
      <w:r>
        <w:t xml:space="preserve"> </w:t>
      </w:r>
      <w:r>
        <w:t xml:space="preserve">to succeed while</w:t>
      </w:r>
      <w:r>
        <w:t xml:space="preserve"> </w:t>
      </w:r>
      <w:r>
        <w:t xml:space="preserve">actually measuring nothing. The nastiest is the first — at the frequency we’d naturally</w:t>
      </w:r>
      <w:r>
        <w:t xml:space="preserve"> </w:t>
      </w:r>
      <w:r>
        <w:t xml:space="preserve">pick, our array is smaller than a single wavelength, which makes it behave like one single</w:t>
      </w:r>
      <w:r>
        <w:t xml:space="preserve"> </w:t>
      </w:r>
      <w:r>
        <w:t xml:space="preserve">emitter rather than an array. In that situation the test passes perfectly even if you</w:t>
      </w:r>
      <w:r>
        <w:t xml:space="preserve"> </w:t>
      </w:r>
      <w:r>
        <w:t xml:space="preserve">delete the entire focusing calculation. We found these by measuring, and we’re publishing</w:t>
      </w:r>
      <w:r>
        <w:t xml:space="preserve"> </w:t>
      </w:r>
      <w:r>
        <w:t xml:space="preserve">them because they’re the traps most likely to catch the next person.</w:t>
      </w:r>
    </w:p>
    <w:bookmarkEnd w:id="20"/>
    <w:bookmarkStart w:id="21" w:name="r5-the-walls-quantified"/>
    <w:p>
      <w:pPr>
        <w:pStyle w:val="Heading3"/>
      </w:pPr>
      <w:r>
        <w:t xml:space="preserve">R5 — The walls, quantified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What is the actual magnitude of each barrier separating this concept from a</w:t>
      </w:r>
      <w:r>
        <w:t xml:space="preserve"> </w:t>
      </w:r>
      <w:r>
        <w:t xml:space="preserve">delivered deflection, and in what order must they be attacked?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Full feasibility-ledger emission across the scoping configuration set, with</w:t>
      </w:r>
      <w:r>
        <w:t xml:space="preserve"> </w:t>
      </w:r>
      <w:r>
        <w:t xml:space="preserve">run manifests.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2 (main text): each wall as a ledger row — achieved, required, units,</w:t>
      </w:r>
      <w:r>
        <w:t xml:space="preserve"> </w:t>
      </w:r>
      <w:r>
        <w:t xml:space="preserve">gap in decades, source module, provenance. Fig. 7: gap in decades per wall, sorted.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rPr>
          <w:b/>
          <w:bCs/>
        </w:rPr>
        <w:t xml:space="preserve">Any wall that disappears.</w:t>
      </w:r>
      <w:r>
        <w:t xml:space="preserve"> </w:t>
      </w:r>
      <w:r>
        <w:t xml:space="preserve">Under this project’s rules a wall is a</w:t>
      </w:r>
      <w:r>
        <w:t xml:space="preserve"> </w:t>
      </w:r>
      <w:r>
        <w:t xml:space="preserve">finding, not a bug; if a code change makes one vanish, the change is presumed defective</w:t>
      </w:r>
      <w:r>
        <w:t xml:space="preserve"> </w:t>
      </w:r>
      <w:r>
        <w:t xml:space="preserve">until proven otherwise, and the burden of proof is on the change.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 The three walls to be reported are diffraction (a 1 km spot</w:t>
      </w:r>
      <w:r>
        <w:t xml:space="preserve"> </w:t>
      </w:r>
      <w:r>
        <w:t xml:space="preserve">at 40 AU requires an aperture of ~6 × 10⁹ wavelengths</w:t>
      </w:r>
      <w:r>
        <w:t xml:space="preserve"> </w:t>
      </w:r>
      <w:r>
        <w:rPr>
          <w:b/>
          <w:bCs/>
        </w:rPr>
        <w:t xml:space="preserve">at any frequency</w:t>
      </w:r>
      <w:r>
        <w:t xml:space="preserve"> </w:t>
      </w:r>
      <w:r>
        <w:t xml:space="preserve">— raising</w:t>
      </w:r>
      <w:r>
        <w:t xml:space="preserve"> </w:t>
      </w:r>
      <w:r>
        <w:t xml:space="preserve">frequency does not relax the ratio, it shrinks the physical size that ratio corresponds</w:t>
      </w:r>
      <w:r>
        <w:t xml:space="preserve"> </w:t>
      </w:r>
      <w:r>
        <w:t xml:space="preserve">to, from ~1.2 × 10⁷ AU at 1 Hz to ~12 AU at 1 MHz); coupling (a gravitational wave</w:t>
      </w:r>
      <w:r>
        <w:t xml:space="preserve"> </w:t>
      </w:r>
      <w:r>
        <w:t xml:space="preserve">produces tidal strain, not net force, and momentum transfer requires absorption against</w:t>
      </w:r>
      <w:r>
        <w:t xml:space="preserve"> </w:t>
      </w:r>
      <w:r>
        <w:t xml:space="preserve">a negligible cross-section); and magnitude (radiated power scales as ω⁶, making</w:t>
      </w:r>
      <w:r>
        <w:t xml:space="preserve"> </w:t>
      </w:r>
      <w:r>
        <w:t xml:space="preserve">frequency the dominant lever by ~10³⁶ between 1 Hz and 1 MHz operation, against a</w:t>
      </w:r>
      <w:r>
        <w:t xml:space="preserve"> </w:t>
      </w:r>
      <w:r>
        <w:t xml:space="preserve">requirement of ~1.4 × 10¹⁰ N·s to impart 0.01 m s⁻¹ to a 1 km asteroid — for scale, the</w:t>
      </w:r>
      <w:r>
        <w:t xml:space="preserve"> </w:t>
      </w:r>
      <w:r>
        <w:t xml:space="preserve">DART impactor delivered ~1.2 × 10⁷ N·s</w:t>
      </w:r>
      <w:r>
        <w:t xml:space="preserve">8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on</w:t>
      </w:r>
      <w:r>
        <w:t xml:space="preserve"> </w:t>
      </w:r>
      <w:r>
        <w:t xml:space="preserve">purpose and in detail. 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the beam</w:t>
      </w:r>
      <w:r>
        <w:t xml:space="preserve"> </w:t>
      </w:r>
      <w:r>
        <w:t xml:space="preserve">onto a 1 km target at the distance of Pluto, your transmitter must be about six billion</w:t>
      </w:r>
      <w:r>
        <w:t xml:space="preserve"> </w:t>
      </w:r>
      <w:r>
        <w:t xml:space="preserve">wavelengths across — and cranking the frequency up doesn’t rescue you, it just changes</w:t>
      </w:r>
      <w:r>
        <w:t xml:space="preserve"> </w:t>
      </w:r>
      <w:r>
        <w:t xml:space="preserve">what that means in metres, from absurd to merely impossible.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</w:t>
      </w:r>
      <w:r>
        <w:t xml:space="preserve"> </w:t>
      </w:r>
      <w:r>
        <w:t xml:space="preserve">wave stretches and squeezes things, it doesn’t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them; to push, the asteroid would</w:t>
      </w:r>
      <w:r>
        <w:t xml:space="preserve"> </w:t>
      </w:r>
      <w:r>
        <w:t xml:space="preserve">have to 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we’re roughly forty</w:t>
      </w:r>
      <w:r>
        <w:t xml:space="preserve"> </w:t>
      </w:r>
      <w:r>
        <w:t xml:space="preserve">orders of magnitude short on raw power. For scale, NASA’s DART mission actually shifted an</w:t>
      </w:r>
      <w:r>
        <w:t xml:space="preserve"> </w:t>
      </w:r>
      <w:r>
        <w:t xml:space="preserve">asteroid in 2022 by flying a spacecraft into it, and even that delivered about a thousand</w:t>
      </w:r>
      <w:r>
        <w:t xml:space="preserve"> </w:t>
      </w:r>
      <w:r>
        <w:t xml:space="preserve">times less push than the job needs. The rule we’ve written into the project:</w:t>
      </w:r>
      <w:r>
        <w:t xml:space="preserve"> </w:t>
      </w:r>
      <w:r>
        <w:rPr>
          <w:b/>
          <w:bCs/>
        </w:rPr>
        <w:t xml:space="preserve">if a code</w:t>
      </w:r>
      <w:r>
        <w:rPr>
          <w:b/>
          <w:bCs/>
        </w:rPr>
        <w:t xml:space="preserve"> </w:t>
      </w:r>
      <w:r>
        <w:rPr>
          <w:b/>
          <w:bCs/>
        </w:rPr>
        <w:t xml:space="preserve">change ever makes one of these walls vanish, we assume the change is broken, not that we</w:t>
      </w:r>
      <w:r>
        <w:rPr>
          <w:b/>
          <w:bCs/>
        </w:rPr>
        <w:t xml:space="preserve"> </w:t>
      </w:r>
      <w:r>
        <w:rPr>
          <w:b/>
          <w:bCs/>
        </w:rPr>
        <w:t xml:space="preserve">solved it.</w:t>
      </w:r>
    </w:p>
    <w:bookmarkEnd w:id="21"/>
    <w:bookmarkStart w:id="22" w:name="X66ab02a6fc0c284c8a947b9ebdeb740e39cb2c6"/>
    <w:p>
      <w:pPr>
        <w:pStyle w:val="Heading3"/>
      </w:pPr>
      <w:r>
        <w:t xml:space="preserve">R6 — Cross-channel comparison at the target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How does radiative coupling compare, quantitatively, against the one</w:t>
      </w:r>
      <w:r>
        <w:t xml:space="preserve"> </w:t>
      </w:r>
      <w:r>
        <w:t xml:space="preserve">gravity-based deflection mechanism that demonstrably works?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compare_channels</w:t>
      </w:r>
      <w:r>
        <w:t xml:space="preserve"> </w:t>
      </w:r>
      <w:r>
        <w:t xml:space="preserve">across the scoping set: tidal strain, absorption thrust, and</w:t>
      </w:r>
      <w:r>
        <w:t xml:space="preserve"> </w:t>
      </w:r>
      <w:r>
        <w:t xml:space="preserve">near-zone gravitational gradient (the gravity-tractor mechanism</w:t>
      </w:r>
      <w:r>
        <w:t xml:space="preserve">9,10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3: all three channels side by side, same units, same configuration.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Radiative coupling exceeding the near-zone channel at any modelled</w:t>
      </w:r>
      <w:r>
        <w:t xml:space="preserve"> </w:t>
      </w:r>
      <w:r>
        <w:t xml:space="preserve">configuration would contradict the framework’s stated expectation and must be</w:t>
      </w:r>
      <w:r>
        <w:t xml:space="preserve"> </w:t>
      </w:r>
      <w:r>
        <w:t xml:space="preserve">investigated as a defect before being reported as a result.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already a respectable, boring way to nudge an asteroid</w:t>
      </w:r>
      <w:r>
        <w:t xml:space="preserve"> </w:t>
      </w:r>
      <w:r>
        <w:t xml:space="preserve">with gravity: park a heavy spacecraft next to it and let ordinary gravitational attraction</w:t>
      </w:r>
      <w:r>
        <w:t xml:space="preserve"> </w:t>
      </w:r>
      <w:r>
        <w:t xml:space="preserve">tow it, very slowly. That’s the</w:t>
      </w:r>
      <w:r>
        <w:t xml:space="preserve"> </w:t>
      </w:r>
      <w:r>
        <w:t xml:space="preserve">“gravity tractor,”</w:t>
      </w:r>
      <w:r>
        <w:t xml:space="preserve"> </w:t>
      </w:r>
      <w:r>
        <w:t xml:space="preserve">and it’s the benchmark any exotic</w:t>
      </w:r>
      <w:r>
        <w:t xml:space="preserve"> </w:t>
      </w:r>
      <w:r>
        <w:t xml:space="preserve">proposal has to beat. Here we put all three options side by side in the same units and let</w:t>
      </w:r>
      <w:r>
        <w:t xml:space="preserve"> </w:t>
      </w:r>
      <w:r>
        <w:t xml:space="preserve">the reader compare. Note the built-in scepticism: if our fancy wave-based method ever</w:t>
      </w:r>
      <w:r>
        <w:t xml:space="preserve"> </w:t>
      </w:r>
      <w:r>
        <w:rPr>
          <w:i/>
          <w:iCs/>
        </w:rPr>
        <w:t xml:space="preserve">beats</w:t>
      </w:r>
      <w:r>
        <w:t xml:space="preserve"> </w:t>
      </w:r>
      <w:r>
        <w:t xml:space="preserve">the boring one, we treat that as a probable bug to investigate before we’d treat</w:t>
      </w:r>
      <w:r>
        <w:t xml:space="preserve"> </w:t>
      </w:r>
      <w:r>
        <w:t xml:space="preserve">it as a discovery.</w:t>
      </w:r>
    </w:p>
    <w:bookmarkEnd w:id="22"/>
    <w:bookmarkStart w:id="23" w:name="r7-numerical-regime-findings"/>
    <w:p>
      <w:pPr>
        <w:pStyle w:val="Heading3"/>
      </w:pPr>
      <w:r>
        <w:t xml:space="preserve">R7 — Numerical-regime findings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Which numerical constructions in this problem fail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at astronomical</w:t>
      </w:r>
      <w:r>
        <w:t xml:space="preserve"> </w:t>
      </w:r>
      <w:r>
        <w:t xml:space="preserve">scale, and what is the sufficient remedy?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3, and the Methods derivation of the split-phase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— this subsection can be written now from committed results and</w:t>
      </w:r>
      <w:r>
        <w:t xml:space="preserve"> </w:t>
      </w:r>
      <w:r>
        <w:t xml:space="preserve">is, in our judgement, of interest beyond this application. Two findings: differencing</w:t>
      </w:r>
      <w:r>
        <w:t xml:space="preserve"> </w:t>
      </w:r>
      <w:r>
        <w:t xml:space="preserve">two ~10¹² m element ranges at 40 AU returns</w:t>
      </w:r>
      <w:r>
        <w:t xml:space="preserve"> </w:t>
      </w:r>
      <w:r>
        <w:rPr>
          <w:b/>
          <w:bCs/>
        </w:rPr>
        <w:t xml:space="preserve">exactly zero in float64</w:t>
      </w:r>
      <w:r>
        <w:t xml:space="preserve"> </w:t>
      </w:r>
      <w:r>
        <w:t xml:space="preserve">— every</w:t>
      </w:r>
      <w:r>
        <w:t xml:space="preserve"> </w:t>
      </w:r>
      <w:r>
        <w:t xml:space="preserve">element’s range rounds to the same value, so 100% of the focusing information is lost</w:t>
      </w:r>
      <w:r>
        <w:t xml:space="preserve"> </w:t>
      </w:r>
      <w:r>
        <w:t xml:space="preserve">with no error, no warning, and a plausible-looking array of zeros; and the absolute</w:t>
      </w:r>
      <w:r>
        <w:t xml:space="preserve"> </w:t>
      </w:r>
      <w:r>
        <w:t xml:space="preserve">propagation phase at 40 AU / 1 kHz is ~1.25 × 10⁸ rad, where float64’s representable</w:t>
      </w:r>
      <w:r>
        <w:t xml:space="preserve"> </w:t>
      </w:r>
      <w:r>
        <w:t xml:space="preserve">spacing (~1.5 × 10⁻⁸ rad) is</w:t>
      </w:r>
      <w:r>
        <w:t xml:space="preserve"> </w:t>
      </w:r>
      <w:r>
        <w:rPr>
          <w:b/>
          <w:bCs/>
        </w:rPr>
        <w:t xml:space="preserve">~340× larger than the entire per-element differential</w:t>
      </w:r>
      <w:r>
        <w:t xml:space="preserve"> </w:t>
      </w:r>
      <w:r>
        <w:t xml:space="preserve">(~4.4 × 10⁻¹¹ rad). The reference/differential split is therefore not a single-precision</w:t>
      </w:r>
      <w:r>
        <w:t xml:space="preserve"> </w:t>
      </w:r>
      <w:r>
        <w:t xml:space="preserve">optimization; it is the only way to obtain the quantity at all. Both are verified</w:t>
      </w:r>
      <w:r>
        <w:t xml:space="preserve"> </w:t>
      </w:r>
      <w:r>
        <w:t xml:space="preserve">against 60-digit decimal references rather than against the implementation’s own</w:t>
      </w:r>
      <w:r>
        <w:t xml:space="preserve"> </w:t>
      </w:r>
      <w:r>
        <w:t xml:space="preserve">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finding has nothing to do with gravity and may be the most</w:t>
      </w:r>
      <w:r>
        <w:t xml:space="preserve"> </w:t>
      </w:r>
      <w:r>
        <w:t xml:space="preserve">broadly useful thing here. Computers store numbers with limited precision. When you</w:t>
      </w:r>
      <w:r>
        <w:t xml:space="preserve"> </w:t>
      </w:r>
      <w:r>
        <w:t xml:space="preserve">subtract two enormous, almost-identical distances — billions of kilometres that differ by</w:t>
      </w:r>
      <w:r>
        <w:t xml:space="preserve"> </w:t>
      </w:r>
      <w:r>
        <w:t xml:space="preserve">a few metres — the computer returns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. Not approximately: exactly. Every</w:t>
      </w:r>
      <w:r>
        <w:t xml:space="preserve"> </w:t>
      </w:r>
      <w:r>
        <w:t xml:space="preserve">scrap of the information you needed is silently destroyed, with no error message and a</w:t>
      </w:r>
      <w:r>
        <w:t xml:space="preserve"> </w:t>
      </w:r>
      <w:r>
        <w:t xml:space="preserve">perfectly innocent-looking answer. We hit this twice in different places. The fix is to</w:t>
      </w:r>
      <w:r>
        <w:t xml:space="preserve"> </w:t>
      </w:r>
      <w:r>
        <w:t xml:space="preserve">rearrange the arithmetic so the enormous number is never actually written down. Anyone</w:t>
      </w:r>
      <w:r>
        <w:t xml:space="preserve"> </w:t>
      </w:r>
      <w:r>
        <w:t xml:space="preserve">doing precision work at astronomical scale — navigation, radar, interferometry — can hit</w:t>
      </w:r>
      <w:r>
        <w:t xml:space="preserve"> </w:t>
      </w:r>
      <w:r>
        <w:t xml:space="preserve">this same trap, which is why we’re reporting it separately.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What this framework is for.</w:t>
      </w:r>
      <w:r>
        <w:t xml:space="preserve"> </w:t>
      </w:r>
      <w:r>
        <w:t xml:space="preserve">Its most valuable output is not a working device. It is</w:t>
      </w:r>
      <w:r>
        <w:t xml:space="preserve"> </w:t>
      </w:r>
      <w:r>
        <w:t xml:space="preserve">a parameterized, auditable statement of</w:t>
      </w:r>
      <w:r>
        <w:t xml:space="preserve"> </w:t>
      </w:r>
      <w:r>
        <w:rPr>
          <w:i/>
          <w:iCs/>
        </w:rPr>
        <w:t xml:space="preserve">which orders of magnitude must be attacked, and</w:t>
      </w:r>
      <w:r>
        <w:rPr>
          <w:i/>
          <w:iCs/>
        </w:rPr>
        <w:t xml:space="preserve"> </w:t>
      </w:r>
      <w:r>
        <w:rPr>
          <w:i/>
          <w:iCs/>
        </w:rPr>
        <w:t xml:space="preserve">in what order</w:t>
      </w:r>
      <w:r>
        <w:t xml:space="preserve">, so that contributors across a long project lifetime aim at the real</w:t>
      </w:r>
      <w:r>
        <w:t xml:space="preserve"> </w:t>
      </w:r>
      <w:r>
        <w:t xml:space="preserve">bottleneck rather than a comfortable one. The</w:t>
      </w:r>
      <w:r>
        <w:t xml:space="preserve"> </w:t>
      </w:r>
      <w:r>
        <w:t xml:space="preserve">“transducer”</w:t>
      </w:r>
      <w:r>
        <w:t xml:space="preserve"> </w:t>
      </w:r>
      <w:r>
        <w:t xml:space="preserve">problem — whatever physical</w:t>
      </w:r>
      <w:r>
        <w:t xml:space="preserve"> </w:t>
      </w:r>
      <w:r>
        <w:t xml:space="preserve">mechanism might convert stored energy into gravitational radiation at useful efficiency</w:t>
      </w:r>
      <w:r>
        <w:t xml:space="preserve"> </w:t>
      </w:r>
      <w:r>
        <w:t xml:space="preserve">— is deliberately out of scope and is registered as an open conjecture rather than</w:t>
      </w:r>
      <w:r>
        <w:t xml:space="preserve"> </w:t>
      </w:r>
      <w:r>
        <w:t xml:space="preserve">assumed away.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are not claiming to have built a tractor beam, and we don’t</w:t>
      </w:r>
      <w:r>
        <w:t xml:space="preserve"> </w:t>
      </w:r>
      <w:r>
        <w:t xml:space="preserve">expect anyone to build one soon. What this project produces is a rigorous, checkable map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exactly which impossible things would have to become possible, and in what order</w:t>
      </w:r>
      <w:r>
        <w:t xml:space="preserve"> </w:t>
      </w:r>
      <w:r>
        <w:t xml:space="preserve">— so</w:t>
      </w:r>
      <w:r>
        <w:t xml:space="preserve"> </w:t>
      </w:r>
      <w:r>
        <w:t xml:space="preserve">that anyone working on this over the coming decades attacks the real bottleneck instead of</w:t>
      </w:r>
      <w:r>
        <w:t xml:space="preserve"> </w:t>
      </w:r>
      <w:r>
        <w:t xml:space="preserve">whichever one happens to be the most fun. The single biggest unknown — what physical device</w:t>
      </w:r>
      <w:r>
        <w:t xml:space="preserve"> </w:t>
      </w:r>
      <w:r>
        <w:t xml:space="preserve">could turn stored energy into gravitational waves efficiently — we explicitly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solve, and we file it as an open question rather than quietly assuming it away.</w:t>
      </w:r>
    </w:p>
    <w:p>
      <w:pPr>
        <w:pStyle w:val="BodyText"/>
      </w:pPr>
      <w:r>
        <w:rPr>
          <w:b/>
          <w:bCs/>
        </w:rPr>
        <w:t xml:space="preserve">The spin-2 array results are the transferable physics.</w:t>
      </w:r>
      <w:r>
        <w:t xml:space="preserve"> </w:t>
      </w:r>
      <w:r>
        <w:t xml:space="preserve">They are independent of the</w:t>
      </w:r>
      <w:r>
        <w:t xml:space="preserve"> </w:t>
      </w:r>
      <w:r>
        <w:t xml:space="preserve">deflection application and apply to any proposal involving coherent superposition of</w:t>
      </w:r>
      <w:r>
        <w:t xml:space="preserve"> </w:t>
      </w:r>
      <w:r>
        <w:t xml:space="preserve">gravitational radiation from spatially separated sources. The 90°-cancellation result in</w:t>
      </w:r>
      <w:r>
        <w:t xml:space="preserve"> </w:t>
      </w:r>
      <w:r>
        <w:t xml:space="preserve">particular is a trap that any group approaching this problem from an engineering</w:t>
      </w:r>
      <w:r>
        <w:t xml:space="preserve"> </w:t>
      </w:r>
      <w:r>
        <w:t xml:space="preserve">background will encounter, and it is not documented in the array-synthesis literature</w:t>
      </w:r>
      <w:r>
        <w:t xml:space="preserve"> </w:t>
      </w:r>
      <w:r>
        <w:t xml:space="preserve">because that literature is spin-1 by construction.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rotation rules we derived don’t depend on asteroids at all.</w:t>
      </w:r>
      <w:r>
        <w:t xml:space="preserve"> </w:t>
      </w:r>
      <w:r>
        <w:t xml:space="preserve">They apply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attempt to combine gravitational-wave sources, for any purpose. The</w:t>
      </w:r>
      <w:r>
        <w:t xml:space="preserve"> </w:t>
      </w:r>
      <w:r>
        <w:t xml:space="preserve">90°-cancellation result in particular is a landmine sitting directly in the path of anyone</w:t>
      </w:r>
      <w:r>
        <w:t xml:space="preserve"> </w:t>
      </w:r>
      <w:r>
        <w:t xml:space="preserve">who approaches this from an engineering background — which is to say, most people who</w:t>
      </w:r>
      <w:r>
        <w:t xml:space="preserve"> </w:t>
      </w:r>
      <w:r>
        <w:t xml:space="preserve">would try — and it appears nowhere in the existing antenna literature, because that</w:t>
      </w:r>
      <w:r>
        <w:t xml:space="preserve"> </w:t>
      </w:r>
      <w:r>
        <w:t xml:space="preserve">literature never had to consider it.</w:t>
      </w:r>
    </w:p>
    <w:p>
      <w:pPr>
        <w:pStyle w:val="BodyText"/>
      </w:pPr>
      <w:r>
        <w:rPr>
          <w:b/>
          <w:bCs/>
        </w:rPr>
        <w:t xml:space="preserve">On negative results as deliverables.</w:t>
      </w:r>
      <w:r>
        <w:t xml:space="preserve"> </w:t>
      </w:r>
      <w:r>
        <w:t xml:space="preserve">The framework’s derivation of the uniform-sphere</w:t>
      </w:r>
      <w:r>
        <w:t xml:space="preserve"> </w:t>
      </w:r>
      <w:r>
        <w:t xml:space="preserve">l = 2 finite-size form factor (Methods) illustrates the epistemic machinery working as</w:t>
      </w:r>
      <w:r>
        <w:t xml:space="preserve"> </w:t>
      </w:r>
      <w:r>
        <w:t xml:space="preserve">designed. A literature search for a citable numbered equation</w:t>
      </w:r>
      <w:r>
        <w:t xml:space="preserve"> </w:t>
      </w:r>
      <w:r>
        <w:rPr>
          <w:b/>
          <w:bCs/>
        </w:rPr>
        <w:t xml:space="preserve">failed</w:t>
      </w:r>
      <w:r>
        <w:t xml:space="preserve">, and that</w:t>
      </w:r>
      <w:r>
        <w:t xml:space="preserve"> </w:t>
      </w:r>
      <w:r>
        <w:t xml:space="preserve">failure is recorded as the decision rather than papered over: the result is admitted as</w:t>
      </w:r>
      <w:r>
        <w:t xml:space="preserve"> </w:t>
      </w:r>
      <w:r>
        <w:t xml:space="preserve">our derivation, justified by three independent numerical routes agreeing to</w:t>
      </w:r>
      <w:r>
        <w:t xml:space="preserve"> </w:t>
      </w:r>
      <w:r>
        <w:t xml:space="preserve">1.7 × 10⁻¹², with the likely primary source cited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 because a</w:t>
      </w:r>
      <w:r>
        <w:t xml:space="preserve"> </w:t>
      </w:r>
      <w:r>
        <w:t xml:space="preserve">guessed number is worse than none. In the process, both form factors originally proposed</w:t>
      </w:r>
      <w:r>
        <w:t xml:space="preserve"> </w:t>
      </w:r>
      <w:r>
        <w:t xml:space="preserve">for the task were shown to be the wrong multipole order — one of them being spin-1</w:t>
      </w:r>
      <w:r>
        <w:t xml:space="preserve"> </w:t>
      </w:r>
      <w:r>
        <w:t xml:space="preserve">antenna machinery that was within one commit of entering the codebase as gravitational</w:t>
      </w:r>
      <w:r>
        <w:t xml:space="preserve"> </w:t>
      </w:r>
      <w:r>
        <w:t xml:space="preserve">physics.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worked example of the safety machinery catching a real error.</w:t>
      </w:r>
      <w:r>
        <w:t xml:space="preserve"> </w:t>
      </w:r>
      <w:r>
        <w:t xml:space="preserve">We needed a particular correction factor and went looking for a published source. We</w:t>
      </w:r>
      <w:r>
        <w:t xml:space="preserve"> </w:t>
      </w:r>
      <w:r>
        <w:t xml:space="preserve">couldn’t find one — and rather than fudge it, we recorded the failure itself as the</w:t>
      </w:r>
      <w:r>
        <w:t xml:space="preserve"> </w:t>
      </w:r>
      <w:r>
        <w:t xml:space="preserve">decision, derived the result ourselves, and proved it three separate independent ways that</w:t>
      </w:r>
      <w:r>
        <w:t xml:space="preserve"> </w:t>
      </w:r>
      <w:r>
        <w:t xml:space="preserve">agree to twelve decimal places. Along the way we discovered that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 formulas</w:t>
      </w:r>
      <w:r>
        <w:t xml:space="preserve"> </w:t>
      </w:r>
      <w:r>
        <w:t xml:space="preserve">we’d originally intended to use were simply wrong for this situation, and one of them was</w:t>
      </w:r>
      <w:r>
        <w:t xml:space="preserve"> </w:t>
      </w:r>
      <w:r>
        <w:t xml:space="preserve">the borrowed-from-antennas mistake described earlier. It was one step away from going into</w:t>
      </w:r>
      <w:r>
        <w:t xml:space="preserve"> </w:t>
      </w:r>
      <w:r>
        <w:t xml:space="preserve">the code as real gravitational physics.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(i) The linear formalism cannot access nonlinear (</w:t>
      </w:r>
      <w:r>
        <w:t xml:space="preserve">“Christodoulou”</w:t>
      </w:r>
      <w:r>
        <w:t xml:space="preserve">)</w:t>
      </w:r>
      <w:r>
        <w:t xml:space="preserve"> </w:t>
      </w:r>
      <w:r>
        <w:t xml:space="preserve">memory; only linear memory is available. For the finite-maneuver configurations modelled</w:t>
      </w:r>
      <w:r>
        <w:t xml:space="preserve"> </w:t>
      </w:r>
      <w:r>
        <w:t xml:space="preserve">here the linear term dominates, but this is a real restriction. (ii) The static</w:t>
      </w:r>
      <w:r>
        <w:t xml:space="preserve"> </w:t>
      </w:r>
      <w:r>
        <w:t xml:space="preserve">(adiabatic) tidal response assumes the body reaches equilibrium deformation</w:t>
      </w:r>
      <w:r>
        <w:t xml:space="preserve"> </w:t>
      </w:r>
      <w:r>
        <w:t xml:space="preserve">instantaneously relative to the drive, which</w:t>
      </w:r>
      <w:r>
        <w:t xml:space="preserve"> </w:t>
      </w:r>
      <w:r>
        <w:rPr>
          <w:b/>
          <w:bCs/>
        </w:rPr>
        <w:t xml:space="preserve">fails as the drive frequency approaches</w:t>
      </w:r>
      <w:r>
        <w:rPr>
          <w:b/>
          <w:bCs/>
        </w:rPr>
        <w:t xml:space="preserve"> </w:t>
      </w:r>
      <w:r>
        <w:rPr>
          <w:b/>
          <w:bCs/>
        </w:rPr>
        <w:t xml:space="preserve">the body’s internal modes — exactly the high-frequency regime the ω⁶ scaling makes most</w:t>
      </w:r>
      <w:r>
        <w:rPr>
          <w:b/>
          <w:bCs/>
        </w:rPr>
        <w:t xml:space="preserve"> </w:t>
      </w:r>
      <w:r>
        <w:rPr>
          <w:b/>
          <w:bCs/>
        </w:rPr>
        <w:t xml:space="preserve">interesting.</w:t>
      </w:r>
      <w:r>
        <w:t xml:space="preserve"> </w:t>
      </w:r>
      <w:r>
        <w:t xml:space="preserve">No frequency-dependent complex-k₂ treatment exists here yet. (iii) The</w:t>
      </w:r>
      <w:r>
        <w:t xml:space="preserve"> </w:t>
      </w:r>
      <w:r>
        <w:t xml:space="preserve">Love-number model assumes a homogeneous incompressible sphere and therefore breaks for</w:t>
      </w:r>
      <w:r>
        <w:t xml:space="preserve"> </w:t>
      </w:r>
      <w:r>
        <w:t xml:space="preserve">differentiated, porous or rubble-pile bodies, i.e. a large fraction of real deflection</w:t>
      </w:r>
      <w:r>
        <w:t xml:space="preserve"> </w:t>
      </w:r>
      <w:r>
        <w:t xml:space="preserve">targets; the function cannot detect this from its arguments and the caller must. (iv) At</w:t>
      </w:r>
      <w:r>
        <w:t xml:space="preserve"> </w:t>
      </w:r>
      <w:r>
        <w:t xml:space="preserve">40 AU, focusing is numerically degenerate with steering — a</w:t>
      </w:r>
      <w:r>
        <w:t xml:space="preserve"> </w:t>
      </w:r>
      <w:r>
        <w:t xml:space="preserve">“focal point”</w:t>
      </w:r>
      <w:r>
        <w:t xml:space="preserve"> </w:t>
      </w:r>
      <w:r>
        <w:t xml:space="preserve">is a steering</w:t>
      </w:r>
      <w:r>
        <w:t xml:space="preserve"> </w:t>
      </w:r>
      <w:r>
        <w:t xml:space="preserve">direction at infinity — so near-field focusing is out of scope and the code raises</w:t>
      </w:r>
      <w:r>
        <w:t xml:space="preserve"> </w:t>
      </w:r>
      <w:r>
        <w:t xml:space="preserve">rather than degrading when asked for it. (v) Momentum-non-conserving configurations are</w:t>
      </w:r>
      <w:r>
        <w:t xml:space="preserve"> </w:t>
      </w:r>
      <w:r>
        <w:t xml:space="preserve">modelled only as a stamped diagnostic; they are not an approximation but a deliberate</w:t>
      </w:r>
      <w:r>
        <w:t xml:space="preserve"> </w:t>
      </w:r>
      <w:r>
        <w:t xml:space="preserve">fiction, since the linearized field equations are strictly inconsistent with a</w:t>
      </w:r>
      <w:r>
        <w:t xml:space="preserve"> </w:t>
      </w:r>
      <w:r>
        <w:t xml:space="preserve">non-conserved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things this work genuinely cannot do, stated plainly.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We can only model the simpler of two known permanent after-effects a passing wave</w:t>
      </w:r>
      <w:r>
        <w:t xml:space="preserve"> </w:t>
      </w:r>
      <w:r>
        <w:t xml:space="preserve">leaves behind.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We assume objects flex instantly in response to being driven,</w:t>
      </w:r>
      <w:r>
        <w:t xml:space="preserve"> </w:t>
      </w:r>
      <w:r>
        <w:t xml:space="preserve">which stops being true at high frequencies — and high frequency is precisely the regime</w:t>
      </w:r>
      <w:r>
        <w:t xml:space="preserve"> </w:t>
      </w:r>
      <w:r>
        <w:t xml:space="preserve">that’s most promising, so this limitation bites exactly where it hurts most.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Our</w:t>
      </w:r>
      <w:r>
        <w:t xml:space="preserve"> </w:t>
      </w:r>
      <w:r>
        <w:t xml:space="preserve">flexing model assumes a uniform solid ball, but many real asteroids are loose piles of</w:t>
      </w:r>
      <w:r>
        <w:t xml:space="preserve"> </w:t>
      </w:r>
      <w:r>
        <w:t xml:space="preserve">rubble, and the software can’t detect that on its own — a human has to notice.</w:t>
      </w:r>
      <w:r>
        <w:t xml:space="preserve"> </w:t>
      </w:r>
      <w:r>
        <w:rPr>
          <w:b/>
          <w:bCs/>
        </w:rPr>
        <w:t xml:space="preserve">(iv)</w:t>
      </w:r>
      <w:r>
        <w:t xml:space="preserve"> </w:t>
      </w:r>
      <w:r>
        <w:t xml:space="preserve">At</w:t>
      </w:r>
      <w:r>
        <w:t xml:space="preserve"> </w:t>
      </w:r>
      <w:r>
        <w:t xml:space="preserve">these distances</w:t>
      </w:r>
      <w:r>
        <w:t xml:space="preserve"> </w:t>
      </w:r>
      <w:r>
        <w:t xml:space="preserve">“focusing”</w:t>
      </w:r>
      <w:r>
        <w:t xml:space="preserve"> </w:t>
      </w:r>
      <w:r>
        <w:t xml:space="preserve">and</w:t>
      </w:r>
      <w:r>
        <w:t xml:space="preserve"> </w:t>
      </w:r>
      <w:r>
        <w:t xml:space="preserve">“aiming”</w:t>
      </w:r>
      <w:r>
        <w:t xml:space="preserve"> </w:t>
      </w:r>
      <w:r>
        <w:t xml:space="preserve">become mathematically the same thing; the code</w:t>
      </w:r>
      <w:r>
        <w:t xml:space="preserve"> </w:t>
      </w:r>
      <w:r>
        <w:t xml:space="preserve">refuses the request rather than pretending otherwise.</w:t>
      </w:r>
      <w:r>
        <w:t xml:space="preserve"> </w:t>
      </w:r>
      <w:r>
        <w:rPr>
          <w:b/>
          <w:bCs/>
        </w:rPr>
        <w:t xml:space="preserve">(v)</w:t>
      </w:r>
      <w:r>
        <w:t xml:space="preserve"> </w:t>
      </w:r>
      <w:r>
        <w:t xml:space="preserve">The physically impossible</w:t>
      </w:r>
      <w:r>
        <w:t xml:space="preserve"> </w:t>
      </w:r>
      <w:r>
        <w:t xml:space="preserve">setups aren’t approximations, they’re deliberate fictions, kept only as diagnostics and</w:t>
      </w:r>
      <w:r>
        <w:t xml:space="preserve"> </w:t>
      </w:r>
      <w:r>
        <w:t xml:space="preserve">branded accordingly.</w:t>
      </w:r>
    </w:p>
    <w:p>
      <w:pPr>
        <w:pStyle w:val="BodyText"/>
      </w:pPr>
      <w:r>
        <w:rPr>
          <w:b/>
          <w:bCs/>
        </w:rPr>
        <w:t xml:space="preserve">On adjacency to discredited work.</w:t>
      </w:r>
      <w:r>
        <w:t xml:space="preserve"> </w:t>
      </w:r>
      <w:r>
        <w:t xml:space="preserve">We state the boundary explicitly rather than</w:t>
      </w:r>
      <w:r>
        <w:t xml:space="preserve"> </w:t>
      </w:r>
      <w:r>
        <w:t xml:space="preserve">leaving it to the reader. A claim being adjacent to bad literature does not make it</w:t>
      </w:r>
      <w:r>
        <w:t xml:space="preserve"> </w:t>
      </w:r>
      <w:r>
        <w:t xml:space="preserve">wrong; it means the citation standard is</w:t>
      </w:r>
      <w:r>
        <w:t xml:space="preserve"> </w:t>
      </w:r>
      <w:r>
        <w:rPr>
          <w:i/>
          <w:iCs/>
        </w:rPr>
        <w:t xml:space="preserve">higher</w:t>
      </w:r>
      <w:r>
        <w:t xml:space="preserve">, not lower. The feasibility ledger is</w:t>
      </w:r>
      <w:r>
        <w:t xml:space="preserve"> </w:t>
      </w:r>
      <w:r>
        <w:t xml:space="preserve">the working mechanism that holds the line, because it makes the framework report its own</w:t>
      </w:r>
      <w:r>
        <w:t xml:space="preserve"> </w:t>
      </w:r>
      <w:r>
        <w:t xml:space="preserve">distance from the application on every run. We do not cite the HFGW patent or conference</w:t>
      </w:r>
      <w:r>
        <w:t xml:space="preserve"> </w:t>
      </w:r>
      <w:r>
        <w:t xml:space="preserve">literature as authority for anything, and a source tracing to it halts the review</w:t>
      </w:r>
      <w:r>
        <w:t xml:space="preserve"> </w:t>
      </w:r>
      <w:r>
        <w:t xml:space="preserve">process by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name the discredited work openly instead of hoping nobody</w:t>
      </w:r>
      <w:r>
        <w:t xml:space="preserve"> </w:t>
      </w:r>
      <w:r>
        <w:t xml:space="preserve">notices the resemblance. Sitting next to bad science doesn’t make you wrong — but it does</w:t>
      </w:r>
      <w:r>
        <w:t xml:space="preserve"> </w:t>
      </w:r>
      <w:r>
        <w:t xml:space="preserve">mean you owe the reader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rigour, not less. Our practical defence is the scorecard:</w:t>
      </w:r>
      <w:r>
        <w:t xml:space="preserve"> </w:t>
      </w:r>
      <w:r>
        <w:t xml:space="preserve">the tool reports its own shortfall every time it runs, which is precisely what the</w:t>
      </w:r>
      <w:r>
        <w:t xml:space="preserve"> </w:t>
      </w:r>
      <w:r>
        <w:t xml:space="preserve">discredited work never did. And we have a hard rule that if a source traces back to that</w:t>
      </w:r>
      <w:r>
        <w:t xml:space="preserve"> </w:t>
      </w:r>
      <w:r>
        <w:t xml:space="preserve">literature, work stops rather than continuing carefully.</w:t>
      </w:r>
    </w:p>
    <w:p>
      <w:r>
        <w:pict>
          <v:rect style="width:0;height:1.5pt" o:hralign="center" o:hrstd="t" o:hr="t"/>
        </w:pict>
      </w:r>
    </w:p>
    <w:bookmarkEnd w:id="25"/>
    <w:bookmarkStart w:id="35" w:name="methods"/>
    <w:p>
      <w:pPr>
        <w:pStyle w:val="Heading2"/>
      </w:pPr>
      <w:r>
        <w:t xml:space="preserve">Methods</w:t>
      </w:r>
    </w:p>
    <w:bookmarkStart w:id="26" w:name="physical-formulation"/>
    <w:p>
      <w:pPr>
        <w:pStyle w:val="Heading3"/>
      </w:pPr>
      <w:r>
        <w:t xml:space="preserve">Physical formulation</w:t>
      </w:r>
    </w:p>
    <w:p>
      <w:pPr>
        <w:pStyle w:val="FirstParagraph"/>
      </w:pPr>
      <w:r>
        <w:t xml:space="preserve">We work in linearized gravity throughout. With g_μν = η_μν + h_μν, |h_μν| ≪ 1, and the</w:t>
      </w:r>
      <w:r>
        <w:t xml:space="preserve"> </w:t>
      </w:r>
      <w:r>
        <w:t xml:space="preserve">trace-reversed perturbation h̄_μν = h_μν − ½η_μν h, the harmonic-gauge field equation has</w:t>
      </w:r>
      <w:r>
        <w:t xml:space="preserve"> </w:t>
      </w:r>
      <w:r>
        <w:t xml:space="preserve">the retarded solution</w:t>
      </w:r>
    </w:p>
    <w:p>
      <w:pPr>
        <w:pStyle w:val="BodyText"/>
      </w:pPr>
      <w:r>
        <w:t xml:space="preserve">h̄^μν(t,</w:t>
      </w:r>
      <w:r>
        <w:t xml:space="preserve"> </w:t>
      </w:r>
      <w:r>
        <w:rPr>
          <w:b/>
          <w:bCs/>
        </w:rPr>
        <w:t xml:space="preserve">x</w:t>
      </w:r>
      <w:r>
        <w:t xml:space="preserve">) = (4G/c⁴) ∫ T^μν(t −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′|/c,</w:t>
      </w:r>
      <w:r>
        <w:t xml:space="preserve"> </w:t>
      </w:r>
      <w:r>
        <w:rPr>
          <w:b/>
          <w:bCs/>
        </w:rPr>
        <w:t xml:space="preserve">x</w:t>
      </w:r>
      <w:r>
        <w:t xml:space="preserve">′) /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 d³x′</w:t>
      </w:r>
      <w:r>
        <w:t xml:space="preserve"> </w:t>
      </w:r>
      <w:r>
        <w:rPr>
          <w:i/>
          <w:iCs/>
        </w:rPr>
        <w:t xml:space="preserve">(ref. 4, eq. 1)</w:t>
      </w:r>
    </w:p>
    <w:p>
      <w:pPr>
        <w:pStyle w:val="BodyText"/>
      </w:pPr>
      <w:r>
        <w:t xml:space="preserve">The radiative quadrupole formula and luminosity are</w:t>
      </w:r>
    </w:p>
    <w:p>
      <w:pPr>
        <w:pStyle w:val="BodyText"/>
      </w:pPr>
      <w:r>
        <w:t xml:space="preserve">h_ij^TT(t, r) = (2G/c⁴r) · Λ_ij,kl(n̂) · d²Q_kl/dt² |_(t − r/c)</w:t>
      </w:r>
      <w:r>
        <w:t xml:space="preserve"> </w:t>
      </w:r>
      <w:r>
        <w:rPr>
          <w:i/>
          <w:iCs/>
        </w:rPr>
        <w:t xml:space="preserve">(ref. 4, eq. 2)</w:t>
      </w:r>
    </w:p>
    <w:p>
      <w:pPr>
        <w:pStyle w:val="BodyText"/>
      </w:pPr>
      <w:r>
        <w:t xml:space="preserve">Q_ij = ∫ ρ(</w:t>
      </w:r>
      <w:r>
        <w:rPr>
          <w:b/>
          <w:bCs/>
        </w:rPr>
        <w:t xml:space="preserve">x</w:t>
      </w:r>
      <w:r>
        <w:t xml:space="preserve">)(x_i x_j − ⅓δ_ij|</w:t>
      </w:r>
      <w:r>
        <w:rPr>
          <w:b/>
          <w:bCs/>
        </w:rPr>
        <w:t xml:space="preserve">x</w:t>
      </w:r>
      <w:r>
        <w:t xml:space="preserve">|²) d³x</w:t>
      </w:r>
      <w:r>
        <w:t xml:space="preserve"> </w:t>
      </w:r>
      <w:r>
        <w:rPr>
          <w:i/>
          <w:iCs/>
        </w:rPr>
        <w:t xml:space="preserve">(ref. 4, eq. 3)</w:t>
      </w:r>
    </w:p>
    <w:p>
      <w:pPr>
        <w:pStyle w:val="BodyText"/>
      </w:pPr>
      <w:r>
        <w:t xml:space="preserve">L_GW = (G/5c⁵) ⟨ d³Q_ij/dt³ · d³Q_ij/dt³ ⟩</w:t>
      </w:r>
      <w:r>
        <w:t xml:space="preserve"> </w:t>
      </w:r>
      <w:r>
        <w:rPr>
          <w:i/>
          <w:iCs/>
        </w:rPr>
        <w:t xml:space="preserve">(ref. 4, eq. 4)</w:t>
      </w:r>
    </w:p>
    <w:p>
      <w:pPr>
        <w:pStyle w:val="BodyText"/>
      </w:pPr>
      <w:r>
        <w:t xml:space="preserve">with the TT projector taken from ref. 5, eq. 4.22.</w:t>
      </w:r>
      <w:r>
        <w:t xml:space="preserve"> </w:t>
      </w:r>
      <w:r>
        <w:rPr>
          <w:rStyle w:val="VerbatimChar"/>
        </w:rPr>
        <w:t xml:space="preserve">Q_ij</w:t>
      </w:r>
      <w:r>
        <w:t xml:space="preserve"> </w:t>
      </w:r>
      <w:r>
        <w:t xml:space="preserve">denotes the</w:t>
      </w:r>
      <w:r>
        <w:t xml:space="preserve"> </w:t>
      </w:r>
      <w:r>
        <w:rPr>
          <w:b/>
          <w:bCs/>
        </w:rPr>
        <w:t xml:space="preserve">reduced</w:t>
      </w:r>
      <w:r>
        <w:rPr>
          <w:b/>
          <w:bCs/>
        </w:rPr>
        <w:t xml:space="preserve"> </w:t>
      </w:r>
      <w:r>
        <w:rPr>
          <w:b/>
          <w:bCs/>
        </w:rPr>
        <w:t xml:space="preserve">(trace-free)</w:t>
      </w:r>
      <w:r>
        <w:t xml:space="preserve"> </w:t>
      </w:r>
      <w:r>
        <w:t xml:space="preserve">moment throughout; where a source uses the second moment I_ij the</w:t>
      </w:r>
      <w:r>
        <w:t xml:space="preserve"> </w:t>
      </w:r>
      <w:r>
        <w:t xml:space="preserve">conversion Q_ij = I_ij − ⅓δ_ij I is applied at the point of use and noted in the</w:t>
      </w:r>
      <w:r>
        <w:t xml:space="preserve"> </w:t>
      </w:r>
      <w:r>
        <w:t xml:space="preserve">docstring, and the function names distinguish them.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four equations above are the standard, long-established</w:t>
      </w:r>
      <w:r>
        <w:t xml:space="preserve"> </w:t>
      </w:r>
      <w:r>
        <w:t xml:space="preserve">textbook physics of gravitational waves — we implement them, we don’t defend them. In</w:t>
      </w:r>
      <w:r>
        <w:t xml:space="preserve"> </w:t>
      </w:r>
      <w:r>
        <w:t xml:space="preserve">words: treat space as flat with a small ripple on top; the ripple spreads outward at the</w:t>
      </w:r>
      <w:r>
        <w:t xml:space="preserve"> </w:t>
      </w:r>
      <w:r>
        <w:t xml:space="preserve">speed of light, so what you feel now depends on what the source was doing earlier, by</w:t>
      </w:r>
      <w:r>
        <w:t xml:space="preserve"> </w:t>
      </w:r>
      <w:r>
        <w:t xml:space="preserve">exactly the travel time; the strength of the ripple depends on how the source’s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changing; and the total energy radiated depends on how fast that shape-change is</w:t>
      </w:r>
      <w:r>
        <w:t xml:space="preserve"> </w:t>
      </w:r>
      <w:r>
        <w:t xml:space="preserve">itself changing. The final note is pure housekeeping: there are two slightly different</w:t>
      </w:r>
      <w:r>
        <w:t xml:space="preserve"> </w:t>
      </w:r>
      <w:r>
        <w:t xml:space="preserve">conventional definitions of</w:t>
      </w:r>
      <w:r>
        <w:t xml:space="preserve"> </w:t>
      </w:r>
      <w:r>
        <w:t xml:space="preserve">“shape,”</w:t>
      </w:r>
      <w:r>
        <w:t xml:space="preserve"> </w:t>
      </w:r>
      <w:r>
        <w:t xml:space="preserve">they differ by a simple correction, and we pick one,</w:t>
      </w:r>
      <w:r>
        <w:t xml:space="preserve"> </w:t>
      </w:r>
      <w:r>
        <w:t xml:space="preserve">name our functions accordingly, and flag every place a source uses the other — because</w:t>
      </w:r>
      <w:r>
        <w:t xml:space="preserve"> </w:t>
      </w:r>
      <w:r>
        <w:t xml:space="preserve">mixing them up silently is a classic error.</w:t>
      </w:r>
    </w:p>
    <w:p>
      <w:pPr>
        <w:pStyle w:val="BodyText"/>
      </w:pPr>
      <w:r>
        <w:rPr>
          <w:b/>
          <w:bCs/>
        </w:rPr>
        <w:t xml:space="preserve">Analytic derivatives are mandatory.</w:t>
      </w:r>
      <w:r>
        <w:t xml:space="preserve"> </w:t>
      </w:r>
      <w:r>
        <w:t xml:space="preserve">For point masses, differentiating ref. 4 eq. 3</w:t>
      </w:r>
      <w:r>
        <w:t xml:space="preserve"> </w:t>
      </w:r>
      <w:r>
        <w:t xml:space="preserve">in time gives closed forms for Q̈_ij and Q⃛_ij in terms of positions, velocities,</w:t>
      </w:r>
      <w:r>
        <w:t xml:space="preserve"> </w:t>
      </w:r>
      <w:r>
        <w:t xml:space="preserve">accelerations and jerks. Finite differencing at third order is forbidden in this</w:t>
      </w:r>
      <w:r>
        <w:t xml:space="preserve"> </w:t>
      </w:r>
      <w:r>
        <w:t xml:space="preserve">codebase, and the prohibition is measured rather than asserted: relative error against</w:t>
      </w:r>
      <w:r>
        <w:t xml:space="preserve"> </w:t>
      </w:r>
      <w:r>
        <w:t xml:space="preserve">the analytic form follows the classic U-curve, reaching</w:t>
      </w:r>
      <w:r>
        <w:t xml:space="preserve"> </w:t>
      </w:r>
      <w:r>
        <w:rPr>
          <w:b/>
          <w:bCs/>
        </w:rPr>
        <w:t xml:space="preserve">1.1 × 10²</w:t>
      </w:r>
      <w:r>
        <w:t xml:space="preserve"> </w:t>
      </w:r>
      <w:r>
        <w:t xml:space="preserve">(i.e. wrong by a</w:t>
      </w:r>
      <w:r>
        <w:t xml:space="preserve"> </w:t>
      </w:r>
      <w:r>
        <w:t xml:space="preserve">factor of 100) at step h = 10⁻⁶ and bottoming at 8.0 × 10⁻⁷ at h = 10⁻³. The decisive</w:t>
      </w:r>
      <w:r>
        <w:t xml:space="preserve"> </w:t>
      </w:r>
      <w:r>
        <w:t xml:space="preserve">validation is not the finite-difference comparison but the algebraic identity: the</w:t>
      </w:r>
      <w:r>
        <w:t xml:space="preserve"> </w:t>
      </w:r>
      <w:r>
        <w:t xml:space="preserve">luminosity built from the analytic Q⃛ reproduces the independent closed form</w:t>
      </w:r>
      <w:r>
        <w:t xml:space="preserve"> </w:t>
      </w:r>
      <w:r>
        <w:t xml:space="preserve">L = (32/5)(G/c⁵)μ²a⁴ω⁶ to 4.1 × 10⁻¹⁶.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energy calculation needs a rate-of-change-of-a-</w:t>
      </w:r>
      <w:r>
        <w:t xml:space="preserve"> </w:t>
      </w:r>
      <w:r>
        <w:t xml:space="preserve">rate-of-change-of-a-rate-of-change. There are two ways to get such a thing: do the calculus</w:t>
      </w:r>
      <w:r>
        <w:t xml:space="preserve"> </w:t>
      </w:r>
      <w:r>
        <w:t xml:space="preserve">by hand and write down an exact formula, or have the computer estimate it by comparing</w:t>
      </w:r>
      <w:r>
        <w:t xml:space="preserve"> </w:t>
      </w:r>
      <w:r>
        <w:t xml:space="preserve">nearby values.</w:t>
      </w:r>
      <w:r>
        <w:t xml:space="preserve"> </w:t>
      </w:r>
      <w:r>
        <w:rPr>
          <w:b/>
          <w:bCs/>
        </w:rPr>
        <w:t xml:space="preserve">We ban the second method, and we measured why.</w:t>
      </w:r>
      <w:r>
        <w:t xml:space="preserve"> </w:t>
      </w:r>
      <w:r>
        <w:t xml:space="preserve">Estimating numerically</w:t>
      </w:r>
      <w:r>
        <w:t xml:space="preserve"> </w:t>
      </w:r>
      <w:r>
        <w:t xml:space="preserve">can be wrong by a factor of a hundred, and — counterintuitively — asking for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steps makes it worse, not better, because tiny rounding errors get amplified. Our</w:t>
      </w:r>
      <w:r>
        <w:t xml:space="preserve"> </w:t>
      </w:r>
      <w:r>
        <w:t xml:space="preserve">hand-derived version was confirmed a different way entirely: it reproduces a known exact</w:t>
      </w:r>
      <w:r>
        <w:t xml:space="preserve"> </w:t>
      </w:r>
      <w:r>
        <w:t xml:space="preserve">algebraic answer to sixteen decimal places.</w:t>
      </w:r>
    </w:p>
    <w:bookmarkEnd w:id="26"/>
    <w:bookmarkStart w:id="27" w:name="software-architecture"/>
    <w:p>
      <w:pPr>
        <w:pStyle w:val="Heading3"/>
      </w:pPr>
      <w:r>
        <w:t xml:space="preserve">Software architecture</w:t>
      </w:r>
    </w:p>
    <w:p>
      <w:pPr>
        <w:pStyle w:val="FirstParagraph"/>
      </w:pPr>
      <w:r>
        <w:t xml:space="preserve">Nine packages under</w:t>
      </w:r>
      <w:r>
        <w:t xml:space="preserve"> </w:t>
      </w:r>
      <w:r>
        <w:rPr>
          <w:rStyle w:val="VerbatimChar"/>
        </w:rPr>
        <w:t xml:space="preserve">src/gwtb/</w:t>
      </w:r>
      <w:r>
        <w:t xml:space="preserve">, in dependency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Physical constants with sources;</w:t>
            </w:r>
            <w:r>
              <w:t xml:space="preserve"> </w:t>
            </w:r>
            <w:r>
              <w:rPr>
                <w:rStyle w:val="VerbatimChar"/>
              </w:rPr>
              <w:t xml:space="preserve">StrainScale</w:t>
            </w:r>
            <w:r>
              <w:t xml:space="preserve"> </w:t>
            </w:r>
            <w:r>
              <w:t xml:space="preserve">scaled-strain representation; ADR-0002 shape/dtype/unit-vector validation guards; array-API backend shim (NumPy / Numba), field-grid kernel, split-phase arithmetic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Sphere</w:t>
            </w:r>
            <w:r>
              <w:t xml:space="preserve"> </w:t>
            </w:r>
            <w:r>
              <w:t xml:space="preserve">(mass, inertia, self-quadrupole, oblateness); Love-number elastic deformation; multipole moments and their analytic derivatives; finite-size form factor with an out-of-regime 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t xml:space="preserve">Finite acceleration profiles (bang-bang, S-curve, quintic, raised-cosine) behind one abstract base; prime-frequency multi-tone drive synthesis; spectral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Quadrupole strain and luminosity; maneuver waveforms; linear memory; the flagged dipole path; conservation audit and</w:t>
            </w:r>
            <w:r>
              <w:t xml:space="preserve"> </w:t>
            </w:r>
            <w:r>
              <w:rPr>
                <w:rStyle w:val="VerbatimChar"/>
              </w:rPr>
              <w:t xml:space="preserve">UNPHYSICAL</w:t>
            </w:r>
            <w:r>
              <w:t xml:space="preserve"> </w:t>
            </w:r>
            <w:r>
              <w:t xml:space="preserve">stamping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t xml:space="preserve">Transverse-traceless projection; per-source retarded evaluation and batched propagation; spin-2 polarization basis, decomposition and 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Element geometry (linear, planar, sparse); grating-lobe bounds; scalar array factor (</w:t>
            </w:r>
            <w:r>
              <w:rPr>
                <w:b/>
                <w:bCs/>
              </w:rPr>
              <w:t xml:space="preserve">explicitly the spin-1 baseline</w:t>
            </w:r>
            <w:r>
              <w:t xml:space="preserve">); spin-2 tensor superposition and mismatch loss; focal phases, focused field, spot size, trade surfaces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Geodesic deviation; three coupling channels compared side by side; Δv and miss-distance propagation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Frozen</w:t>
            </w:r>
            <w:r>
              <w:t xml:space="preserve"> </w:t>
            </w:r>
            <w:r>
              <w:rPr>
                <w:rStyle w:val="VerbatimChar"/>
              </w:rPr>
              <w:t xml:space="preserve">GapMetric</w:t>
            </w:r>
            <w:r>
              <w:t xml:space="preserve"> </w:t>
            </w:r>
            <w:r>
              <w:t xml:space="preserve">schema,</w:t>
            </w:r>
            <w:r>
              <w:t xml:space="preserve"> </w:t>
            </w:r>
            <w:r>
              <w:rPr>
                <w:rStyle w:val="VerbatimChar"/>
              </w:rPr>
              <w:t xml:space="preserve">GapReport</w:t>
            </w:r>
            <w:r>
              <w:t xml:space="preserve">, run manifests, per-epic row builders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Beam patterns (polar and 3-D), polarization ellipses, field slices, volumetric export</w:t>
            </w:r>
          </w:p>
        </w:tc>
      </w:tr>
    </w:tbl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table above is the floor plan, one row per layer, listing</w:t>
      </w:r>
      <w:r>
        <w:t xml:space="preserve"> </w:t>
      </w:r>
      <w:r>
        <w:t xml:space="preserve">what each is responsible for. Note the entry for the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layer: it deliberately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old radio-style calculation and the new gravitational one, with the</w:t>
      </w:r>
      <w:r>
        <w:t xml:space="preserve"> </w:t>
      </w:r>
      <w:r>
        <w:t xml:space="preserve">old one explicitly labelled so nobody mistakes it for physics. Keeping a known-good wrong</w:t>
      </w:r>
      <w:r>
        <w:t xml:space="preserve"> </w:t>
      </w:r>
      <w:r>
        <w:t xml:space="preserve">answer around on purpose, clearly marked, is how we prove the new answer is a careful</w:t>
      </w:r>
      <w:r>
        <w:t xml:space="preserve"> </w:t>
      </w:r>
      <w:r>
        <w:t xml:space="preserve">extension rather than an unchecked replacement.</w:t>
      </w:r>
    </w:p>
    <w:p>
      <w:pPr>
        <w:pStyle w:val="BodyText"/>
      </w:pPr>
      <w:r>
        <w:t xml:space="preserve">At the time of writing:</w:t>
      </w:r>
      <w:r>
        <w:t xml:space="preserve"> </w:t>
      </w:r>
      <w:r>
        <w:rPr>
          <w:b/>
          <w:bCs/>
        </w:rPr>
        <w:t xml:space="preserve">7,117 lines of source, 8,801 lines of test, 870 tests</w:t>
      </w:r>
      <w:r>
        <w:t xml:space="preserve"> </w:t>
      </w:r>
      <w:r>
        <w:t xml:space="preserve">(867</w:t>
      </w:r>
      <w:r>
        <w:t xml:space="preserve"> </w:t>
      </w:r>
      <w:r>
        <w:t xml:space="preserve">passing; 3 skipped for optional GPU/rendering dependencies), 53 registered equations,</w:t>
      </w:r>
      <w:r>
        <w:t xml:space="preserve"> </w:t>
      </w:r>
      <w:r>
        <w:t xml:space="preserve">7 architecture decision records, 3,139 lines of governance documentation, and 111 of 118</w:t>
      </w:r>
      <w:r>
        <w:t xml:space="preserve"> </w:t>
      </w:r>
      <w:r>
        <w:t xml:space="preserve">planned tasks complete.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Some scale figures. There is</w:t>
      </w:r>
      <w:r>
        <w:t xml:space="preserve"> </w:t>
      </w:r>
      <w:r>
        <w:rPr>
          <w:b/>
          <w:bCs/>
        </w:rPr>
        <w:t xml:space="preserve">more test code than actual code</w:t>
      </w:r>
      <w:r>
        <w:t xml:space="preserve"> </w:t>
      </w:r>
      <w:r>
        <w:t xml:space="preserve">— about 8,800 lines of checking against 7,100 lines of doing — which is unusual and</w:t>
      </w:r>
      <w:r>
        <w:t xml:space="preserve"> </w:t>
      </w:r>
      <w:r>
        <w:t xml:space="preserve">deliberate for a project whose main product is trustworthiness. 870 automated checks run</w:t>
      </w:r>
      <w:r>
        <w:t xml:space="preserve"> </w:t>
      </w:r>
      <w:r>
        <w:t xml:space="preserve">every time anything changes. 53 equations are individually catalogued with their sources,</w:t>
      </w:r>
      <w:r>
        <w:t xml:space="preserve"> </w:t>
      </w:r>
      <w:r>
        <w:t xml:space="preserve">and there are another 3,100 lines of documentation purely about how decisions get made and</w:t>
      </w:r>
      <w:r>
        <w:t xml:space="preserve"> </w:t>
      </w:r>
      <w:r>
        <w:t xml:space="preserve">recorded.</w:t>
      </w:r>
    </w:p>
    <w:p>
      <w:pPr>
        <w:pStyle w:val="BodyText"/>
      </w:pPr>
      <w:r>
        <w:rPr>
          <w:b/>
          <w:bCs/>
        </w:rPr>
        <w:t xml:space="preserve">Binding conventions (ADR-0002).</w:t>
      </w:r>
      <w:r>
        <w:t xml:space="preserve"> </w:t>
      </w:r>
      <w:r>
        <w:t xml:space="preserve">Body collections are</w:t>
      </w:r>
      <w:r>
        <w:t xml:space="preserve"> </w:t>
      </w:r>
      <w:r>
        <w:t xml:space="preserve">“first axis is the body”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masses (N,)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positions (N,3)</w:t>
      </w:r>
      <w:r>
        <w:t xml:space="preserve">, …), matching row-major locality and the convention in</w:t>
      </w:r>
      <w:r>
        <w:t xml:space="preserve"> </w:t>
      </w:r>
      <w:r>
        <w:rPr>
          <w:rStyle w:val="VerbatimChar"/>
        </w:rPr>
        <w:t xml:space="preserve">astropy</w:t>
      </w:r>
      <w:r>
        <w:t xml:space="preserve"> </w:t>
      </w:r>
      <w:r>
        <w:t xml:space="preserve">and most N-body codes. Tensors carry their indices in the</w:t>
      </w:r>
      <w:r>
        <w:t xml:space="preserve"> </w:t>
      </w:r>
      <w:r>
        <w:rPr>
          <w:b/>
          <w:bCs/>
        </w:rPr>
        <w:t xml:space="preserve">trailing</w:t>
      </w:r>
      <w:r>
        <w:t xml:space="preserve"> </w:t>
      </w:r>
      <w:r>
        <w:t xml:space="preserve">axes, so</w:t>
      </w:r>
      <w:r>
        <w:t xml:space="preserve"> </w:t>
      </w:r>
      <w:r>
        <w:rPr>
          <w:rStyle w:val="VerbatimChar"/>
        </w:rPr>
        <w:t xml:space="preserve">einsum</w:t>
      </w:r>
      <w:r>
        <w:t xml:space="preserve"> </w:t>
      </w:r>
      <w:r>
        <w:t xml:space="preserve">subscripts are identical whether or not a leading time or grid axis is present.</w:t>
      </w:r>
      <w:r>
        <w:t xml:space="preserve"> </w:t>
      </w:r>
      <w:r>
        <w:t xml:space="preserve">Directions are unit vectors validated to atol 10⁻¹² — a silently unnormalized direction</w:t>
      </w:r>
      <w:r>
        <w:t xml:space="preserve"> </w:t>
      </w:r>
      <w:r>
        <w:t xml:space="preserve">produces a plausible, wrong TT projection.</w:t>
      </w:r>
      <w:r>
        <w:t xml:space="preserve"> </w:t>
      </w:r>
      <w:r>
        <w:rPr>
          <w:b/>
          <w:bCs/>
        </w:rPr>
        <w:t xml:space="preserve">SI units internally, everywhere, with no</w:t>
      </w:r>
      <w:r>
        <w:rPr>
          <w:b/>
          <w:bCs/>
        </w:rPr>
        <w:t xml:space="preserve"> </w:t>
      </w:r>
      <w:r>
        <w:rPr>
          <w:b/>
          <w:bCs/>
        </w:rPr>
        <w:t xml:space="preserve">geometric-unit (G = c = 1) shortcuts</w:t>
      </w:r>
      <w:r>
        <w:t xml:space="preserve">: the conversion from geometric units in the</w:t>
      </w:r>
      <w:r>
        <w:t xml:space="preserve"> </w:t>
      </w:r>
      <w:r>
        <w:t xml:space="preserve">literature is precisely where factors of G/c⁴ get dropped, so keeping SI throughout means</w:t>
      </w:r>
      <w:r>
        <w:t xml:space="preserve"> </w:t>
      </w:r>
      <w:r>
        <w:t xml:space="preserve">every implemented equation carries its dimensional factors explicitly and can be</w:t>
      </w:r>
      <w:r>
        <w:t xml:space="preserve"> </w:t>
      </w:r>
      <w:r>
        <w:t xml:space="preserve">dimension-checked against its citation.</w:t>
      </w:r>
      <w:r>
        <w:t xml:space="preserve"> </w:t>
      </w:r>
      <w:r>
        <w:rPr>
          <w:b/>
          <w:bCs/>
        </w:rPr>
        <w:t xml:space="preserve">float64 everywhere</w:t>
      </w:r>
      <w:r>
        <w:t xml:space="preserve">, with no float32 without</w:t>
      </w:r>
      <w:r>
        <w:t xml:space="preserve"> </w:t>
      </w:r>
      <w:r>
        <w:t xml:space="preserve">an ADR authorizing it, and public entry points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on float32 input rather than</w:t>
      </w:r>
      <w:r>
        <w:t xml:space="preserve"> </w:t>
      </w:r>
      <w:r>
        <w:t xml:space="preserve">promoting it, so upstream precision loss is caught rather than masked. Retarded time is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per source element</w:t>
      </w:r>
      <w:r>
        <w:t xml:space="preserve">, never from an array centroid; the test suite contains a</w:t>
      </w:r>
      <w:r>
        <w:t xml:space="preserve"> </w:t>
      </w:r>
      <w:r>
        <w:t xml:space="preserve">benchmark that distinguishes the two, because retardation from the wrong origin is a</w:t>
      </w:r>
      <w:r>
        <w:t xml:space="preserve"> </w:t>
      </w:r>
      <w:r>
        <w:t xml:space="preserve">quiet, high-damage error.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House rules everyone must follow, each chosen to prevent a</w:t>
      </w:r>
      <w:r>
        <w:t xml:space="preserve"> </w:t>
      </w:r>
      <w:r>
        <w:t xml:space="preserve">specific silent mistake.</w:t>
      </w:r>
      <w:r>
        <w:t xml:space="preserve"> </w:t>
      </w:r>
      <w:r>
        <w:rPr>
          <w:b/>
          <w:bCs/>
        </w:rPr>
        <w:t xml:space="preserve">Use ordinary metres and kilograms throughout</w:t>
      </w:r>
      <w:r>
        <w:t xml:space="preserve">, never the</w:t>
      </w:r>
      <w:r>
        <w:t xml:space="preserve"> </w:t>
      </w:r>
      <w:r>
        <w:t xml:space="preserve">compressed</w:t>
      </w:r>
      <w:r>
        <w:t xml:space="preserve"> </w:t>
      </w:r>
      <w:r>
        <w:t xml:space="preserve">“natural units”</w:t>
      </w:r>
      <w:r>
        <w:t xml:space="preserve"> </w:t>
      </w:r>
      <w:r>
        <w:t xml:space="preserve">physicists prefer — those look elegant but hide constants, and</w:t>
      </w:r>
      <w:r>
        <w:t xml:space="preserve"> </w:t>
      </w:r>
      <w:r>
        <w:t xml:space="preserve">hidden constants are exactly what goes missing when you copy a formula out of a paper.</w:t>
      </w:r>
      <w:r>
        <w:t xml:space="preserve"> </w:t>
      </w:r>
      <w:r>
        <w:rPr>
          <w:b/>
          <w:bCs/>
        </w:rPr>
        <w:t xml:space="preserve">Always use high-precision numbers</w:t>
      </w:r>
      <w:r>
        <w:t xml:space="preserve">, and if someone hands the code low-precision ones it</w:t>
      </w:r>
      <w:r>
        <w:t xml:space="preserve"> </w:t>
      </w:r>
      <w:r>
        <w:t xml:space="preserve">stops rather than quietly upgrading them, so that the sloppiness is caught where it</w:t>
      </w:r>
      <w:r>
        <w:t xml:space="preserve"> </w:t>
      </w:r>
      <w:r>
        <w:t xml:space="preserve">happened.</w:t>
      </w:r>
      <w:r>
        <w:t xml:space="preserve"> </w:t>
      </w:r>
      <w:r>
        <w:rPr>
          <w:b/>
          <w:bCs/>
        </w:rPr>
        <w:t xml:space="preserve">Compute the travel-time delay separately for every emitter</w:t>
      </w:r>
      <w:r>
        <w:t xml:space="preserve">, never once for</w:t>
      </w:r>
      <w:r>
        <w:t xml:space="preserve"> </w:t>
      </w:r>
      <w:r>
        <w:t xml:space="preserve">the array as a whole — a small shortcut there produces answers that look completely</w:t>
      </w:r>
      <w:r>
        <w:t xml:space="preserve"> </w:t>
      </w:r>
      <w:r>
        <w:t xml:space="preserve">reasonable and are wrong.</w:t>
      </w:r>
    </w:p>
    <w:bookmarkEnd w:id="27"/>
    <w:bookmarkStart w:id="28" w:name="spin-2-tensor-superposition"/>
    <w:p>
      <w:pPr>
        <w:pStyle w:val="Heading3"/>
      </w:pPr>
      <w:r>
        <w:t xml:space="preserve">Spin-2 tensor superposition</w:t>
      </w:r>
    </w:p>
    <w:p>
      <w:pPr>
        <w:pStyle w:val="FirstParagraph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superpose_tt</w:t>
      </w:r>
      <w:r>
        <w:t xml:space="preserve">, with the derivation recorded in ADR-0003. Acceptance</w:t>
      </w:r>
      <w:r>
        <w:t xml:space="preserve"> </w:t>
      </w:r>
      <w:r>
        <w:t xml:space="preserve">conditions, all committed as tests: the construction reduces to the scalar array factor</w:t>
      </w:r>
      <w:r>
        <w:t xml:space="preserve"> </w:t>
      </w:r>
      <w:r>
        <w:t xml:space="preserve">for co-oriented elements to rtol 10⁻⁹ (the regression that proves the extension is a</w:t>
      </w:r>
      <w:r>
        <w:t xml:space="preserve"> </w:t>
      </w:r>
      <w:r>
        <w:t xml:space="preserve">controlled departure); for Δψ = 45° the gain is strictly less than N²;</w:t>
      </w:r>
      <w:r>
        <w:t xml:space="preserve"> </w:t>
      </w:r>
      <w:r>
        <w:rPr>
          <w:rStyle w:val="VerbatimChar"/>
        </w:rPr>
        <w:t xml:space="preserve">mismatch_loss</w:t>
      </w:r>
      <w:r>
        <w:t xml:space="preserve"> </w:t>
      </w:r>
      <w:r>
        <w:t xml:space="preserve">returns cos(2Δψ), is maximal at 45° rather than 90°, and has period 180°; and the 90°</w:t>
      </w:r>
      <w:r>
        <w:t xml:space="preserve"> </w:t>
      </w:r>
      <w:r>
        <w:rPr>
          <w:b/>
          <w:bCs/>
        </w:rPr>
        <w:t xml:space="preserve">cancellation</w:t>
      </w:r>
      <w:r>
        <w:t xml:space="preserve"> </w:t>
      </w:r>
      <w:r>
        <w:t xml:space="preserve">is asserted explicitly by name, since it is the case most likely to be</w:t>
      </w:r>
      <w:r>
        <w:t xml:space="preserve"> </w:t>
      </w:r>
      <w:r>
        <w:t xml:space="preserve">“fixed”</w:t>
      </w:r>
      <w:r>
        <w:t xml:space="preserve"> </w:t>
      </w:r>
      <w:r>
        <w:t xml:space="preserve">by a contributor applying electromagnetic intuition.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core new calculation, and the list above is what it</w:t>
      </w:r>
      <w:r>
        <w:t xml:space="preserve"> </w:t>
      </w:r>
      <w:r>
        <w:t xml:space="preserve">must prove before we accept it. The last item is the interesting one: there is a test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the 90° case must produce exactly zero. It’s named that explicitly because a</w:t>
      </w:r>
      <w:r>
        <w:t xml:space="preserve"> </w:t>
      </w:r>
      <w:r>
        <w:t xml:space="preserve">future contributor with a radio background will look at that zero, conclude it’s obviously</w:t>
      </w:r>
      <w:r>
        <w:t xml:space="preserve"> </w:t>
      </w:r>
      <w:r>
        <w:t xml:space="preserve">a bug, and</w:t>
      </w:r>
      <w:r>
        <w:t xml:space="preserve"> </w:t>
      </w:r>
      <w:r>
        <w:t xml:space="preserve">“fix”</w:t>
      </w:r>
      <w:r>
        <w:t xml:space="preserve"> </w:t>
      </w:r>
      <w:r>
        <w:t xml:space="preserve">it. The test exists to stop them — it’s a message to someone who hasn’t</w:t>
      </w:r>
      <w:r>
        <w:t xml:space="preserve"> </w:t>
      </w:r>
      <w:r>
        <w:t xml:space="preserve">joined the project yet.</w:t>
      </w:r>
    </w:p>
    <w:p>
      <w:pPr>
        <w:pStyle w:val="BodyText"/>
      </w:pPr>
      <w:r>
        <w:rPr>
          <w:rStyle w:val="VerbatimChar"/>
        </w:rPr>
        <w:t xml:space="preserve">superpose_tt</w:t>
      </w:r>
      <w:r>
        <w:t xml:space="preserve"> </w:t>
      </w:r>
      <w:r>
        <w:t xml:space="preserve">sums along</w:t>
      </w:r>
      <w:r>
        <w:t xml:space="preserve"> </w:t>
      </w:r>
      <w:r>
        <w:rPr>
          <w:b/>
          <w:bCs/>
        </w:rPr>
        <w:t xml:space="preserve">one common observation direction</w:t>
      </w:r>
      <w:r>
        <w:t xml:space="preserve"> </w:t>
      </w:r>
      <w:r>
        <w:t xml:space="preserve">and raises inside the</w:t>
      </w:r>
      <w:r>
        <w:t xml:space="preserve"> </w:t>
      </w:r>
      <w:r>
        <w:t xml:space="preserve">Fraunhofer distance, because tensors projected along different directions live in</w:t>
      </w:r>
      <w:r>
        <w:t xml:space="preserve"> </w:t>
      </w:r>
      <w:r>
        <w:t xml:space="preserve">different polarization spaces and cannot be added. Whether this permitted a focusing</w:t>
      </w:r>
      <w:r>
        <w:t xml:space="preserve"> </w:t>
      </w:r>
      <w:r>
        <w:t xml:space="preserve">construction was resolved by measurement rather than assumption (ADR-0006): at 40 AU the</w:t>
      </w:r>
      <w:r>
        <w:t xml:space="preserve"> </w:t>
      </w:r>
      <w:r>
        <w:t xml:space="preserve">angular spread of per-element observation directions is 1.034 × 10⁻⁹ rad against the</w:t>
      </w:r>
      <w:r>
        <w:t xml:space="preserve"> </w:t>
      </w:r>
      <w:r>
        <w:t xml:space="preserve">5.009 × 10⁻² rad alignment budget — a</w:t>
      </w:r>
      <w:r>
        <w:t xml:space="preserve"> </w:t>
      </w:r>
      <w:r>
        <w:rPr>
          <w:b/>
          <w:bCs/>
        </w:rPr>
        <w:t xml:space="preserve">2.4 × 10⁷ ×</w:t>
      </w:r>
      <w:r>
        <w:t xml:space="preserve"> </w:t>
      </w:r>
      <w:r>
        <w:t xml:space="preserve">margin — so the common-n̂ premise</w:t>
      </w:r>
      <w:r>
        <w:t xml:space="preserve"> </w:t>
      </w:r>
      <w:r>
        <w:t xml:space="preserve">is not threatened, and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is a steered far-field superposition with weights</w:t>
      </w:r>
      <w:r>
        <w:t xml:space="preserve"> </w:t>
      </w:r>
      <w:r>
        <w:t xml:space="preserve">exp(+i·φ_a). Near-field focusing is out of scope, the existing Fraunhofer guard enforces</w:t>
      </w:r>
      <w:r>
        <w:t xml:space="preserve"> </w:t>
      </w:r>
      <w:r>
        <w:t xml:space="preserve">it, and the resulting error is propagated rather than caught.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combining calculation only works if every emitter is</w:t>
      </w:r>
      <w:r>
        <w:t xml:space="preserve"> </w:t>
      </w:r>
      <w:r>
        <w:t xml:space="preserve">looking at the target in</w:t>
      </w:r>
      <w:r>
        <w:t xml:space="preserve"> </w:t>
      </w:r>
      <w:r>
        <w:rPr>
          <w:i/>
          <w:iCs/>
        </w:rPr>
        <w:t xml:space="preserve">effectively</w:t>
      </w:r>
      <w:r>
        <w:t xml:space="preserve"> </w:t>
      </w:r>
      <w:r>
        <w:t xml:space="preserve">the same direction — otherwise you’d be adding</w:t>
      </w:r>
      <w:r>
        <w:t xml:space="preserve"> </w:t>
      </w:r>
      <w:r>
        <w:t xml:space="preserve">quantities that aren’t comparable, like adding a northward push to an eastward one and</w:t>
      </w:r>
      <w:r>
        <w:t xml:space="preserve"> </w:t>
      </w:r>
      <w:r>
        <w:t xml:space="preserve">calling the result a number. Rather than assume that was fine, we measured it: at the</w:t>
      </w:r>
      <w:r>
        <w:t xml:space="preserve"> </w:t>
      </w:r>
      <w:r>
        <w:t xml:space="preserve">target distance, the directions differ by about a</w:t>
      </w:r>
      <w:r>
        <w:t xml:space="preserve"> </w:t>
      </w:r>
      <w:r>
        <w:rPr>
          <w:b/>
          <w:bCs/>
        </w:rPr>
        <w:t xml:space="preserve">twenty-five-millionth</w:t>
      </w:r>
      <w:r>
        <w:t xml:space="preserve"> </w:t>
      </w:r>
      <w:r>
        <w:t xml:space="preserve">of what would</w:t>
      </w:r>
      <w:r>
        <w:t xml:space="preserve"> </w:t>
      </w:r>
      <w:r>
        <w:t xml:space="preserve">be needed to cause trouble — a safety margin of 24 million. So the assumption is safe here,</w:t>
      </w:r>
      <w:r>
        <w:t xml:space="preserve"> </w:t>
      </w:r>
      <w:r>
        <w:t xml:space="preserve">and we’ve written down exactly the circumstances that would make it unsafe. If someone</w:t>
      </w:r>
      <w:r>
        <w:t xml:space="preserve"> </w:t>
      </w:r>
      <w:r>
        <w:t xml:space="preserve">requests a scenario where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break, the code stops with an error instead of</w:t>
      </w:r>
      <w:r>
        <w:t xml:space="preserve"> </w:t>
      </w:r>
      <w:r>
        <w:t xml:space="preserve">producing a confident wrong answer.</w:t>
      </w:r>
    </w:p>
    <w:bookmarkEnd w:id="28"/>
    <w:bookmarkStart w:id="29" w:name="X2c3b4a7248dcb1708b36ccef1150514ba8539c2"/>
    <w:p>
      <w:pPr>
        <w:pStyle w:val="Heading3"/>
      </w:pPr>
      <w:r>
        <w:t xml:space="preserve">The uniform-sphere finite-size form factor</w:t>
      </w:r>
    </w:p>
    <w:p>
      <w:pPr>
        <w:pStyle w:val="FirstParagraph"/>
      </w:pPr>
      <w:r>
        <w:t xml:space="preserve">The exact radiative source multipole replaces the long-wavelength radial weight r^l with</w:t>
      </w:r>
      <w:r>
        <w:t xml:space="preserve"> </w:t>
      </w:r>
      <w:r>
        <w:t xml:space="preserve">the j_l(kr) factor of the outgoing Green’s-function partial-wave expansion:</w:t>
      </w:r>
    </w:p>
    <w:p>
      <w:pPr>
        <w:pStyle w:val="BodyText"/>
      </w:pPr>
      <w:r>
        <w:t xml:space="preserve">I_l^exact = [(2l+1)!! / k^l] ∫ j_l(kr) ρ_l(r) r² dr</w:t>
      </w:r>
    </w:p>
    <w:p>
      <w:pPr>
        <w:pStyle w:val="BodyText"/>
      </w:pPr>
      <w:r>
        <w:t xml:space="preserve">which reduces to ∫ρ_l(r) r^(l+2) dr as kr → 0. Substituting the small-argument series</w:t>
      </w:r>
      <w:r>
        <w:t xml:space="preserve"> </w:t>
      </w:r>
      <w:r>
        <w:t xml:space="preserve">for j_l — taken from</w:t>
      </w:r>
      <w:r>
        <w:t xml:space="preserve"> </w:t>
      </w:r>
      <w:r>
        <w:rPr>
          <w:b/>
          <w:bCs/>
        </w:rPr>
        <w:t xml:space="preserve">DLMF 10.53.1</w:t>
      </w:r>
      <w:r>
        <w:t xml:space="preserve">11</w:t>
      </w:r>
      <w:r>
        <w:t xml:space="preserve">, transcribed literally and verified in</w:t>
      </w:r>
      <w:r>
        <w:t xml:space="preserve"> </w:t>
      </w:r>
      <w:r>
        <w:t xml:space="preserve">exact rational arithmetic for l = 0…6 — and dividing by the long-wavelength limit gives</w:t>
      </w:r>
    </w:p>
    <w:p>
      <w:pPr>
        <w:pStyle w:val="BodyText"/>
      </w:pPr>
      <w:r>
        <w:t xml:space="preserve">F_l(kR) = 1 − (kR)²(l+3)/[2(2l+3)(l+5)] + O((kR)⁴),</w:t>
      </w:r>
    </w:p>
    <w:p>
      <w:pPr>
        <w:pStyle w:val="BodyText"/>
      </w:pPr>
      <w:r>
        <w:t xml:space="preserve">and at l = 2,</w:t>
      </w:r>
      <w:r>
        <w:t xml:space="preserve"> </w:t>
      </w:r>
      <w:r>
        <w:rPr>
          <w:b/>
          <w:bCs/>
        </w:rPr>
        <w:t xml:space="preserve">F₂(kR) = 1 − 5(kR)²/98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All the simple formulas assume the emitting object is tiny</w:t>
      </w:r>
      <w:r>
        <w:t xml:space="preserve"> </w:t>
      </w:r>
      <w:r>
        <w:t xml:space="preserve">compared to the wavelength it produces. Real objects aren’t, and the correction matters.</w:t>
      </w:r>
      <w:r>
        <w:t xml:space="preserve"> </w:t>
      </w:r>
      <w:r>
        <w:t xml:space="preserve">Working it out gives a specific small number: the emission is reduced by a factor involving</w:t>
      </w:r>
      <w:r>
        <w:t xml:space="preserve"> </w:t>
      </w:r>
      <w:r>
        <w:t xml:space="preserve">5/98. Getting that exact fraction right is the whole point of this section — several</w:t>
      </w:r>
      <w:r>
        <w:t xml:space="preserve"> </w:t>
      </w:r>
      <w:r>
        <w:t xml:space="preserve">plausible-looking wrong fractions exist, and they’re nearly impossible to tell apart by</w:t>
      </w:r>
      <w:r>
        <w:t xml:space="preserve"> </w:t>
      </w:r>
      <w:r>
        <w:t xml:space="preserve">eye.</w:t>
      </w:r>
    </w:p>
    <w:p>
      <w:pPr>
        <w:pStyle w:val="BodyText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Four independent routes (Extended Data Table 4). Exact rational series</w:t>
      </w:r>
      <w:r>
        <w:t xml:space="preserve"> </w:t>
      </w:r>
      <w:r>
        <w:t xml:space="preserve">from DLMF 10.53.1 gives 5/98 exactly for l = 0…6 and, as an external anchor, reproduces</w:t>
      </w:r>
      <w:r>
        <w:t xml:space="preserve"> </w:t>
      </w:r>
      <w:r>
        <w:t xml:space="preserve">the textbook-checkable l = 0 result 1 − (kR)²/10. A far-field retarded phase integral</w:t>
      </w:r>
      <w:r>
        <w:t xml:space="preserve"> </w:t>
      </w:r>
      <w:r>
        <w:t xml:space="preserve">over a uniform ball by two-dimensional Gauss–Legendre quadrature —</w:t>
      </w:r>
      <w:r>
        <w:t xml:space="preserve"> </w:t>
      </w:r>
      <w:r>
        <w:rPr>
          <w:b/>
          <w:bCs/>
        </w:rPr>
        <w:t xml:space="preserve">evaluating no</w:t>
      </w:r>
      <w:r>
        <w:rPr>
          <w:b/>
          <w:bCs/>
        </w:rPr>
        <w:t xml:space="preserve"> </w:t>
      </w:r>
      <w:r>
        <w:rPr>
          <w:b/>
          <w:bCs/>
        </w:rPr>
        <w:t xml:space="preserve">spherical Bessel function anywhere</w:t>
      </w:r>
      <w:r>
        <w:t xml:space="preserve"> </w:t>
      </w:r>
      <w:r>
        <w:t xml:space="preserve">— gives 0.051020408163352, a relative error of</w:t>
      </w:r>
      <w:r>
        <w:t xml:space="preserve"> </w:t>
      </w:r>
      <w:r>
        <w:rPr>
          <w:b/>
          <w:bCs/>
        </w:rPr>
        <w:t xml:space="preserve">1.7 × 10⁻¹²</w:t>
      </w:r>
      <w:r>
        <w:t xml:space="preserve">. Direct integration of the exact retarded Green’s function exp(ikD)/D at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distance, with no far-field approximation, gives 1.4 × 10⁻⁸; that residual was</w:t>
      </w:r>
      <w:r>
        <w:t xml:space="preserve"> </w:t>
      </w:r>
      <w:r>
        <w:t xml:space="preserve">diagnosed rather than assumed, being flat in observation distance,</w:t>
      </w:r>
      <w:r>
        <w:t xml:space="preserve"> </w:t>
      </w:r>
      <w:r>
        <w:rPr>
          <w:i/>
          <w:iCs/>
        </w:rPr>
        <w:t xml:space="preserve">growing</w:t>
      </w:r>
      <w:r>
        <w:t xml:space="preserve"> </w:t>
      </w:r>
      <w:r>
        <w:t xml:space="preserve">with</w:t>
      </w:r>
      <w:r>
        <w:t xml:space="preserve"> </w:t>
      </w:r>
      <w:r>
        <w:t xml:space="preserve">quadrature order (which no truncation error does), and ~3× the self-contained noise floor</w:t>
      </w:r>
      <w:r>
        <w:t xml:space="preserve"> </w:t>
      </w:r>
      <w:r>
        <w:t xml:space="preserve">supplied by the analytically-vanishing imaginary part — i.e. float64 accumulation, not</w:t>
      </w:r>
      <w:r>
        <w:t xml:space="preserve"> </w:t>
      </w:r>
      <w:r>
        <w:t xml:space="preserve">physical disagreement. A literal point-mass lattice of up to 1.44 × 10⁶ masses gives</w:t>
      </w:r>
      <w:r>
        <w:t xml:space="preserve"> </w:t>
      </w:r>
      <w:r>
        <w:t xml:space="preserve">~5 × 10⁻⁵, consistent with its O(h) staircase.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Because we had no published source to cite, we proved the answer</w:t>
      </w:r>
      <w:r>
        <w:t xml:space="preserve"> </w:t>
      </w:r>
      <w:r>
        <w:t xml:space="preserve">four separate ways that share no machinery — so a mistake in one method can’t hide in the</w:t>
      </w:r>
      <w:r>
        <w:t xml:space="preserve"> </w:t>
      </w:r>
      <w:r>
        <w:t xml:space="preserve">others. The strongest agrees to twelve decimal places. One method deliberately simulates</w:t>
      </w:r>
      <w:r>
        <w:t xml:space="preserve"> </w:t>
      </w:r>
      <w:r>
        <w:t xml:space="preserve">the sphere as over a million individual point masses and just adds up their contributions</w:t>
      </w:r>
      <w:r>
        <w:t xml:space="preserve"> </w:t>
      </w:r>
      <w:r>
        <w:t xml:space="preserve">by brute force. Where one route disagreed slightly, we didn’t wave it away: we diagnosed</w:t>
      </w:r>
      <w:r>
        <w:t xml:space="preserve"> </w:t>
      </w:r>
      <w:r>
        <w:t xml:space="preserve">it and showed the discrepancy</w:t>
      </w:r>
      <w:r>
        <w:t xml:space="preserve"> </w:t>
      </w:r>
      <w:r>
        <w:rPr>
          <w:i/>
          <w:iCs/>
        </w:rPr>
        <w:t xml:space="preserve">grew</w:t>
      </w:r>
      <w:r>
        <w:t xml:space="preserve"> </w:t>
      </w:r>
      <w:r>
        <w:t xml:space="preserve">when we asked for more computational precision — which</w:t>
      </w:r>
      <w:r>
        <w:t xml:space="preserve"> </w:t>
      </w:r>
      <w:r>
        <w:t xml:space="preserve">is the signature of accumulated rounding noise, not of a real physical disagreement.</w:t>
      </w:r>
    </w:p>
    <w:p>
      <w:pPr>
        <w:pStyle w:val="BodyText"/>
      </w:pPr>
      <w:r>
        <w:rPr>
          <w:b/>
          <w:bCs/>
        </w:rPr>
        <w:t xml:space="preserve">The radial profile is load-bearing.</w:t>
      </w:r>
      <w:r>
        <w:t xml:space="preserve"> </w:t>
      </w:r>
      <w:r>
        <w:t xml:space="preserve">Equation F_l assumes the l-pole mass distribution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volume-filling</w:t>
      </w:r>
      <w:r>
        <w:t xml:space="preserve">, δρ uniform on [0, R]. A body that acquires its quadrupole by</w:t>
      </w:r>
      <w:r>
        <w:t xml:space="preserve"> </w:t>
      </w:r>
      <w:r>
        <w:t xml:space="preserve">deforming its</w:t>
      </w:r>
      <w:r>
        <w:t xml:space="preserve"> </w:t>
      </w:r>
      <w:r>
        <w:rPr>
          <w:b/>
          <w:bCs/>
        </w:rPr>
        <w:t xml:space="preserve">surface</w:t>
      </w:r>
      <w:r>
        <w:t xml:space="preserve"> </w:t>
      </w:r>
      <w:r>
        <w:t xml:space="preserve">has δρ ∝ δ(r − R) and a different answer,</w:t>
      </w:r>
      <w:r>
        <w:t xml:space="preserve"> </w:t>
      </w:r>
      <w:r>
        <w:t xml:space="preserve">F₂^surface(kR) = 15 j₂(kR)/(kR)² = 1 − (kR)²/14 —</w:t>
      </w:r>
      <w:r>
        <w:t xml:space="preserve"> </w:t>
      </w:r>
      <w:r>
        <w:rPr>
          <w:b/>
          <w:bCs/>
        </w:rPr>
        <w:t xml:space="preserve">40% larger</w:t>
      </w:r>
      <w:r>
        <w:t xml:space="preserve">. Both are</w:t>
      </w:r>
      <w:r>
        <w:t xml:space="preserve"> </w:t>
      </w:r>
      <w:r>
        <w:t xml:space="preserve">“the uniform</w:t>
      </w:r>
      <w:r>
        <w:t xml:space="preserve"> </w:t>
      </w:r>
      <w:r>
        <w:t xml:space="preserve">sphere”</w:t>
      </w:r>
      <w:r>
        <w:t xml:space="preserve">; the phrase does not determine the answer. The correction must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applied to the tidal Love-number or Maclaurin-oblateness quadrupoles, which are</w:t>
      </w:r>
      <w:r>
        <w:t xml:space="preserve"> </w:t>
      </w:r>
      <w:r>
        <w:t xml:space="preserve">incompressible-body surface deformations, without re-deriving. A future source quoting</w:t>
      </w:r>
      <w:r>
        <w:t xml:space="preserve"> </w:t>
      </w:r>
      <w:r>
        <w:t xml:space="preserve">1/14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confirmation of this result — it confirms the other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subtle trap worth the warning. There are two different ways a</w:t>
      </w:r>
      <w:r>
        <w:t xml:space="preserve"> </w:t>
      </w:r>
      <w:r>
        <w:t xml:space="preserve">uniform ball can distort — throughout its whole volume, or only at its surface — and they</w:t>
      </w:r>
      <w:r>
        <w:t xml:space="preserve"> </w:t>
      </w:r>
      <w:r>
        <w:t xml:space="preserve">give answers differing by 40%. Both are honestly described by the phrase</w:t>
      </w:r>
      <w:r>
        <w:t xml:space="preserve"> </w:t>
      </w:r>
      <w:r>
        <w:t xml:space="preserve">“a uniform</w:t>
      </w:r>
      <w:r>
        <w:t xml:space="preserve"> </w:t>
      </w:r>
      <w:r>
        <w:t xml:space="preserve">sphere,”</w:t>
      </w:r>
      <w:r>
        <w:t xml:space="preserve"> </w:t>
      </w:r>
      <w:r>
        <w:t xml:space="preserve">so the words alone don’t tell you which formula you need. We use the first. The</w:t>
      </w:r>
      <w:r>
        <w:t xml:space="preserve"> </w:t>
      </w:r>
      <w:r>
        <w:t xml:space="preserve">warning to the future: if someone later finds a textbook quoting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number,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confirmation that we were right — it’s confirmation of the other case entirely,</w:t>
      </w:r>
      <w:r>
        <w:t xml:space="preserve"> </w:t>
      </w:r>
      <w:r>
        <w:t xml:space="preserve">and treating it as agreement would introduce a 40% error while feeling like diligence.</w:t>
      </w:r>
    </w:p>
    <w:p>
      <w:pPr>
        <w:pStyle w:val="BodyText"/>
      </w:pPr>
      <w:r>
        <w:rPr>
          <w:b/>
          <w:bCs/>
        </w:rPr>
        <w:t xml:space="preserve">Validity floor.</w:t>
      </w:r>
      <w:r>
        <w:t xml:space="preserve"> </w:t>
      </w:r>
      <w:r>
        <w:t xml:space="preserve">The leading-order series goes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at kR = √(98/5), i.e.</w:t>
      </w:r>
      <w:r>
        <w:t xml:space="preserve"> </w:t>
      </w:r>
      <w:r>
        <w:t xml:space="preserve">R/λ = 0.7046, and is meaningless well before that; departure from unity is already</w:t>
      </w:r>
      <w:r>
        <w:t xml:space="preserve"> </w:t>
      </w:r>
      <w:r>
        <w:t xml:space="preserve">2.0142% at R/λ = 0.1. A structured</w:t>
      </w:r>
      <w:r>
        <w:t xml:space="preserve"> </w:t>
      </w:r>
      <w:r>
        <w:rPr>
          <w:rStyle w:val="VerbatimChar"/>
        </w:rPr>
        <w:t xml:space="preserve">LongWavelengthAssumptionWarning</w:t>
      </w:r>
      <w:r>
        <w:t xml:space="preserve"> </w:t>
      </w:r>
      <w:r>
        <w:t xml:space="preserve">is raised at</w:t>
      </w:r>
      <w:r>
        <w:t xml:space="preserve"> </w:t>
      </w:r>
      <w:r>
        <w:t xml:space="preserve">R/λ ≥ 0.1, naming the assumption-ledger row it violates. The exact closed form</w:t>
      </w:r>
      <w:r>
        <w:t xml:space="preserve"> </w:t>
      </w:r>
      <w:r>
        <w:t xml:space="preserve">F₂(x) = 75[3Si(x) + x cos x − 4 sin x]/x⁵ is recorded as the test reference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remedy: it is cancellation-limited below kR ≈ 0.05, losing ~5 digits per decade, and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 than the series in the regime the function is used 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correction is an approximation, and approximations have</w:t>
      </w:r>
      <w:r>
        <w:t xml:space="preserve"> </w:t>
      </w:r>
      <w:r>
        <w:t xml:space="preserve">edges. Past a certain object size the formula starts returning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emission, which</w:t>
      </w:r>
      <w:r>
        <w:t xml:space="preserve"> </w:t>
      </w:r>
      <w:r>
        <w:t xml:space="preserve">is physically meaningless — so the code actively warns you when you approach that edge, and</w:t>
      </w:r>
      <w:r>
        <w:t xml:space="preserve"> </w:t>
      </w:r>
      <w:r>
        <w:t xml:space="preserve">tells you which written-down assumption you’re violating. There is also an exact version of</w:t>
      </w:r>
      <w:r>
        <w:t xml:space="preserve"> </w:t>
      </w:r>
      <w:r>
        <w:t xml:space="preserve">the formula, and here’s the counterintuitive part:</w:t>
      </w:r>
      <w:r>
        <w:t xml:space="preserve"> </w:t>
      </w:r>
      <w:r>
        <w:rPr>
          <w:b/>
          <w:bCs/>
        </w:rPr>
        <w:t xml:space="preserve">the exact version is worse in</w:t>
      </w:r>
      <w:r>
        <w:rPr>
          <w:b/>
          <w:bCs/>
        </w:rPr>
        <w:t xml:space="preserve"> </w:t>
      </w:r>
      <w:r>
        <w:rPr>
          <w:b/>
          <w:bCs/>
        </w:rPr>
        <w:t xml:space="preserve">practice</w:t>
      </w:r>
      <w:r>
        <w:t xml:space="preserve">, because computing it involves subtracting nearly-equal large numbers, the same</w:t>
      </w:r>
      <w:r>
        <w:t xml:space="preserve"> </w:t>
      </w:r>
      <w:r>
        <w:t xml:space="preserve">precision-destroying trap described earlier. So we keep the approximate one and guard its</w:t>
      </w:r>
      <w:r>
        <w:t xml:space="preserve"> </w:t>
      </w:r>
      <w:r>
        <w:t xml:space="preserve">edges.</w:t>
      </w:r>
    </w:p>
    <w:p>
      <w:pPr>
        <w:pStyle w:val="BodyText"/>
      </w:pPr>
      <w:r>
        <w:t xml:space="preserve">The implementation is mutation-tested: replacing 5/98 with 1/6, 1/10, 1/14, a sign flip,</w:t>
      </w:r>
      <w:r>
        <w:t xml:space="preserve"> </w:t>
      </w:r>
      <w:r>
        <w:t xml:space="preserve">a 0.1% nudge, or a</w:t>
      </w:r>
      <w:r>
        <w:t xml:space="preserve"> </w:t>
      </w:r>
      <w:r>
        <w:rPr>
          <w:b/>
          <w:bCs/>
        </w:rPr>
        <w:t xml:space="preserve">0.001%</w:t>
      </w:r>
      <w:r>
        <w:t xml:space="preserve"> </w:t>
      </w:r>
      <w:r>
        <w:t xml:space="preserve">nudge each fails 4–5 tests. Notably, the natural</w:t>
      </w:r>
      <w:r>
        <w:t xml:space="preserve"> </w:t>
      </w:r>
      <w:r>
        <w:t xml:space="preserve">“tends to</w:t>
      </w:r>
      <w:r>
        <w:t xml:space="preserve"> </w:t>
      </w:r>
      <w:r>
        <w:t xml:space="preserve">unity as R/λ → 0”</w:t>
      </w:r>
      <w:r>
        <w:t xml:space="preserve"> </w:t>
      </w:r>
      <w:r>
        <w:t xml:space="preserve">test passes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coefficient except the sign flip; the</w:t>
      </w:r>
      <w:r>
        <w:t xml:space="preserve"> </w:t>
      </w:r>
      <w:r>
        <w:t xml:space="preserve">load-bearing test is the one that pins the coefficient exactly.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To confirm the tests actually work, we deliberately broke the</w:t>
      </w:r>
      <w:r>
        <w:t xml:space="preserve"> </w:t>
      </w:r>
      <w:r>
        <w:t xml:space="preserve">code and checked they noticed. We swapped in each of the plausible wrong fractions, flipped</w:t>
      </w:r>
      <w:r>
        <w:t xml:space="preserve"> </w:t>
      </w:r>
      <w:r>
        <w:t xml:space="preserve">a sign, and nudged the correct value by a</w:t>
      </w:r>
      <w:r>
        <w:t xml:space="preserve"> </w:t>
      </w:r>
      <w:r>
        <w:rPr>
          <w:b/>
          <w:bCs/>
        </w:rPr>
        <w:t xml:space="preserve">thousandth of a percent</w:t>
      </w:r>
      <w:r>
        <w:t xml:space="preserve"> </w:t>
      </w:r>
      <w:r>
        <w:t xml:space="preserve">— every sabotage was</w:t>
      </w:r>
      <w:r>
        <w:t xml:space="preserve"> </w:t>
      </w:r>
      <w:r>
        <w:t xml:space="preserve">caught. This also exposed something important: the most obvious, natural-seeming test</w:t>
      </w:r>
      <w:r>
        <w:t xml:space="preserve"> </w:t>
      </w:r>
      <w:r>
        <w:t xml:space="preserve">passes happily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value we tried. It would have given complete false</w:t>
      </w:r>
      <w:r>
        <w:t xml:space="preserve"> </w:t>
      </w:r>
      <w:r>
        <w:t xml:space="preserve">confidence. Only one specific test does the real work.</w:t>
      </w:r>
    </w:p>
    <w:bookmarkEnd w:id="29"/>
    <w:bookmarkStart w:id="30" w:name="Xf77ab830b7763616c10de7a4f1594f1c9b21f00"/>
    <w:p>
      <w:pPr>
        <w:pStyle w:val="Heading3"/>
      </w:pPr>
      <w:r>
        <w:t xml:space="preserve">Conservation auditing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</w:t>
      </w:r>
    </w:p>
    <w:p>
      <w:pPr>
        <w:pStyle w:val="FirstParagraph"/>
      </w:pPr>
      <w:r>
        <w:t xml:space="preserve">Two layers.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non-conservation from masses and accelerations. A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wrapper</w:t>
      </w:r>
      <w:r>
        <w:t xml:space="preserve"> </w:t>
      </w:r>
      <w:r>
        <w:rPr>
          <w:i/>
          <w:iCs/>
        </w:rPr>
        <w:t xml:space="preserve">propagates</w:t>
      </w:r>
      <w:r>
        <w:t xml:space="preserve"> </w:t>
      </w:r>
      <w:r>
        <w:t xml:space="preserve">that verdict through arithmetic so it cannot be</w:t>
      </w:r>
      <w:r>
        <w:t xml:space="preserve"> </w:t>
      </w:r>
      <w:r>
        <w:t xml:space="preserve">laundered.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separate jobs. One part</w:t>
      </w:r>
      <w:r>
        <w:t xml:space="preserve"> </w:t>
      </w:r>
      <w:r>
        <w:rPr>
          <w:i/>
          <w:iCs/>
        </w:rPr>
        <w:t xml:space="preserve">notices</w:t>
      </w:r>
      <w:r>
        <w:t xml:space="preserve"> </w:t>
      </w:r>
      <w:r>
        <w:t xml:space="preserve">that a setup is</w:t>
      </w:r>
      <w:r>
        <w:t xml:space="preserve"> </w:t>
      </w:r>
      <w:r>
        <w:t xml:space="preserve">physically impossible. The other part makes sure that verdict travels with the number</w:t>
      </w:r>
      <w:r>
        <w:t xml:space="preserve"> </w:t>
      </w:r>
      <w:r>
        <w:t xml:space="preserve">through every subsequent calculation, so it can’t be lost or laundered along the way.</w:t>
      </w:r>
    </w:p>
    <w:p>
      <w:pPr>
        <w:pStyle w:val="BodyText"/>
      </w:pPr>
      <w:r>
        <w:t xml:space="preserve">The natural implementation — an</w:t>
      </w:r>
      <w:r>
        <w:t xml:space="preserve"> </w:t>
      </w:r>
      <w:r>
        <w:rPr>
          <w:rStyle w:val="VerbatimChar"/>
        </w:rPr>
        <w:t xml:space="preserve">np.ndarray</w:t>
      </w:r>
      <w:r>
        <w:t xml:space="preserve"> </w:t>
      </w:r>
      <w:r>
        <w:t xml:space="preserve">subclass with</w:t>
      </w:r>
      <w:r>
        <w:t xml:space="preserve"> </w:t>
      </w:r>
      <w:r>
        <w:rPr>
          <w:rStyle w:val="VerbatimChar"/>
        </w:rPr>
        <w:t xml:space="preserve">__array_finalize__</w:t>
      </w:r>
      <w:r>
        <w:t xml:space="preserve"> </w:t>
      </w:r>
      <w:r>
        <w:t xml:space="preserve">— was</w:t>
      </w:r>
      <w:r>
        <w:t xml:space="preserve"> </w:t>
      </w:r>
      <w:r>
        <w:t xml:space="preserve">built and measured first, and rejected on one row of evidence: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np.array</w:t>
      </w:r>
      <w:r>
        <w:t xml:space="preserve"> </w:t>
      </w:r>
      <w:r>
        <w:t xml:space="preserve">on an ndarray subclass take a fast path that returns a</w:t>
      </w:r>
      <w:r>
        <w:t xml:space="preserve"> </w:t>
      </w:r>
      <w:r>
        <w:rPr>
          <w:b/>
          <w:bCs/>
        </w:rPr>
        <w:t xml:space="preserve">base-class array</w:t>
      </w:r>
      <w:r>
        <w:rPr>
          <w:b/>
          <w:bCs/>
        </w:rPr>
        <w:t xml:space="preserve"> </w:t>
      </w:r>
      <w:r>
        <w:rPr>
          <w:b/>
          <w:bCs/>
        </w:rPr>
        <w:t xml:space="preserve">without ever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__array__</w:t>
      </w:r>
      <w:r>
        <w:t xml:space="preserve">, silently discarding the stamp. Defining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 </w:t>
      </w:r>
      <w:r>
        <w:t xml:space="preserve">does not help; it is not consulted. There is no hook, and therefore no way to make the</w:t>
      </w:r>
      <w:r>
        <w:t xml:space="preserve"> </w:t>
      </w:r>
      <w:r>
        <w:t xml:space="preserve">loss loud.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is the call most likely to appear in exactly the plotting, export</w:t>
      </w:r>
      <w:r>
        <w:t xml:space="preserve"> </w:t>
      </w:r>
      <w:r>
        <w:t xml:space="preserve">and serialization code where an unstamped 10¹⁰ artifact would do its damage, and the call</w:t>
      </w:r>
      <w:r>
        <w:t xml:space="preserve"> </w:t>
      </w:r>
      <w:r>
        <w:t xml:space="preserve">least likely to be scrutinized in review.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tried the obvious approach first and it failed a test we’re</w:t>
      </w:r>
      <w:r>
        <w:t xml:space="preserve"> </w:t>
      </w:r>
      <w:r>
        <w:t xml:space="preserve">glad we ran. The natural way to attach a permanent label to a number turns out to have a</w:t>
      </w:r>
      <w:r>
        <w:t xml:space="preserve"> </w:t>
      </w:r>
      <w:r>
        <w:t xml:space="preserve">hole: one extremely common, innocuous-looking operation strips the label off silently, with</w:t>
      </w:r>
      <w:r>
        <w:t xml:space="preserve"> </w:t>
      </w:r>
      <w:r>
        <w:t xml:space="preserve">no way to detect or prevent it. Worse, that operation is exactly what appears in the</w:t>
      </w:r>
      <w:r>
        <w:t xml:space="preserve"> </w:t>
      </w:r>
      <w:r>
        <w:t xml:space="preserve">plotting and file-saving code — the very last step before a number becomes a chart someone</w:t>
      </w:r>
      <w:r>
        <w:t xml:space="preserve"> </w:t>
      </w:r>
      <w:r>
        <w:t xml:space="preserve">puts in a presentation, and the step nobody scrutinises. So we threw the approach away.</w:t>
      </w:r>
    </w:p>
    <w:p>
      <w:pPr>
        <w:pStyle w:val="BodyText"/>
      </w:pPr>
      <w:r>
        <w:rPr>
          <w:rStyle w:val="VerbatimChar"/>
        </w:rPr>
        <w:t xml:space="preserve">StampedResult</w:t>
      </w:r>
      <w:r>
        <w:t xml:space="preserve"> </w:t>
      </w:r>
      <w:r>
        <w:t xml:space="preserve">is therefore an explicit wrapper. Because it is not an ndarray, NumPy is</w:t>
      </w:r>
      <w:r>
        <w:t xml:space="preserve"> </w:t>
      </w:r>
      <w:r>
        <w:rPr>
          <w:i/>
          <w:iCs/>
        </w:rPr>
        <w:t xml:space="preserve">obliged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, where a stamped result raises</w:t>
      </w:r>
      <w:r>
        <w:t xml:space="preserve"> </w:t>
      </w:r>
      <w:r>
        <w:rPr>
          <w:rStyle w:val="VerbatimChar"/>
        </w:rPr>
        <w:t xml:space="preserve">StampStrippedError</w:t>
      </w:r>
      <w:r>
        <w:t xml:space="preserve"> </w:t>
      </w:r>
      <w:r>
        <w:t xml:space="preserve">instead</w:t>
      </w:r>
      <w:r>
        <w:t xml:space="preserve"> </w:t>
      </w:r>
      <w:r>
        <w:t xml:space="preserve">of converting. Arithmetic is routed through</w:t>
      </w:r>
      <w:r>
        <w:t xml:space="preserve"> </w:t>
      </w:r>
      <w:r>
        <w:rPr>
          <w:rStyle w:val="VerbatimChar"/>
        </w:rPr>
        <w:t xml:space="preserve">__array_ufunc__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__array_priority__</w:t>
      </w:r>
      <w:r>
        <w:t xml:space="preserve"> </w:t>
      </w:r>
      <w:r>
        <w:t xml:space="preserve">set so that</w:t>
      </w:r>
      <w:r>
        <w:t xml:space="preserve"> </w:t>
      </w:r>
      <w:r>
        <w:rPr>
          <w:rStyle w:val="VerbatimChar"/>
        </w:rPr>
        <w:t xml:space="preserve">ndarray + StampedResult</w:t>
      </w:r>
      <w:r>
        <w:t xml:space="preserve"> </w:t>
      </w:r>
      <w:r>
        <w:t xml:space="preserve">defers to the wrapper. Three supporting rules:</w:t>
      </w:r>
      <w:r>
        <w:t xml:space="preserve"> </w:t>
      </w:r>
      <w:r>
        <w:t xml:space="preserve">unphysicality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(results derived from two unphysical sources name both);</w:t>
      </w:r>
      <w:r>
        <w:t xml:space="preserve"> </w:t>
      </w:r>
      <w:r>
        <w:rPr>
          <w:rStyle w:val="VerbatimChar"/>
        </w:rPr>
        <w:t xml:space="preserve">out=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refused</w:t>
      </w:r>
      <w:r>
        <w:t xml:space="preserve">, since writing into a caller-supplied array is the same laundering</w:t>
      </w:r>
      <w:r>
        <w:t xml:space="preserve"> </w:t>
      </w:r>
      <w:r>
        <w:t xml:space="preserve">hole by another route; and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unstamp()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— raw numbers come from an</w:t>
      </w:r>
      <w:r>
        <w:t xml:space="preserve"> </w:t>
      </w:r>
      <w:r>
        <w:t xml:space="preserve">explicit, greppable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attribute that leaves a trace in review. 36 tests cover</w:t>
      </w:r>
      <w:r>
        <w:t xml:space="preserve"> </w:t>
      </w:r>
      <w:r>
        <w:t xml:space="preserve">arithmetic in both operand orders, ufuncs, reductions, slicing,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, JSON</w:t>
      </w:r>
      <w:r>
        <w:t xml:space="preserve"> </w:t>
      </w:r>
      <w:r>
        <w:t xml:space="preserve">round-trips, and refusal of each coercion path. That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will not drop into a</w:t>
      </w:r>
      <w:r>
        <w:t xml:space="preserve"> </w:t>
      </w:r>
      <w:r>
        <w:t xml:space="preserve">function requiring an ndarray is the</w:t>
      </w:r>
      <w:r>
        <w:t xml:space="preserve"> </w:t>
      </w:r>
      <w:r>
        <w:rPr>
          <w:b/>
          <w:bCs/>
        </w:rPr>
        <w:t xml:space="preserve">intended behaviour</w:t>
      </w:r>
      <w:r>
        <w:t xml:space="preserve">: such a function is precisely</w:t>
      </w:r>
      <w:r>
        <w:t xml:space="preserve"> </w:t>
      </w:r>
      <w:r>
        <w:t xml:space="preserve">where the stamp would have been lost.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replacement design puts the number inside a sealed container</w:t>
      </w:r>
      <w:r>
        <w:t xml:space="preserve"> </w:t>
      </w:r>
      <w:r>
        <w:t xml:space="preserve">that the system cannot open behind your back. Three deliberate cruelties. The taint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— anything computed from a tainted number is itself tainted, and names both</w:t>
      </w:r>
      <w:r>
        <w:t xml:space="preserve"> </w:t>
      </w:r>
      <w:r>
        <w:t xml:space="preserve">sources.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“remove label”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, on purpose; the only way to get the raw</w:t>
      </w:r>
      <w:r>
        <w:t xml:space="preserve"> </w:t>
      </w:r>
      <w:r>
        <w:t xml:space="preserve">number out is a specific phrase that’s easy to search for, so it shows up in review. And</w:t>
      </w:r>
      <w:r>
        <w:t xml:space="preserve"> </w:t>
      </w:r>
      <w:r>
        <w:t xml:space="preserve">the container deliberately</w:t>
      </w:r>
      <w:r>
        <w:t xml:space="preserve"> </w:t>
      </w:r>
      <w:r>
        <w:rPr>
          <w:b/>
          <w:bCs/>
        </w:rPr>
        <w:t xml:space="preserve">won’t fit</w:t>
      </w:r>
      <w:r>
        <w:t xml:space="preserve"> </w:t>
      </w:r>
      <w:r>
        <w:t xml:space="preserve">into ordinary code that expects a plain number.</w:t>
      </w:r>
      <w:r>
        <w:t xml:space="preserve"> </w:t>
      </w:r>
      <w:r>
        <w:t xml:space="preserve">That’s not a shortcoming to work around — those are precisely the places the label would</w:t>
      </w:r>
      <w:r>
        <w:t xml:space="preserve"> </w:t>
      </w:r>
      <w:r>
        <w:t xml:space="preserve">have been lost.</w:t>
      </w:r>
    </w:p>
    <w:p>
      <w:pPr>
        <w:pStyle w:val="BodyText"/>
      </w:pPr>
      <w:r>
        <w:t xml:space="preserve">The frozen ledger schema initially had no field able to carry a stamp, which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callers to unwrap to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— turning the artifact into a ledger row that clears its</w:t>
      </w:r>
      <w:r>
        <w:t xml:space="preserve"> </w:t>
      </w:r>
      <w:r>
        <w:t xml:space="preserve">requirement by ten orders of magnitude. This was caught as a Critical review finding on</w:t>
      </w:r>
      <w:r>
        <w:t xml:space="preserve"> </w:t>
      </w:r>
      <w:r>
        <w:t xml:space="preserve">the day the schema was frozen and closed by a sixth field,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GapMetric.from_stamped()</w:t>
      </w:r>
      <w:r>
        <w:t xml:space="preserve"> </w:t>
      </w:r>
      <w:r>
        <w:t xml:space="preserve">constructor, while the freeze still had no dependents. The</w:t>
      </w:r>
      <w:r>
        <w:t xml:space="preserve"> </w:t>
      </w:r>
      <w:r>
        <w:t xml:space="preserve">residual risk is ergonomic rather than structural and is recorded as such.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near-miss worth recording. The scorecard format was finalised</w:t>
      </w:r>
      <w:r>
        <w:t xml:space="preserve"> </w:t>
      </w:r>
      <w:r>
        <w:t xml:space="preserve">without anywhere to record the taint — which meant anyone filling in the scorecard was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to strip the label first. The result would have been a report claiming we’d</w:t>
      </w:r>
      <w:r>
        <w:t xml:space="preserve"> </w:t>
      </w:r>
      <w:r>
        <w:t xml:space="preserve">exceeded our target by ten billion times, with nothing on the page indicating it was</w:t>
      </w:r>
      <w:r>
        <w:t xml:space="preserve"> </w:t>
      </w:r>
      <w:r>
        <w:t xml:space="preserve">nonsense. Caught on the same day the format was frozen, and fixed by adding a column while</w:t>
      </w:r>
      <w:r>
        <w:t xml:space="preserve"> </w:t>
      </w:r>
      <w:r>
        <w:t xml:space="preserve">nothing yet depended on it.</w:t>
      </w:r>
    </w:p>
    <w:bookmarkEnd w:id="30"/>
    <w:bookmarkStart w:id="31" w:name="numerical-methods-at-astronomical-scale"/>
    <w:p>
      <w:pPr>
        <w:pStyle w:val="Heading3"/>
      </w:pPr>
      <w:r>
        <w:t xml:space="preserve">Numerical methods at astronomical scale</w:t>
      </w:r>
    </w:p>
    <w:p>
      <w:pPr>
        <w:pStyle w:val="FirstParagraph"/>
      </w:pPr>
      <w:r>
        <w:t xml:space="preserve">Two constructions in this problem fail silently and are documented as findings.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ways the arithmetic itself betrays you at these distances,</w:t>
      </w:r>
      <w:r>
        <w:t xml:space="preserve"> </w:t>
      </w:r>
      <w:r>
        <w:t xml:space="preserve">both of which we record as findings rather than quietly patching.</w:t>
      </w:r>
    </w:p>
    <w:p>
      <w:pPr>
        <w:pStyle w:val="BodyText"/>
      </w:pPr>
      <w:r>
        <w:rPr>
          <w:b/>
          <w:bCs/>
        </w:rPr>
        <w:t xml:space="preserve">Range differencing.</w:t>
      </w:r>
      <w:r>
        <w:t xml:space="preserve"> </w:t>
      </w:r>
      <w:r>
        <w:t xml:space="preserve">The direct difference of two ~10¹² m element ranges at 40 AU is</w:t>
      </w:r>
      <w:r>
        <w:t xml:space="preserve"> </w:t>
      </w:r>
      <w:r>
        <w:rPr>
          <w:b/>
          <w:bCs/>
        </w:rPr>
        <w:t xml:space="preserve">identically zero in float64</w:t>
      </w:r>
      <w:r>
        <w:t xml:space="preserve">. The remedy is never to form the large quantity:</w:t>
      </w:r>
      <w:r>
        <w:t xml:space="preserve"> </w:t>
      </w:r>
      <w:r>
        <w:t xml:space="preserve">R_a − R_ref = (|q_a|² − 2s·q_a)/(R_a + R_ref).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Subtracting two nearly-identical astronomical distances gives</w:t>
      </w:r>
      <w:r>
        <w:t xml:space="preserve"> </w:t>
      </w:r>
      <w:r>
        <w:t xml:space="preserve">exactly zero, destroying the very information you were after. The fix is algebraic</w:t>
      </w:r>
      <w:r>
        <w:t xml:space="preserve"> </w:t>
      </w:r>
      <w:r>
        <w:t xml:space="preserve">sleight of hand: rearrange the sum so the enormous numbers cancel</w:t>
      </w:r>
      <w:r>
        <w:t xml:space="preserve"> </w:t>
      </w:r>
      <w:r>
        <w:rPr>
          <w:i/>
          <w:iCs/>
        </w:rPr>
        <w:t xml:space="preserve">on paper</w:t>
      </w:r>
      <w:r>
        <w:t xml:space="preserve">, before the</w:t>
      </w:r>
      <w:r>
        <w:t xml:space="preserve"> </w:t>
      </w:r>
      <w:r>
        <w:t xml:space="preserve">computer ever has to store one.</w:t>
      </w:r>
    </w:p>
    <w:p>
      <w:pPr>
        <w:pStyle w:val="BodyText"/>
      </w:pPr>
      <w:r>
        <w:rPr>
          <w:b/>
          <w:bCs/>
        </w:rPr>
        <w:t xml:space="preserve">Absolute phase.</w:t>
      </w:r>
      <w:r>
        <w:t xml:space="preserve"> </w:t>
      </w:r>
      <w:r>
        <w:t xml:space="preserve">At 40 AU / 1 kHz the absolute propagation phase is ~1.25 × 10⁸ rad,</w:t>
      </w:r>
      <w:r>
        <w:t xml:space="preserve"> </w:t>
      </w:r>
      <w:r>
        <w:t xml:space="preserve">where float64’s spacing is ~1.5 × 10⁻⁸ rad — ~340× larger than the entire per-element</w:t>
      </w:r>
      <w:r>
        <w:t xml:space="preserve"> </w:t>
      </w:r>
      <w:r>
        <w:t xml:space="preserve">differential of ~4.4 × 10⁻¹¹ rad. (In float32 the spacing at that magnitude is ~8 rad,</w:t>
      </w:r>
      <w:r>
        <w:t xml:space="preserve"> </w:t>
      </w:r>
      <w:r>
        <w:t xml:space="preserve">wider than a full cycle.) The remedy is a</w:t>
      </w:r>
      <w:r>
        <w:t xml:space="preserve"> </w:t>
      </w:r>
      <w:r>
        <w:rPr>
          <w:rStyle w:val="VerbatimChar"/>
        </w:rPr>
        <w:t xml:space="preserve">SplitPhase</w:t>
      </w:r>
      <w:r>
        <w:t xml:space="preserve"> </w:t>
      </w:r>
      <w:r>
        <w:t xml:space="preserve">factorization</w:t>
      </w:r>
      <w:r>
        <w:t xml:space="preserve"> </w:t>
      </w:r>
      <w:r>
        <w:t xml:space="preserve">exp(iφ_a) = exp(iφ_ref)·exp(iΔφ_a) in which phasors</w:t>
      </w:r>
      <w:r>
        <w:t xml:space="preserve"> </w:t>
      </w:r>
      <w:r>
        <w:rPr>
          <w:i/>
          <w:iCs/>
        </w:rPr>
        <w:t xml:space="preserve">multiply</w:t>
      </w:r>
      <w:r>
        <w:t xml:space="preserve">, so the large common phase</w:t>
      </w:r>
      <w:r>
        <w:t xml:space="preserve"> </w:t>
      </w:r>
      <w:r>
        <w:t xml:space="preserve">and the small residual are never added. The framework exposes</w:t>
      </w:r>
      <w:r>
        <w:t xml:space="preserve"> </w:t>
      </w:r>
      <w:r>
        <w:rPr>
          <w:rStyle w:val="VerbatimChar"/>
        </w:rPr>
        <w:t xml:space="preserve">.phasor()</w:t>
      </w:r>
      <w:r>
        <w:t xml:space="preserve"> </w:t>
      </w:r>
      <w:r>
        <w:t xml:space="preserve">and documents</w:t>
      </w:r>
      <w:r>
        <w:t xml:space="preserve"> </w:t>
      </w:r>
      <w:r>
        <w:rPr>
          <w:rStyle w:val="VerbatimChar"/>
        </w:rPr>
        <w:t xml:space="preserve">.recombine()</w:t>
      </w:r>
      <w:r>
        <w:t xml:space="preserve"> </w:t>
      </w:r>
      <w:r>
        <w:t xml:space="preserve">as irreducibly lossy.</w:t>
      </w:r>
      <w:r>
        <w:t xml:space="preserve"> </w:t>
      </w:r>
      <w:r>
        <w:rPr>
          <w:b/>
          <w:bCs/>
        </w:rPr>
        <w:t xml:space="preserve">This is not a single-precision optimization; it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way to obtain the number at all.</w:t>
      </w:r>
      <w:r>
        <w:t xml:space="preserve"> </w:t>
      </w:r>
      <w:r>
        <w:t xml:space="preserve">Both are validated against 60-digit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references rather than against the implementation’s own float64 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same disease in a second place. Tracking where a wave is in</w:t>
      </w:r>
      <w:r>
        <w:t xml:space="preserve"> </w:t>
      </w:r>
      <w:r>
        <w:t xml:space="preserve">its cycle after travelling billions of kilometres requires a number so large that the</w:t>
      </w:r>
      <w:r>
        <w:t xml:space="preserve"> </w:t>
      </w:r>
      <w:r>
        <w:t xml:space="preserve">smallest difference the computer can represent is</w:t>
      </w:r>
      <w:r>
        <w:t xml:space="preserve"> </w:t>
      </w:r>
      <w:r>
        <w:rPr>
          <w:b/>
          <w:bCs/>
        </w:rPr>
        <w:t xml:space="preserve">340 times bigger than the entire</w:t>
      </w:r>
      <w:r>
        <w:rPr>
          <w:b/>
          <w:bCs/>
        </w:rPr>
        <w:t xml:space="preserve"> </w:t>
      </w:r>
      <w:r>
        <w:rPr>
          <w:b/>
          <w:bCs/>
        </w:rPr>
        <w:t xml:space="preserve">effect we’re trying to measure</w:t>
      </w:r>
      <w:r>
        <w:t xml:space="preserve">. In lower precision it’s worse still — the gap exceeds a</w:t>
      </w:r>
      <w:r>
        <w:t xml:space="preserve"> </w:t>
      </w:r>
      <w:r>
        <w:t xml:space="preserve">full wave cycle, so the answer is pure noise. The fix splits the number into a huge shared</w:t>
      </w:r>
      <w:r>
        <w:t xml:space="preserve"> </w:t>
      </w:r>
      <w:r>
        <w:t xml:space="preserve">part and a tiny individual part that are multiplied rather than added, so they never meet</w:t>
      </w:r>
      <w:r>
        <w:t xml:space="preserve"> </w:t>
      </w:r>
      <w:r>
        <w:t xml:space="preserve">inside a single quantity. To be sure, we check the result against arithmetic carried out to</w:t>
      </w:r>
      <w:r>
        <w:t xml:space="preserve"> </w:t>
      </w:r>
      <w:r>
        <w:t xml:space="preserve">sixty digits, rather than against the code’s own answers.</w:t>
      </w:r>
    </w:p>
    <w:p>
      <w:pPr>
        <w:pStyle w:val="BodyText"/>
      </w:pPr>
      <w:r>
        <w:t xml:space="preserve">The framework also enforces that strain is carried in a scaled representation:</w:t>
      </w:r>
      <w:r>
        <w:t xml:space="preserve"> </w:t>
      </w:r>
      <w:r>
        <w:t xml:space="preserve">h ~ 10⁻⁴⁰ is</w:t>
      </w:r>
      <w:r>
        <w:t xml:space="preserve"> </w:t>
      </w:r>
      <w:r>
        <w:rPr>
          <w:i/>
          <w:iCs/>
        </w:rPr>
        <w:t xml:space="preserve">subnormal</w:t>
      </w:r>
      <w:r>
        <w:t xml:space="preserve"> </w:t>
      </w:r>
      <w:r>
        <w:t xml:space="preserve">in IEEE binary32 (smallest normal ≈ 1.18 × 10⁻³⁸) and loses</w:t>
      </w:r>
      <w:r>
        <w:t xml:space="preserve"> </w:t>
      </w:r>
      <w:r>
        <w:t xml:space="preserve">precision in intermediate float64 products.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related storage problem: the signal is so faint that in</w:t>
      </w:r>
      <w:r>
        <w:t xml:space="preserve"> </w:t>
      </w:r>
      <w:r>
        <w:t xml:space="preserve">lower-precision arithmetic it falls off the bottom of what can be represented at all. So we</w:t>
      </w:r>
      <w:r>
        <w:t xml:space="preserve"> </w:t>
      </w:r>
      <w:r>
        <w:t xml:space="preserve">carry it in rescaled units and convert only at the very end.</w:t>
      </w:r>
    </w:p>
    <w:bookmarkEnd w:id="31"/>
    <w:bookmarkStart w:id="32" w:name="governance-mechanisms"/>
    <w:p>
      <w:pPr>
        <w:pStyle w:val="Heading3"/>
      </w:pPr>
      <w:r>
        <w:t xml:space="preserve">Governance mechanisms</w:t>
      </w:r>
    </w:p>
    <w:p>
      <w:pPr>
        <w:pStyle w:val="FirstParagraph"/>
      </w:pPr>
      <w:r>
        <w:rPr>
          <w:b/>
          <w:bCs/>
        </w:rPr>
        <w:t xml:space="preserve">Citation CI.</w:t>
      </w:r>
      <w:r>
        <w:t xml:space="preserve"> </w:t>
      </w:r>
      <w:r>
        <w:rPr>
          <w:rStyle w:val="VerbatimChar"/>
        </w:rPr>
        <w:t xml:space="preserve">tools/check_citations.py</w:t>
      </w:r>
      <w:r>
        <w:t xml:space="preserve"> </w:t>
      </w:r>
      <w:r>
        <w:t xml:space="preserve">parses the AST of every module in the physics</w:t>
      </w:r>
      <w:r>
        <w:t xml:space="preserve"> </w:t>
      </w:r>
      <w:r>
        <w:t xml:space="preserve">packages and requires each public function and class to carry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The regular expression demands the</w:t>
      </w:r>
      <w:r>
        <w:t xml:space="preserve"> </w:t>
      </w:r>
      <w:r>
        <w:rPr>
          <w:rStyle w:val="VerbatimChar"/>
        </w:rPr>
        <w:t xml:space="preserve">eq.</w:t>
      </w:r>
      <w:r>
        <w:t xml:space="preserve"> </w:t>
      </w:r>
      <w:r>
        <w:t xml:space="preserve">token</w:t>
      </w:r>
      <w:r>
        <w:t xml:space="preserve"> </w:t>
      </w:r>
      <w:r>
        <w:t xml:space="preserve">specifically — that is what distinguishes a citation from a hand-wave at a chapter.</w:t>
      </w:r>
      <w:r>
        <w:t xml:space="preserve"> </w:t>
      </w:r>
      <w:r>
        <w:t xml:space="preserve">Docstrings are whitespace-collapsed before matching so that long citations may wrap</w:t>
      </w:r>
      <w:r>
        <w:t xml:space="preserve"> </w:t>
      </w:r>
      <w:r>
        <w:t xml:space="preserve">legitimately. Infrastructure, visualization and ledger packages are exempt by</w:t>
      </w:r>
      <w:r>
        <w:t xml:space="preserve"> </w:t>
      </w:r>
      <w:r>
        <w:t xml:space="preserve">declaration, on the ground that they consume cited results rather than introducing</w:t>
      </w:r>
      <w:r>
        <w:t xml:space="preserve"> </w:t>
      </w:r>
      <w:r>
        <w:t xml:space="preserve">equations. Exit code 1 fails the build.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automated gatekeeper reads the source code and refuses to let</w:t>
      </w:r>
      <w:r>
        <w:t xml:space="preserve"> </w:t>
      </w:r>
      <w:r>
        <w:t xml:space="preserve">it build unless every physics function names the exact equation it implements. Pointing at</w:t>
      </w:r>
      <w:r>
        <w:t xml:space="preserve"> </w:t>
      </w:r>
      <w:r>
        <w:t xml:space="preserve">a whole chapter isn’t good enough — it must be a specific numbered equation a reader can</w:t>
      </w:r>
      <w:r>
        <w:t xml:space="preserve"> </w:t>
      </w:r>
      <w:r>
        <w:t xml:space="preserve">look up in one step. Layers that only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physics rather than introduce it are exempt,</w:t>
      </w:r>
      <w:r>
        <w:t xml:space="preserve"> </w:t>
      </w:r>
      <w:r>
        <w:t xml:space="preserve">and that exemption is written down rather than assumed.</w:t>
      </w:r>
    </w:p>
    <w:p>
      <w:pPr>
        <w:pStyle w:val="BodyText"/>
      </w:pPr>
      <w:r>
        <w:rPr>
          <w:b/>
          <w:bCs/>
        </w:rPr>
        <w:t xml:space="preserve">The five-gate commit check.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 src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check_citations.py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five must pass.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automatic checks run before any change is accepted:</w:t>
      </w:r>
      <w:r>
        <w:t xml:space="preserve"> </w:t>
      </w:r>
      <w:r>
        <w:t xml:space="preserve">style, formatting, type consistency, citations, and the full test suite. All five must</w:t>
      </w:r>
      <w:r>
        <w:t xml:space="preserve"> </w:t>
      </w:r>
      <w:r>
        <w:t xml:space="preserve">pass — there is no</w:t>
      </w:r>
      <w:r>
        <w:t xml:space="preserve"> </w:t>
      </w:r>
      <w:r>
        <w:t xml:space="preserve">“just this once.”</w:t>
      </w:r>
    </w:p>
    <w:p>
      <w:pPr>
        <w:pStyle w:val="BodyText"/>
      </w:pPr>
      <w:r>
        <w:rPr>
          <w:b/>
          <w:bCs/>
        </w:rPr>
        <w:t xml:space="preserve">The task workflow.</w:t>
      </w:r>
      <w:r>
        <w:t xml:space="preserve"> </w:t>
      </w:r>
      <w:r>
        <w:t xml:space="preserve">Every unit of work runs RESEARCH → IMPLEMENT → REVIEW → INDEX,</w:t>
      </w:r>
      <w:r>
        <w:t xml:space="preserve"> </w:t>
      </w:r>
      <w:r>
        <w:t xml:space="preserve">with gates: a governing equation must be verified against its primary source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implementation, and a research pass returning UNVERIFIED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task and escalates</w:t>
      </w:r>
      <w:r>
        <w:t xml:space="preserve"> </w:t>
      </w:r>
      <w:r>
        <w:t xml:space="preserve">it to a design spike rather than permitting implementation from memory. Spikes produce a</w:t>
      </w:r>
      <w:r>
        <w:t xml:space="preserve"> </w:t>
      </w:r>
      <w:r>
        <w:t xml:space="preserve">decision record and no production code. Physics changes receive additional</w:t>
      </w:r>
      <w:r>
        <w:t xml:space="preserve"> </w:t>
      </w:r>
      <w:r>
        <w:t xml:space="preserve">dimensional-analysis, index-convention and spin-2 review checks.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piece of work follows the same four steps: look it up,</w:t>
      </w:r>
      <w:r>
        <w:t xml:space="preserve"> </w:t>
      </w:r>
      <w:r>
        <w:t xml:space="preserve">build it, review it, record it. The important rule is the first gate —</w:t>
      </w:r>
      <w:r>
        <w:t xml:space="preserve"> </w:t>
      </w:r>
      <w:r>
        <w:rPr>
          <w:b/>
          <w:bCs/>
        </w:rPr>
        <w:t xml:space="preserve">if the source</w:t>
      </w:r>
      <w:r>
        <w:rPr>
          <w:b/>
          <w:bCs/>
        </w:rPr>
        <w:t xml:space="preserve"> </w:t>
      </w:r>
      <w:r>
        <w:rPr>
          <w:b/>
          <w:bCs/>
        </w:rPr>
        <w:t xml:space="preserve">can’t be verified, work stops.</w:t>
      </w:r>
      <w:r>
        <w:t xml:space="preserve"> </w:t>
      </w:r>
      <w:r>
        <w:t xml:space="preserve">Nobody is permitted to implement physics from memory,</w:t>
      </w:r>
      <w:r>
        <w:t xml:space="preserve"> </w:t>
      </w:r>
      <w:r>
        <w:t xml:space="preserve">however confident they are. When that happens the task converts into a research</w:t>
      </w:r>
      <w:r>
        <w:t xml:space="preserve"> </w:t>
      </w:r>
      <w:r>
        <w:t xml:space="preserve">investigation whose only output is a written decision, deliberately producing no code at</w:t>
      </w:r>
      <w:r>
        <w:t xml:space="preserve"> </w:t>
      </w:r>
      <w:r>
        <w:t xml:space="preserve">all, so the reasoning gets settled before anything is built on it.</w:t>
      </w:r>
    </w:p>
    <w:p>
      <w:pPr>
        <w:pStyle w:val="BodyText"/>
      </w:pPr>
      <w:r>
        <w:rPr>
          <w:b/>
          <w:bCs/>
        </w:rPr>
        <w:t xml:space="preserve">Structural anti-silence.</w:t>
      </w:r>
      <w:r>
        <w:t xml:space="preserve"> </w:t>
      </w:r>
      <w:r>
        <w:t xml:space="preserve">The project’s recurring failure mode has not been wrong</w:t>
      </w:r>
      <w:r>
        <w:t xml:space="preserve"> </w:t>
      </w:r>
      <w:r>
        <w:t xml:space="preserve">output but</w:t>
      </w:r>
      <w:r>
        <w:t xml:space="preserve"> </w:t>
      </w:r>
      <w:r>
        <w:rPr>
          <w:i/>
          <w:iCs/>
        </w:rPr>
        <w:t xml:space="preserve">silent disappearance</w:t>
      </w:r>
      <w:r>
        <w:t xml:space="preserve">: a task that failed to parse and vanished from the</w:t>
      </w:r>
      <w:r>
        <w:t xml:space="preserve"> </w:t>
      </w:r>
      <w:r>
        <w:t xml:space="preserve">schedule; tasks stranded behind a blocker and simply absent from the plan; completed work</w:t>
      </w:r>
      <w:r>
        <w:t xml:space="preserve"> </w:t>
      </w:r>
      <w:r>
        <w:t xml:space="preserve">misreported as unreachable; a task declared blocked in prose but scheduled anyway,</w:t>
      </w:r>
      <w:r>
        <w:t xml:space="preserve"> </w:t>
      </w:r>
      <w:r>
        <w:t xml:space="preserve">because the scheduler reads a machine-readable dependency field and cannot read an</w:t>
      </w:r>
      <w:r>
        <w:t xml:space="preserve"> </w:t>
      </w:r>
      <w:r>
        <w:t xml:space="preserve">English paragraph. The standing rule is to fail loudly rather than degrade quietly, and</w:t>
      </w:r>
      <w:r>
        <w:t xml:space="preserve"> </w:t>
      </w:r>
      <w:r>
        <w:t xml:space="preserve">blocking conditions are expressed in the field the tool actually reads.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mistakes that have actually hurt this project were never</w:t>
      </w:r>
      <w:r>
        <w:t xml:space="preserve"> </w:t>
      </w:r>
      <w:r>
        <w:t xml:space="preserve">wrong answers — they were</w:t>
      </w:r>
      <w:r>
        <w:t xml:space="preserve"> </w:t>
      </w:r>
      <w:r>
        <w:rPr>
          <w:b/>
          <w:bCs/>
        </w:rPr>
        <w:t xml:space="preserve">things quietly disappearing</w:t>
      </w:r>
      <w:r>
        <w:t xml:space="preserve">. Work that fell off the schedule</w:t>
      </w:r>
      <w:r>
        <w:t xml:space="preserve"> </w:t>
      </w:r>
      <w:r>
        <w:t xml:space="preserve">without anyone noticing. Tasks blocked in a way nobody could see. One case where a human</w:t>
      </w:r>
      <w:r>
        <w:t xml:space="preserve"> </w:t>
      </w:r>
      <w:r>
        <w:t xml:space="preserve">wrote</w:t>
      </w:r>
      <w:r>
        <w:t xml:space="preserve"> </w:t>
      </w:r>
      <w:r>
        <w:t xml:space="preserve">“this is blocked”</w:t>
      </w:r>
      <w:r>
        <w:t xml:space="preserve"> </w:t>
      </w:r>
      <w:r>
        <w:t xml:space="preserve">in a sentence, but the scheduling tool only reads a structured</w:t>
      </w:r>
      <w:r>
        <w:t xml:space="preserve"> </w:t>
      </w:r>
      <w:r>
        <w:t xml:space="preserve">field and cheerfully scheduled it anyway. The lesson, now a standing rule: prefer a loud</w:t>
      </w:r>
      <w:r>
        <w:t xml:space="preserve"> </w:t>
      </w:r>
      <w:r>
        <w:t xml:space="preserve">crash to a quiet degradation, and put warnings in the place the machine actually looks —</w:t>
      </w:r>
      <w:r>
        <w:t xml:space="preserve"> </w:t>
      </w:r>
      <w:r>
        <w:t xml:space="preserve">not in prose it can’t read.</w:t>
      </w:r>
    </w:p>
    <w:bookmarkEnd w:id="32"/>
    <w:bookmarkStart w:id="33" w:name="validation-suite"/>
    <w:p>
      <w:pPr>
        <w:pStyle w:val="Heading3"/>
      </w:pPr>
      <w:r>
        <w:t xml:space="preserve">Validation suite</w:t>
      </w:r>
    </w:p>
    <w:p>
      <w:pPr>
        <w:pStyle w:val="FirstParagraph"/>
      </w:pPr>
      <w:r>
        <w:t xml:space="preserve">Benchmarks, distinct from unit tests, validate physics against external or analytic</w:t>
      </w:r>
      <w:r>
        <w:t xml:space="preserve"> </w:t>
      </w:r>
      <w:r>
        <w:t xml:space="preserve">references (Extended Data Table 1). A benchmark that has not run since the code it</w:t>
      </w:r>
      <w:r>
        <w:t xml:space="preserve"> </w:t>
      </w:r>
      <w:r>
        <w:t xml:space="preserve">validates last changed is treated as</w:t>
      </w:r>
      <w:r>
        <w:t xml:space="preserve"> </w:t>
      </w:r>
      <w:r>
        <w:rPr>
          <w:b/>
          <w:bCs/>
        </w:rPr>
        <w:t xml:space="preserve">stale, not passing</w:t>
      </w:r>
      <w:r>
        <w:t xml:space="preserve">. Where a specified external</w:t>
      </w:r>
      <w:r>
        <w:t xml:space="preserve"> </w:t>
      </w:r>
      <w:r>
        <w:t xml:space="preserve">reference was unavailable — an array-synthesis package that could not be installed in the</w:t>
      </w:r>
      <w:r>
        <w:t xml:space="preserve"> </w:t>
      </w:r>
      <w:r>
        <w:t xml:space="preserve">offline build environment — the substitution to a closed-form analytic reference is</w:t>
      </w:r>
      <w:r>
        <w:t xml:space="preserve"> </w:t>
      </w:r>
      <w:r>
        <w:rPr>
          <w:b/>
          <w:bCs/>
        </w:rPr>
        <w:t xml:space="preserve">recorded in the index as a flagged substitution</w:t>
      </w:r>
      <w:r>
        <w:t xml:space="preserve"> </w:t>
      </w:r>
      <w:r>
        <w:t xml:space="preserve">rather than made silently, per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“make absence loud”</w:t>
      </w:r>
      <w:r>
        <w:t xml:space="preserve"> </w:t>
      </w:r>
      <w:r>
        <w:t xml:space="preserve">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separate two kinds of checking: does the code do what we</w:t>
      </w:r>
      <w:r>
        <w:t xml:space="preserve"> </w:t>
      </w:r>
      <w:r>
        <w:t xml:space="preserve">intended, and does the physics match reality? A validation that hasn’t been re-run since</w:t>
      </w:r>
      <w:r>
        <w:t xml:space="preserve"> </w:t>
      </w:r>
      <w:r>
        <w:t xml:space="preserve">the code changed is treated as</w:t>
      </w:r>
      <w:r>
        <w:t xml:space="preserve"> </w:t>
      </w:r>
      <w:r>
        <w:rPr>
          <w:b/>
          <w:bCs/>
        </w:rPr>
        <w:t xml:space="preserve">expired, not passing</w:t>
      </w:r>
      <w:r>
        <w:t xml:space="preserve"> </w:t>
      </w:r>
      <w:r>
        <w:t xml:space="preserve">— the same way you’d treat food.</w:t>
      </w:r>
      <w:r>
        <w:t xml:space="preserve"> </w:t>
      </w:r>
      <w:r>
        <w:t xml:space="preserve">And when we couldn’t obtain a comparison tool we’d planned to check against, we substituted</w:t>
      </w:r>
      <w:r>
        <w:t xml:space="preserve"> </w:t>
      </w:r>
      <w:r>
        <w:t xml:space="preserve">a different reference and</w:t>
      </w:r>
      <w:r>
        <w:t xml:space="preserve"> </w:t>
      </w:r>
      <w:r>
        <w:rPr>
          <w:i/>
          <w:iCs/>
        </w:rPr>
        <w:t xml:space="preserve">wrote that down prominently</w:t>
      </w:r>
      <w:r>
        <w:t xml:space="preserve">, rather than swapping it in quietly</w:t>
      </w:r>
      <w:r>
        <w:t xml:space="preserve"> </w:t>
      </w:r>
      <w:r>
        <w:t xml:space="preserve">and letting the paper imply a comparison we never made.</w:t>
      </w:r>
    </w:p>
    <w:p>
      <w:pPr>
        <w:pStyle w:val="BodyText"/>
      </w:pPr>
      <w:r>
        <w:t xml:space="preserve">Two cross-validations are worth naming because they were predicted before the code</w:t>
      </w:r>
      <w:r>
        <w:t xml:space="preserve"> </w:t>
      </w:r>
      <w:r>
        <w:t xml:space="preserve">existed. Linear memory computed from the Braginsky–Thorne/Favata formula</w:t>
      </w:r>
      <w:r>
        <w:t xml:space="preserve">12</w:t>
      </w:r>
      <w:r>
        <w:t xml:space="preserve"> </w:t>
      </w:r>
      <w:r>
        <w:t xml:space="preserve">reproduces the settled post-maneuver value of the independent quadrupole route</w:t>
      </w:r>
      <w:r>
        <w:t xml:space="preserve"> </w:t>
      </w:r>
      <w:r>
        <w:rPr>
          <w:b/>
          <w:bCs/>
        </w:rPr>
        <w:t xml:space="preserve">bit-for-bit on-axis</w:t>
      </w:r>
      <w:r>
        <w:t xml:space="preserve"> </w:t>
      </w:r>
      <w:r>
        <w:t xml:space="preserve">(difference exactly 0.0), and to 1 ULP for oblique observation</w:t>
      </w:r>
      <w:r>
        <w:t xml:space="preserve"> </w:t>
      </w:r>
      <w:r>
        <w:t xml:space="preserve">directions — the discrepancy being arithmetic, not physical, since the quadrupole route</w:t>
      </w:r>
      <w:r>
        <w:t xml:space="preserve"> </w:t>
      </w:r>
      <w:r>
        <w:t xml:space="preserve">forms and then subtracts a trace term that the projection removes analytically but whose</w:t>
      </w:r>
      <w:r>
        <w:t xml:space="preserve"> </w:t>
      </w:r>
      <w:r>
        <w:t xml:space="preserve">rounding does not vanish. Asserting bit-equality off-axis would be asserting a property of</w:t>
      </w:r>
      <w:r>
        <w:t xml:space="preserve"> </w:t>
      </w:r>
      <w:r>
        <w:t xml:space="preserve">float64 operation ordering, so the benchmark asserts exactness on-axis and 4 ULP off it.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most satisfying check in the project. A passing</w:t>
      </w:r>
      <w:r>
        <w:t xml:space="preserve"> </w:t>
      </w:r>
      <w:r>
        <w:t xml:space="preserve">gravitational wave leaves a permanent trace — space doesn’t quite return to how it started.</w:t>
      </w:r>
      <w:r>
        <w:t xml:space="preserve"> </w:t>
      </w:r>
      <w:r>
        <w:t xml:space="preserve">That can be computed two completely different ways, and we wrote down,</w:t>
      </w:r>
      <w:r>
        <w:t xml:space="preserve"> </w:t>
      </w:r>
      <w:r>
        <w:rPr>
          <w:i/>
          <w:iCs/>
        </w:rPr>
        <w:t xml:space="preserve">before either was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</w:t>
      </w:r>
      <w:r>
        <w:t xml:space="preserve">, that the two must agree. They do: in the head-on case,</w:t>
      </w:r>
      <w:r>
        <w:t xml:space="preserve"> </w:t>
      </w:r>
      <w:r>
        <w:rPr>
          <w:b/>
          <w:bCs/>
        </w:rPr>
        <w:t xml:space="preserve">not approximately</w:t>
      </w:r>
      <w:r>
        <w:rPr>
          <w:b/>
          <w:bCs/>
        </w:rPr>
        <w:t xml:space="preserve"> </w:t>
      </w:r>
      <w:r>
        <w:rPr>
          <w:b/>
          <w:bCs/>
        </w:rPr>
        <w:t xml:space="preserve">but to the very last binary digit.</w:t>
      </w:r>
      <w:r>
        <w:t xml:space="preserve"> </w:t>
      </w:r>
      <w:r>
        <w:t xml:space="preserve">Off to one side they differ in the final digit, and we</w:t>
      </w:r>
      <w:r>
        <w:t xml:space="preserve"> </w:t>
      </w:r>
      <w:r>
        <w:t xml:space="preserve">tracked down exactly why — an unavoidable rounding artefact of doing the arithmetic in a</w:t>
      </w:r>
      <w:r>
        <w:t xml:space="preserve"> </w:t>
      </w:r>
      <w:r>
        <w:t xml:space="preserve">different order, not a physics disagreement. So we require perfection head-on and allow a</w:t>
      </w:r>
      <w:r>
        <w:t xml:space="preserve"> </w:t>
      </w:r>
      <w:r>
        <w:t xml:space="preserve">few digits’ slack elsewhere, rather than pretending either result is more exact than it is.</w:t>
      </w:r>
    </w:p>
    <w:bookmarkEnd w:id="33"/>
    <w:bookmarkStart w:id="34" w:name="the-epistemic-firewall"/>
    <w:p>
      <w:pPr>
        <w:pStyle w:val="Heading3"/>
      </w:pPr>
      <w:r>
        <w:t xml:space="preserve">The epistemic firewall</w:t>
      </w:r>
    </w:p>
    <w:p>
      <w:pPr>
        <w:pStyle w:val="FirstParagraph"/>
      </w:pPr>
      <w:r>
        <w:t xml:space="preserve">Codified as a rule with a mechanical consequence: a source tracing to the HFGW patent</w:t>
      </w:r>
      <w:r>
        <w:t xml:space="preserve"> </w:t>
      </w:r>
      <w:r>
        <w:t xml:space="preserve">literature or its associated web presences halts the review process and is never cited as</w:t>
      </w:r>
      <w:r>
        <w:t xml:space="preserve"> </w:t>
      </w:r>
      <w:r>
        <w:t xml:space="preserve">authority. The JASON review</w:t>
      </w:r>
      <w:r>
        <w:t xml:space="preserve">2</w:t>
      </w:r>
      <w:r>
        <w:t xml:space="preserve"> </w:t>
      </w:r>
      <w:r>
        <w:t xml:space="preserve">is cited as the finding of record. Grishchuk and</w:t>
      </w:r>
      <w:r>
        <w:t xml:space="preserve"> </w:t>
      </w:r>
      <w:r>
        <w:t xml:space="preserve">Sazhin</w:t>
      </w:r>
      <w:r>
        <w:t xml:space="preserve">3</w:t>
      </w:r>
      <w:r>
        <w:t xml:space="preserve"> </w:t>
      </w:r>
      <w:r>
        <w:t xml:space="preserve">is the credible prior art on deliberately engineered gravitational</w:t>
      </w:r>
      <w:r>
        <w:t xml:space="preserve"> </w:t>
      </w:r>
      <w:r>
        <w:t xml:space="preserve">radiation.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hard rule with teeth: if any source we’re about to rely on</w:t>
      </w:r>
      <w:r>
        <w:t xml:space="preserve"> </w:t>
      </w:r>
      <w:r>
        <w:t xml:space="preserve">traces back to the discredited body of work, everything stops. Not</w:t>
      </w:r>
      <w:r>
        <w:t xml:space="preserve"> </w:t>
      </w:r>
      <w:r>
        <w:t xml:space="preserve">“proceed with caution”</w:t>
      </w:r>
      <w:r>
        <w:t xml:space="preserve"> </w:t>
      </w:r>
      <w:r>
        <w:t xml:space="preserve">—</w:t>
      </w:r>
      <w:r>
        <w:t xml:space="preserve"> </w:t>
      </w:r>
      <w:r>
        <w:t xml:space="preserve">stop. We cite the official government review as the record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that work is</w:t>
      </w:r>
      <w:r>
        <w:t xml:space="preserve"> </w:t>
      </w:r>
      <w:r>
        <w:t xml:space="preserve">discredited, and we point to the one genuinely credible 1974 paper as the honest starting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numerical results in this manuscript are produced by the committed test and benchmark</w:t>
      </w:r>
      <w:r>
        <w:t xml:space="preserve"> </w:t>
      </w:r>
      <w:r>
        <w:t xml:space="preserve">suite and are reproducible from the repository at the tagged submission commit. Source</w:t>
      </w:r>
      <w:r>
        <w:t xml:space="preserve"> </w:t>
      </w:r>
      <w:r>
        <w:t xml:space="preserve">Data for each figure will be deposited as machine-readable run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ledger.RunManifest</w:t>
      </w:r>
      <w:r>
        <w:t xml:space="preserve">), each recording the configuration, the code version and the</w:t>
      </w:r>
      <w:r>
        <w:t xml:space="preserve"> </w:t>
      </w:r>
      <w:r>
        <w:t xml:space="preserve">provenance of every emitted metric.</w:t>
      </w:r>
      <w:r>
        <w:t xml:space="preserve"> </w:t>
      </w:r>
      <w:r>
        <w:rPr>
          <w:b/>
          <w:bCs/>
        </w:rPr>
        <w:t xml:space="preserve">Deposit DOI: to be minted at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number in the paper can be regenerated by anyone who</w:t>
      </w:r>
      <w:r>
        <w:t xml:space="preserve"> </w:t>
      </w:r>
      <w:r>
        <w:t xml:space="preserve">downloads the code. Each figure will ship with a machine-readable record of the exact</w:t>
      </w:r>
      <w:r>
        <w:t xml:space="preserve"> </w:t>
      </w:r>
      <w:r>
        <w:t xml:space="preserve">settings and the exact version of the code that produced it, so a sceptic can rebuild the</w:t>
      </w:r>
      <w:r>
        <w:t xml:space="preserve"> </w:t>
      </w:r>
      <w:r>
        <w:t xml:space="preserve">result rather than take our word for it.</w:t>
      </w:r>
    </w:p>
    <w:bookmarkEnd w:id="36"/>
    <w:bookmarkStart w:id="37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released under Apache-2.0. The explicit patent grant is deliberate: the project</w:t>
      </w:r>
      <w:r>
        <w:t xml:space="preserve"> </w:t>
      </w:r>
      <w:r>
        <w:t xml:space="preserve">invites outside groups to develop hardware against the framework, and that clause protects</w:t>
      </w:r>
      <w:r>
        <w:t xml:space="preserve"> </w:t>
      </w:r>
      <w:r>
        <w:t xml:space="preserve">both them and downstream users. Repository:</w:t>
      </w:r>
      <w:r>
        <w:t xml:space="preserve"> </w:t>
      </w:r>
      <w:r>
        <w:rPr>
          <w:rStyle w:val="VerbatimChar"/>
        </w:rPr>
        <w:t xml:space="preserve">https://github.com/sudo-install-gravity/tractor-beam-cathedral</w:t>
      </w:r>
      <w:r>
        <w:t xml:space="preserve">.</w:t>
      </w:r>
      <w:r>
        <w:t xml:space="preserve"> </w:t>
      </w:r>
      <w:r>
        <w:rPr>
          <w:b/>
          <w:bCs/>
        </w:rPr>
        <w:t xml:space="preserve">The repository must be</w:t>
      </w:r>
      <w:r>
        <w:rPr>
          <w:b/>
          <w:bCs/>
        </w:rPr>
        <w:t xml:space="preserve"> </w:t>
      </w:r>
      <w:r>
        <w:rPr>
          <w:b/>
          <w:bCs/>
        </w:rPr>
        <w:t xml:space="preserve">public before submission</w:t>
      </w:r>
      <w:r>
        <w:t xml:space="preserve"> </w:t>
      </w:r>
      <w:r>
        <w:t xml:space="preserve">— this is a tracked, currently-open blocker.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code is free and open for anyone to use, including</w:t>
      </w:r>
      <w:r>
        <w:t xml:space="preserve"> </w:t>
      </w:r>
      <w:r>
        <w:t xml:space="preserve">commercially. We chose a licence that explicitly grants patent rights, because we’re</w:t>
      </w:r>
      <w:r>
        <w:t xml:space="preserve"> </w:t>
      </w:r>
      <w:r>
        <w:t xml:space="preserve">inviting other people to try building hardware against this framework and we don’t want</w:t>
      </w:r>
      <w:r>
        <w:t xml:space="preserve"> </w:t>
      </w:r>
      <w:r>
        <w:t xml:space="preserve">them exposed to a patent trap later. One catch: the repository isn’t public yet, and it</w:t>
      </w:r>
      <w:r>
        <w:t xml:space="preserve"> </w:t>
      </w:r>
      <w:r>
        <w:t xml:space="preserve">must be before this paper can be submitted.</w:t>
      </w:r>
    </w:p>
    <w:p>
      <w:r>
        <w:pict>
          <v:rect style="width:0;height:1.5pt" o:hralign="center" o:hrstd="t" o:hr="t"/>
        </w:pict>
      </w:r>
    </w:p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(Nature style, numbered by first appearance. Placeholders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[complete]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</w:t>
      </w:r>
      <w:r>
        <w:rPr>
          <w:i/>
          <w:iCs/>
        </w:rPr>
        <w:t xml:space="preserve"> </w:t>
      </w:r>
      <w:r>
        <w:rPr>
          <w:i/>
          <w:iCs/>
        </w:rPr>
        <w:t xml:space="preserve">volume/page verification against the published record.)</w:t>
      </w:r>
    </w:p>
    <w:p>
      <w:pPr>
        <w:pStyle w:val="Compact"/>
        <w:numPr>
          <w:ilvl w:val="0"/>
          <w:numId w:val="1004"/>
        </w:numPr>
      </w:pPr>
      <w:r>
        <w:t xml:space="preserve">Abbott, B.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Observation of gravitational waves from a binary black hole</w:t>
      </w:r>
      <w:r>
        <w:t xml:space="preserve"> </w:t>
      </w:r>
      <w:r>
        <w:t xml:space="preserve">merger.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061102 (2016).</w:t>
      </w:r>
    </w:p>
    <w:p>
      <w:pPr>
        <w:pStyle w:val="Compact"/>
        <w:numPr>
          <w:ilvl w:val="0"/>
          <w:numId w:val="1004"/>
        </w:numPr>
      </w:pPr>
      <w:r>
        <w:t xml:space="preserve">Eardley,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i/>
          <w:iCs/>
        </w:rPr>
        <w:t xml:space="preserve">High Frequency Gravitational Waves</w:t>
      </w:r>
      <w:r>
        <w:t xml:space="preserve">. JSR-08-506 (JASON, MITRE</w:t>
      </w:r>
      <w:r>
        <w:t xml:space="preserve"> </w:t>
      </w:r>
      <w:r>
        <w:t xml:space="preserve">Corporation, 2008).</w:t>
      </w:r>
    </w:p>
    <w:p>
      <w:pPr>
        <w:pStyle w:val="Compact"/>
        <w:numPr>
          <w:ilvl w:val="0"/>
          <w:numId w:val="1004"/>
        </w:numPr>
      </w:pPr>
      <w:r>
        <w:t xml:space="preserve">Grishchuk, L. P. &amp; Sazhin, M. V. Emission of gravitational waves by an electromagnetic</w:t>
      </w:r>
      <w:r>
        <w:t xml:space="preserve"> </w:t>
      </w:r>
      <w:r>
        <w:t xml:space="preserve">cavity.</w:t>
      </w:r>
      <w:r>
        <w:t xml:space="preserve"> </w:t>
      </w:r>
      <w:r>
        <w:rPr>
          <w:i/>
          <w:iCs/>
        </w:rPr>
        <w:t xml:space="preserve">Sov. Phys. JETP</w:t>
      </w:r>
      <w:r>
        <w:t xml:space="preserve"> </w:t>
      </w:r>
      <w:r>
        <w:rPr>
          <w:b/>
          <w:bCs/>
        </w:rPr>
        <w:t xml:space="preserve">38</w:t>
      </w:r>
      <w:r>
        <w:t xml:space="preserve">, 215–221 (1974).</w:t>
      </w:r>
    </w:p>
    <w:p>
      <w:pPr>
        <w:pStyle w:val="Compact"/>
        <w:numPr>
          <w:ilvl w:val="0"/>
          <w:numId w:val="1004"/>
        </w:numPr>
      </w:pPr>
      <w:r>
        <w:t xml:space="preserve">Blanchet, L. Gravitational radiation from post-Newtonian sources and inspiralling</w:t>
      </w:r>
      <w:r>
        <w:t xml:space="preserve"> </w:t>
      </w:r>
      <w:r>
        <w:t xml:space="preserve">compact binaries.</w:t>
      </w:r>
      <w:r>
        <w:t xml:space="preserve"> </w:t>
      </w:r>
      <w:r>
        <w:rPr>
          <w:i/>
          <w:iCs/>
        </w:rPr>
        <w:t xml:space="preserve">Living Rev. Relativ.</w:t>
      </w:r>
      <w:r>
        <w:t xml:space="preserve"> </w:t>
      </w:r>
      <w:r>
        <w:rPr>
          <w:b/>
          <w:bCs/>
        </w:rPr>
        <w:t xml:space="preserve">17</w:t>
      </w:r>
      <w:r>
        <w:t xml:space="preserve">, 2 (2014). arXiv:1310.1528.</w:t>
      </w:r>
    </w:p>
    <w:p>
      <w:pPr>
        <w:pStyle w:val="Compact"/>
        <w:numPr>
          <w:ilvl w:val="0"/>
          <w:numId w:val="1004"/>
        </w:numPr>
      </w:pPr>
      <w:r>
        <w:t xml:space="preserve">Flanagan, É. É. &amp; Hughes, S. A. The basics of gravitational wave theory.</w:t>
      </w:r>
      <w:r>
        <w:t xml:space="preserve"> </w:t>
      </w:r>
      <w:r>
        <w:rPr>
          <w:i/>
          <w:iCs/>
        </w:rPr>
        <w:t xml:space="preserve">New J. Phys.</w:t>
      </w:r>
      <w:r>
        <w:t xml:space="preserve"> </w:t>
      </w:r>
      <w:r>
        <w:rPr>
          <w:b/>
          <w:bCs/>
        </w:rPr>
        <w:t xml:space="preserve">7</w:t>
      </w:r>
      <w:r>
        <w:t xml:space="preserve">, 204 (2005). arXiv:gr-qc/0501041.</w:t>
      </w:r>
    </w:p>
    <w:p>
      <w:pPr>
        <w:pStyle w:val="Compact"/>
        <w:numPr>
          <w:ilvl w:val="0"/>
          <w:numId w:val="1004"/>
        </w:numPr>
      </w:pPr>
      <w:r>
        <w:t xml:space="preserve">Kowalska, I., Bulik, T., Belczyński, K., Dominik, M. &amp; Gondek-Rósińska, D. The eccentricity</w:t>
      </w:r>
      <w:r>
        <w:t xml:space="preserve"> </w:t>
      </w:r>
      <w:r>
        <w:t xml:space="preserve">distribution of compact binaries.</w:t>
      </w:r>
      <w:r>
        <w:t xml:space="preserve"> </w:t>
      </w:r>
      <w:r>
        <w:rPr>
          <w:i/>
          <w:iCs/>
        </w:rPr>
        <w:t xml:space="preserve">Astron. Astrophys.</w:t>
      </w:r>
      <w:r>
        <w:t xml:space="preserve"> </w:t>
      </w:r>
      <w:r>
        <w:rPr>
          <w:b/>
          <w:bCs/>
        </w:rPr>
        <w:t xml:space="preserve">527</w:t>
      </w:r>
      <w:r>
        <w:t xml:space="preserve">, A70 (2011).</w:t>
      </w:r>
      <w:r>
        <w:t xml:space="preserve"> </w:t>
      </w:r>
      <w:r>
        <w:t xml:space="preserve">arXiv:1010.0511.</w:t>
      </w:r>
    </w:p>
    <w:p>
      <w:pPr>
        <w:pStyle w:val="Compact"/>
        <w:numPr>
          <w:ilvl w:val="0"/>
          <w:numId w:val="1004"/>
        </w:numPr>
      </w:pPr>
      <w:r>
        <w:t xml:space="preserve">Weisberg, J. M. &amp; Huang, Y. Relativistic measurements from timing the binary pulsar</w:t>
      </w:r>
      <w:r>
        <w:t xml:space="preserve"> </w:t>
      </w:r>
      <w:r>
        <w:t xml:space="preserve">PSR B1913+16.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829</w:t>
      </w:r>
      <w:r>
        <w:t xml:space="preserve">, 55 (2016). arXiv:1606.04581.</w:t>
      </w:r>
    </w:p>
    <w:p>
      <w:pPr>
        <w:pStyle w:val="Compact"/>
        <w:numPr>
          <w:ilvl w:val="0"/>
          <w:numId w:val="1004"/>
        </w:numPr>
      </w:pPr>
      <w:r>
        <w:t xml:space="preserve">Daly, R.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Successful kinetic impact into an asteroid for planetary defence.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616</w:t>
      </w:r>
      <w:r>
        <w:t xml:space="preserve">, 443–447 (2023).</w:t>
      </w:r>
      <w:r>
        <w:t xml:space="preserve"> </w:t>
      </w:r>
      <w:r>
        <w:rPr>
          <w:rStyle w:val="VerbatimChar"/>
        </w:rPr>
        <w:t xml:space="preserve">[complete]</w:t>
      </w:r>
    </w:p>
    <w:p>
      <w:pPr>
        <w:pStyle w:val="Compact"/>
        <w:numPr>
          <w:ilvl w:val="0"/>
          <w:numId w:val="1004"/>
        </w:numPr>
      </w:pPr>
      <w:r>
        <w:t xml:space="preserve">Lu, E. T. &amp; Love, S. G. Gravitational tractor for towing asteroids.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438</w:t>
      </w:r>
      <w:r>
        <w:t xml:space="preserve">,</w:t>
      </w:r>
      <w:r>
        <w:t xml:space="preserve"> </w:t>
      </w:r>
      <w:r>
        <w:t xml:space="preserve">177–178 (2005).</w:t>
      </w:r>
    </w:p>
    <w:p>
      <w:pPr>
        <w:pStyle w:val="Compact"/>
        <w:numPr>
          <w:ilvl w:val="0"/>
          <w:numId w:val="1004"/>
        </w:numPr>
      </w:pPr>
      <w:r>
        <w:t xml:space="preserve">Schweickart, R., Chapman, C., Durda, D. &amp; Hut, P.</w:t>
      </w:r>
      <w:r>
        <w:t xml:space="preserve"> </w:t>
      </w:r>
      <w:r>
        <w:rPr>
          <w:i/>
          <w:iCs/>
        </w:rPr>
        <w:t xml:space="preserve">Threat Mitigation: The Gravity</w:t>
      </w:r>
      <w:r>
        <w:rPr>
          <w:i/>
          <w:iCs/>
        </w:rPr>
        <w:t xml:space="preserve"> </w:t>
      </w:r>
      <w:r>
        <w:rPr>
          <w:i/>
          <w:iCs/>
        </w:rPr>
        <w:t xml:space="preserve">Tractor</w:t>
      </w:r>
      <w:r>
        <w:t xml:space="preserve">. B612 Foundation White Paper 042 (2006). arXiv:physics/0608157.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NIST Digital Library of Mathematical Functions</w:t>
      </w:r>
      <w:r>
        <w:t xml:space="preserve">, §10.53. https://dlmf.nist.gov/10.53</w:t>
      </w:r>
    </w:p>
    <w:p>
      <w:pPr>
        <w:pStyle w:val="Compact"/>
        <w:numPr>
          <w:ilvl w:val="0"/>
          <w:numId w:val="1004"/>
        </w:numPr>
      </w:pPr>
      <w:r>
        <w:t xml:space="preserve">Favata, M. The gravitational-wave memory effect.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27</w:t>
      </w:r>
      <w:r>
        <w:t xml:space="preserve">, 084036</w:t>
      </w:r>
      <w:r>
        <w:t xml:space="preserve"> </w:t>
      </w:r>
      <w:r>
        <w:t xml:space="preserve">(2010). arXiv:1003.3486.</w:t>
      </w:r>
    </w:p>
    <w:p>
      <w:pPr>
        <w:pStyle w:val="Compact"/>
        <w:numPr>
          <w:ilvl w:val="0"/>
          <w:numId w:val="1004"/>
        </w:numPr>
      </w:pPr>
      <w:r>
        <w:t xml:space="preserve">Hinderer, T. Tidal Love numbers of neutron stars.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677</w:t>
      </w:r>
      <w:r>
        <w:t xml:space="preserve">, 1216 (2008).</w:t>
      </w:r>
      <w:r>
        <w:t xml:space="preserve"> </w:t>
      </w:r>
      <w:r>
        <w:t xml:space="preserve">arXiv:0711.2420.</w:t>
      </w:r>
    </w:p>
    <w:p>
      <w:pPr>
        <w:pStyle w:val="Compact"/>
        <w:numPr>
          <w:ilvl w:val="0"/>
          <w:numId w:val="1004"/>
        </w:numPr>
      </w:pPr>
      <w:r>
        <w:t xml:space="preserve">Cheng, W. H., Lee, M. H. &amp; Peale, S. J. Complete tidal evolution of Pluto–Charon.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233</w:t>
      </w:r>
      <w:r>
        <w:t xml:space="preserve">, 242–258 (2014). arXiv:1402.0625.</w:t>
      </w:r>
    </w:p>
    <w:p>
      <w:pPr>
        <w:pStyle w:val="Compact"/>
        <w:numPr>
          <w:ilvl w:val="0"/>
          <w:numId w:val="1004"/>
        </w:numPr>
      </w:pPr>
      <w:r>
        <w:t xml:space="preserve">Thorne, K. S. Multipole expansions of gravitational radiation.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52</w:t>
      </w:r>
      <w:r>
        <w:t xml:space="preserve">,</w:t>
      </w:r>
      <w:r>
        <w:t xml:space="preserve"> </w:t>
      </w:r>
      <w:r>
        <w:t xml:space="preserve">299–339 (1980).</w:t>
      </w:r>
      <w:r>
        <w:t xml:space="preserve"> </w:t>
      </w:r>
      <w:r>
        <w:rPr>
          <w:i/>
          <w:iCs/>
        </w:rPr>
        <w:t xml:space="preserve">(Cited without an equation number: the source is paywalled and its</w:t>
      </w:r>
      <w:r>
        <w:rPr>
          <w:i/>
          <w:iCs/>
        </w:rPr>
        <w:t xml:space="preserve"> </w:t>
      </w:r>
      <w:r>
        <w:rPr>
          <w:i/>
          <w:iCs/>
        </w:rPr>
        <w:t xml:space="preserve">numbering could not be confirmed. Per this project’s citation rule a guessed equation</w:t>
      </w:r>
      <w:r>
        <w:rPr>
          <w:i/>
          <w:iCs/>
        </w:rPr>
        <w:t xml:space="preserve"> </w:t>
      </w:r>
      <w:r>
        <w:rPr>
          <w:i/>
          <w:iCs/>
        </w:rPr>
        <w:t xml:space="preserve">number is worse than none.)</w:t>
      </w:r>
    </w:p>
    <w:p>
      <w:pPr>
        <w:pStyle w:val="Compact"/>
        <w:numPr>
          <w:ilvl w:val="0"/>
          <w:numId w:val="1004"/>
        </w:numPr>
      </w:pPr>
      <w:r>
        <w:t xml:space="preserve">Orfanidis, S. J.</w:t>
      </w:r>
      <w:r>
        <w:t xml:space="preserve"> </w:t>
      </w:r>
      <w:r>
        <w:rPr>
          <w:i/>
          <w:iCs/>
        </w:rPr>
        <w:t xml:space="preserve">Electromagnetic Waves and Antennas</w:t>
      </w:r>
      <w:r>
        <w:t xml:space="preserve"> </w:t>
      </w:r>
      <w:r>
        <w:t xml:space="preserve">ch. 19 (Rutgers Univ., open</w:t>
      </w:r>
      <w:r>
        <w:t xml:space="preserve"> </w:t>
      </w:r>
      <w:r>
        <w:t xml:space="preserve">access).</w:t>
      </w:r>
      <w:r>
        <w:t xml:space="preserve"> </w:t>
      </w:r>
      <w:r>
        <w:rPr>
          <w:i/>
          <w:iCs/>
        </w:rPr>
        <w:t xml:space="preserve">(Spin-1 reference by construction; cited only for the scalar baseline.)</w:t>
      </w:r>
    </w:p>
    <w:p>
      <w:pPr>
        <w:pStyle w:val="Compact"/>
        <w:numPr>
          <w:ilvl w:val="0"/>
          <w:numId w:val="1004"/>
        </w:numPr>
      </w:pPr>
      <w:r>
        <w:t xml:space="preserve">Misner, C. W., Thorne, K. S. &amp; Wheeler, J. A.</w:t>
      </w:r>
      <w:r>
        <w:t xml:space="preserve"> </w:t>
      </w:r>
      <w:r>
        <w:rPr>
          <w:i/>
          <w:iCs/>
        </w:rPr>
        <w:t xml:space="preserve">Gravitation</w:t>
      </w:r>
      <w:r>
        <w:t xml:space="preserve"> </w:t>
      </w:r>
      <w:r>
        <w:t xml:space="preserve">(Freeman, 1973).</w:t>
      </w:r>
    </w:p>
    <w:p>
      <w:pPr>
        <w:pStyle w:val="Compact"/>
        <w:numPr>
          <w:ilvl w:val="0"/>
          <w:numId w:val="1004"/>
        </w:numPr>
      </w:pPr>
      <w:r>
        <w:t xml:space="preserve">Born, M. &amp; Wolf, E.</w:t>
      </w:r>
      <w:r>
        <w:t xml:space="preserve"> </w:t>
      </w:r>
      <w:r>
        <w:rPr>
          <w:i/>
          <w:iCs/>
        </w:rPr>
        <w:t xml:space="preserve">Principles of Optics</w:t>
      </w:r>
      <w:r>
        <w:t xml:space="preserve"> </w:t>
      </w:r>
      <w:r>
        <w:t xml:space="preserve">§8.5.2 (Cambridge Univ. Press, 1999).</w:t>
      </w:r>
    </w:p>
    <w:p>
      <w:pPr>
        <w:pStyle w:val="Compact"/>
        <w:numPr>
          <w:ilvl w:val="0"/>
          <w:numId w:val="1004"/>
        </w:numPr>
      </w:pPr>
      <w:r>
        <w:t xml:space="preserve">Zel’dovich, Ya. B. &amp; Polnarev, A. G. Radiation of gravitational waves by a cluster of</w:t>
      </w:r>
      <w:r>
        <w:t xml:space="preserve"> </w:t>
      </w:r>
      <w:r>
        <w:t xml:space="preserve">superdense stars.</w:t>
      </w:r>
      <w:r>
        <w:t xml:space="preserve"> </w:t>
      </w:r>
      <w:r>
        <w:rPr>
          <w:i/>
          <w:iCs/>
        </w:rPr>
        <w:t xml:space="preserve">Sov. Astron.</w:t>
      </w:r>
      <w:r>
        <w:t xml:space="preserve"> </w:t>
      </w:r>
      <w:r>
        <w:rPr>
          <w:b/>
          <w:bCs/>
        </w:rPr>
        <w:t xml:space="preserve">18</w:t>
      </w:r>
      <w:r>
        <w:t xml:space="preserve">, 17 (1974).</w:t>
      </w:r>
    </w:p>
    <w:p>
      <w:pPr>
        <w:pStyle w:val="Compact"/>
        <w:numPr>
          <w:ilvl w:val="0"/>
          <w:numId w:val="1004"/>
        </w:numPr>
      </w:pPr>
      <w:r>
        <w:t xml:space="preserve">Braginsky, V. B. &amp; Thorne, K. S. Gravitational-wave bursts with memory and experimental</w:t>
      </w:r>
      <w:r>
        <w:t xml:space="preserve"> </w:t>
      </w:r>
      <w:r>
        <w:t xml:space="preserve">prospects.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327</w:t>
      </w:r>
      <w:r>
        <w:t xml:space="preserve">, 123–125 (1987).</w:t>
      </w:r>
      <w:r>
        <w:t xml:space="preserve"> </w:t>
      </w:r>
      <w:r>
        <w:rPr>
          <w:i/>
          <w:iCs/>
        </w:rPr>
        <w:t xml:space="preserve">(Historical provenance only — a Letter</w:t>
      </w:r>
      <w:r>
        <w:rPr>
          <w:i/>
          <w:iCs/>
        </w:rPr>
        <w:t xml:space="preserve"> </w:t>
      </w:r>
      <w:r>
        <w:rPr>
          <w:i/>
          <w:iCs/>
        </w:rPr>
        <w:t xml:space="preserve">with no numbered equations; ref. 12 is cited for the implemented form.)</w:t>
      </w:r>
    </w:p>
    <w:p>
      <w:pPr>
        <w:pStyle w:val="Compact"/>
        <w:numPr>
          <w:ilvl w:val="0"/>
          <w:numId w:val="1004"/>
        </w:numPr>
      </w:pPr>
      <w:r>
        <w:t xml:space="preserve">Dolph, C. L. A current distribution for broadside arrays.</w:t>
      </w:r>
      <w:r>
        <w:t xml:space="preserve"> </w:t>
      </w:r>
      <w:r>
        <w:rPr>
          <w:i/>
          <w:iCs/>
        </w:rPr>
        <w:t xml:space="preserve">Proc. IRE</w:t>
      </w:r>
      <w:r>
        <w:t xml:space="preserve"> </w:t>
      </w:r>
      <w:r>
        <w:rPr>
          <w:b/>
          <w:bCs/>
        </w:rPr>
        <w:t xml:space="preserve">34</w:t>
      </w:r>
      <w:r>
        <w:t xml:space="preserve">, 335–348</w:t>
      </w:r>
      <w:r>
        <w:t xml:space="preserve"> </w:t>
      </w:r>
      <w:r>
        <w:t xml:space="preserve">(1946).</w:t>
      </w:r>
      <w:r>
        <w:t xml:space="preserve"> </w:t>
      </w:r>
      <w:r>
        <w:rPr>
          <w:i/>
          <w:iCs/>
        </w:rPr>
        <w:t xml:space="preserve">(In-paper equation numbers unconfirmed; implemented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scipy.signal.windows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4"/>
        </w:numPr>
      </w:pPr>
      <w:r>
        <w:t xml:space="preserve">Taylor, T. T. Design of line-source antennas for narrow beamwidth and low side lobes.</w:t>
      </w:r>
      <w:r>
        <w:t xml:space="preserve"> </w:t>
      </w:r>
      <w:r>
        <w:rPr>
          <w:i/>
          <w:iCs/>
        </w:rPr>
        <w:t xml:space="preserve">IRE Trans. Antennas Propag.</w:t>
      </w:r>
      <w:r>
        <w:t xml:space="preserve"> </w:t>
      </w:r>
      <w:r>
        <w:rPr>
          <w:b/>
          <w:bCs/>
        </w:rPr>
        <w:t xml:space="preserve">3</w:t>
      </w:r>
      <w:r>
        <w:t xml:space="preserve">, 16–28 (1955).</w:t>
      </w:r>
      <w:r>
        <w:t xml:space="preserve"> </w:t>
      </w:r>
      <w:r>
        <w:rPr>
          <w:i/>
          <w:iCs/>
        </w:rPr>
        <w:t xml:space="preserve">(As ref. 21.)</w:t>
      </w:r>
    </w:p>
    <w:p>
      <w:pPr>
        <w:pStyle w:val="Compact"/>
        <w:numPr>
          <w:ilvl w:val="0"/>
          <w:numId w:val="1004"/>
        </w:numPr>
      </w:pPr>
      <w:r>
        <w:t xml:space="preserve">Fitzpatrick, R.</w:t>
      </w:r>
      <w:r>
        <w:t xml:space="preserve"> </w:t>
      </w:r>
      <w:r>
        <w:rPr>
          <w:i/>
          <w:iCs/>
        </w:rPr>
        <w:t xml:space="preserve">Newtonian Dynamics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Theoretical Fluid Mechanics</w:t>
      </w:r>
      <w:r>
        <w:t xml:space="preserve"> </w:t>
      </w:r>
      <w:r>
        <w:t xml:space="preserve">(Univ. Texas,</w:t>
      </w:r>
      <w:r>
        <w:t xml:space="preserve"> </w:t>
      </w:r>
      <w:r>
        <w:t xml:space="preserve">open-access lecture notes).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sources we rely on. Two entries are unusual and worth</w:t>
      </w:r>
      <w:r>
        <w:t xml:space="preserve"> </w:t>
      </w:r>
      <w:r>
        <w:t xml:space="preserve">noticing.</w:t>
      </w:r>
      <w:r>
        <w:t xml:space="preserve"> </w:t>
      </w:r>
      <w:r>
        <w:rPr>
          <w:b/>
          <w:bCs/>
        </w:rPr>
        <w:t xml:space="preserve">Ref. 15</w:t>
      </w:r>
      <w:r>
        <w:t xml:space="preserve"> </w:t>
      </w:r>
      <w:r>
        <w:t xml:space="preserve">is cited deliberately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number, because the paper</w:t>
      </w:r>
      <w:r>
        <w:t xml:space="preserve"> </w:t>
      </w:r>
      <w:r>
        <w:t xml:space="preserve">sits behind a paywall and we couldn’t confirm the numbering — and our own rule says a</w:t>
      </w:r>
      <w:r>
        <w:t xml:space="preserve"> </w:t>
      </w:r>
      <w:r>
        <w:t xml:space="preserve">guessed number is worse than no number.</w:t>
      </w:r>
      <w:r>
        <w:t xml:space="preserve"> </w:t>
      </w:r>
      <w:r>
        <w:rPr>
          <w:b/>
          <w:bCs/>
        </w:rPr>
        <w:t xml:space="preserve">Ref. 16</w:t>
      </w:r>
      <w:r>
        <w:t xml:space="preserve"> </w:t>
      </w:r>
      <w:r>
        <w:t xml:space="preserve">is an antenna textbook, included only</w:t>
      </w:r>
      <w:r>
        <w:t xml:space="preserve"> </w:t>
      </w:r>
      <w:r>
        <w:t xml:space="preserve">as the labelled radio-physics baseline; it must never be cited for anything gravitational,</w:t>
      </w:r>
      <w:r>
        <w:t xml:space="preserve"> </w:t>
      </w:r>
      <w:r>
        <w:t xml:space="preserve">and the note says so where anyone would see it.</w:t>
      </w:r>
    </w:p>
    <w:p>
      <w:r>
        <w:pict>
          <v:rect style="width:0;height:1.5pt" o:hralign="center" o:hrstd="t" o:hr="t"/>
        </w:pic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rPr>
          <w:i/>
          <w:iCs/>
        </w:rPr>
        <w:t xml:space="preserve">Placeholder.</w:t>
      </w:r>
    </w:p>
    <w:bookmarkEnd w:id="39"/>
    <w:bookmarkStart w:id="40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i/>
          <w:iCs/>
        </w:rPr>
        <w:t xml:space="preserve">Placeholder — use CRediT taxonomy. Must be reconciled with the repository’s commit</w:t>
      </w:r>
      <w:r>
        <w:rPr>
          <w:i/>
          <w:iCs/>
        </w:rPr>
        <w:t xml:space="preserve"> </w:t>
      </w:r>
      <w:r>
        <w:rPr>
          <w:i/>
          <w:iCs/>
        </w:rPr>
        <w:t xml:space="preserve">provenance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CITATION.cff</w:t>
      </w:r>
      <w:r>
        <w:rPr>
          <w:i/>
          <w:iCs/>
        </w:rPr>
        <w:t xml:space="preserve"> </w:t>
      </w:r>
      <w:r>
        <w:rPr>
          <w:i/>
          <w:iCs/>
        </w:rPr>
        <w:t xml:space="preserve">before submission.</w:t>
      </w:r>
    </w:p>
    <w:bookmarkEnd w:id="40"/>
    <w:bookmarkStart w:id="41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  <w:r>
        <w:t xml:space="preserve"> </w:t>
      </w:r>
      <w:r>
        <w:rPr>
          <w:i/>
          <w:iCs/>
        </w:rPr>
        <w:t xml:space="preserve">(Confirm before submission; note the</w:t>
      </w:r>
      <w:r>
        <w:rPr>
          <w:i/>
          <w:iCs/>
        </w:rPr>
        <w:t xml:space="preserve"> </w:t>
      </w:r>
      <w:r>
        <w:rPr>
          <w:i/>
          <w:iCs/>
        </w:rPr>
        <w:t xml:space="preserve">Apache-2.0 patent grant in Code availability.)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Standard journal declarations, not yet filled in. The last one</w:t>
      </w:r>
      <w:r>
        <w:t xml:space="preserve"> </w:t>
      </w:r>
      <w:r>
        <w:t xml:space="preserve">states that nobody stands to profit in a way that might bias the results — flagged for</w:t>
      </w:r>
      <w:r>
        <w:t xml:space="preserve"> </w:t>
      </w:r>
      <w:r>
        <w:t xml:space="preserve">confirmation before submission, given the patent grant mentioned above.</w:t>
      </w:r>
    </w:p>
    <w:p>
      <w:r>
        <w:pict>
          <v:rect style="width:0;height:1.5pt" o:hralign="center" o:hrstd="t" o:hr="t"/>
        </w:pict>
      </w:r>
    </w:p>
    <w:bookmarkEnd w:id="41"/>
    <w:bookmarkStart w:id="47" w:name="display-items"/>
    <w:p>
      <w:pPr>
        <w:pStyle w:val="Heading2"/>
      </w:pPr>
      <w:r>
        <w:t xml:space="preserve">Display items</w:t>
      </w:r>
    </w:p>
    <w:bookmarkStart w:id="42" w:name="Xfd4a15b31695f732755ac714ad5daa3e3680b23"/>
    <w:p>
      <w:pPr>
        <w:pStyle w:val="Heading3"/>
      </w:pPr>
      <w:r>
        <w:t xml:space="preserve">Table 1 | Spin-2 versus spin-1 array behaviour</w:t>
      </w:r>
    </w:p>
    <w:p>
      <w:pPr>
        <w:pStyle w:val="FirstParagraph"/>
      </w:pPr>
      <w:r>
        <w:t xml:space="preserve">Two co-phased elements, the second rotated by Δψ about the line of sight. Measured values</w:t>
      </w:r>
      <w:r>
        <w:t xml:space="preserve"> </w:t>
      </w:r>
      <w:r>
        <w:t xml:space="preserve">from the committed two-element prototype; the spin-1 column is what an antenna-theory</w:t>
      </w:r>
      <w:r>
        <w:t xml:space="preserve"> </w:t>
      </w:r>
      <w:r>
        <w:t xml:space="preserve">derivation predicts for the same geometry.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Δψ</w:t>
            </w:r>
          </w:p>
        </w:tc>
        <w:tc>
          <w:tcPr/>
          <w:p>
            <w:pPr>
              <w:pStyle w:val="Compact"/>
            </w:pPr>
            <w:r>
              <w:t xml:space="preserve">measured gain (spin-2)</w:t>
            </w:r>
          </w:p>
        </w:tc>
        <w:tc>
          <w:tcPr/>
          <w:p>
            <w:pPr>
              <w:pStyle w:val="Compact"/>
            </w:pPr>
            <w:r>
              <w:t xml:space="preserve">2 + 2cos(2Δψ)</w:t>
            </w:r>
          </w:p>
        </w:tc>
        <w:tc>
          <w:tcPr/>
          <w:p>
            <w:pPr>
              <w:pStyle w:val="Compact"/>
            </w:pPr>
            <w:r>
              <w:t xml:space="preserve">spin-1 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full coherence, gain N²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3.732051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3.414214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orthogonal — powers add, gain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60°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full coherence again</w:t>
            </w:r>
          </w:p>
        </w:tc>
      </w:tr>
    </w:tbl>
    <w:p>
      <w:pPr>
        <w:pStyle w:val="BodyText"/>
      </w:pPr>
      <w:r>
        <w:rPr>
          <w:i/>
          <w:iCs/>
        </w:rPr>
        <w:t xml:space="preserve">Alignment tolerance (not shown): gain/N² = exp(−4σ²) + (1 − exp(−4σ²))/N, the second term</w:t>
      </w:r>
      <w:r>
        <w:rPr>
          <w:i/>
          <w:iCs/>
        </w:rPr>
        <w:t xml:space="preserve"> </w:t>
      </w:r>
      <w:r>
        <w:rPr>
          <w:i/>
          <w:iCs/>
        </w:rPr>
        <w:t xml:space="preserve">an exact finite-N bias; the bare exponential is the N → ∞ limit. Verified to within 5% of</w:t>
      </w:r>
      <w:r>
        <w:rPr>
          <w:i/>
          <w:iCs/>
        </w:rPr>
        <w:t xml:space="preserve"> </w:t>
      </w:r>
      <w:r>
        <w:rPr>
          <w:i/>
          <w:iCs/>
        </w:rPr>
        <w:t xml:space="preserve">that prediction across N ∈ {100, 200, 1000} and σ ∈ {2.87°, 10°, 20°}. 1% loss at σ = 2.87°,</w:t>
      </w:r>
      <w:r>
        <w:rPr>
          <w:i/>
          <w:iCs/>
        </w:rPr>
        <w:t xml:space="preserve"> </w:t>
      </w:r>
      <w:r>
        <w:rPr>
          <w:i/>
          <w:iCs/>
        </w:rPr>
        <w:t xml:space="preserve">exactly 2× tighter than the spin-1 exp(−σ²) — a statement about the limiting law.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paper’s key result in one table, and the fastest way to see</w:t>
      </w:r>
      <w:r>
        <w:t xml:space="preserve"> </w:t>
      </w:r>
      <w:r>
        <w:t xml:space="preserve">the point. Take two emitters and rotate one relative to the other. Column 2 is what</w:t>
      </w:r>
      <w:r>
        <w:t xml:space="preserve"> </w:t>
      </w:r>
      <w:r>
        <w:t xml:space="preserve">gravity actually does; column 4 is what radio-antenna theory predicts for the identical</w:t>
      </w:r>
      <w:r>
        <w:t xml:space="preserve"> </w:t>
      </w:r>
      <w:r>
        <w:t xml:space="preserve">arrangement.</w:t>
      </w:r>
      <w:r>
        <w:t xml:space="preserve"> </w:t>
      </w:r>
      <w:r>
        <w:rPr>
          <w:b/>
          <w:bCs/>
        </w:rPr>
        <w:t xml:space="preserve">At 90° they disagree completely</w:t>
      </w:r>
      <w:r>
        <w:t xml:space="preserve">: gravity gives you exactly zero, radio</w:t>
      </w:r>
      <w:r>
        <w:t xml:space="preserve"> </w:t>
      </w:r>
      <w:r>
        <w:t xml:space="preserve">theory promises double. At 180° the roles reverse — gravity is back to full strength while</w:t>
      </w:r>
      <w:r>
        <w:t xml:space="preserve"> </w:t>
      </w:r>
      <w:r>
        <w:t xml:space="preserve">radio theory says zero. Anyone designing such an array using antenna intuition would build</w:t>
      </w:r>
      <w:r>
        <w:t xml:space="preserve"> </w:t>
      </w:r>
      <w:r>
        <w:t xml:space="preserve">something that emits nothing and have no idea why.</w:t>
      </w:r>
    </w:p>
    <w:bookmarkEnd w:id="42"/>
    <w:bookmarkStart w:id="43" w:name="X50d36f0463f7d834c3b918a087f6ce20c5ec82d"/>
    <w:p>
      <w:pPr>
        <w:pStyle w:val="Heading3"/>
      </w:pPr>
      <w:r>
        <w:t xml:space="preserve">Table 2 | Feasibility ledger —</w:t>
      </w:r>
      <w:r>
        <w:t xml:space="preserve"> </w:t>
      </w:r>
      <w:r>
        <w:rPr>
          <w:b/>
          <w:bCs/>
        </w:rPr>
        <w:t xml:space="preserve">STUB, awaiting R5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Achieved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  <w:tc>
          <w:tcPr/>
          <w:p>
            <w:pPr>
              <w:pStyle w:val="Compact"/>
            </w:pPr>
            <w:r>
              <w:t xml:space="preserve">Source module</w:t>
            </w:r>
          </w:p>
        </w:tc>
        <w:tc>
          <w:tcPr/>
          <w:p>
            <w:pPr>
              <w:pStyle w:val="Compac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Diffraction (aperture)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wavelengths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array.focus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Coupling (impulse)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N·s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target.coupling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Magnitude (emission)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source.quadrupole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Body quadrupole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bodies.multipole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scorecard, currently blank pending the experiments. When</w:t>
      </w:r>
      <w:r>
        <w:t xml:space="preserve"> </w:t>
      </w:r>
      <w:r>
        <w:t xml:space="preserve">filled in, each row will read: here’s what we achieve, here’s what’s required, and here’s</w:t>
      </w:r>
      <w:r>
        <w:t xml:space="preserve"> </w:t>
      </w:r>
      <w:r>
        <w:t xml:space="preserve">the shortfall expressed in powers of ten. The final column records where each number came</w:t>
      </w:r>
      <w:r>
        <w:t xml:space="preserve"> </w:t>
      </w:r>
      <w:r>
        <w:t xml:space="preserve">from, so no figure can appear without a traceable origin.</w:t>
      </w:r>
    </w:p>
    <w:bookmarkEnd w:id="43"/>
    <w:bookmarkStart w:id="44" w:name="Xe2ddf0e31b84930d6cdbd4d1d07e02e50deeeb8"/>
    <w:p>
      <w:pPr>
        <w:pStyle w:val="Heading3"/>
      </w:pPr>
      <w:r>
        <w:t xml:space="preserve">Table 3 | Coupling channels compared —</w:t>
      </w:r>
      <w:r>
        <w:t xml:space="preserve"> </w:t>
      </w:r>
      <w:r>
        <w:rPr>
          <w:b/>
          <w:bCs/>
        </w:rPr>
        <w:t xml:space="preserve">STUB, awaiting R6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Tidal strain</w:t>
            </w:r>
          </w:p>
        </w:tc>
        <w:tc>
          <w:tcPr/>
          <w:p>
            <w:pPr>
              <w:pStyle w:val="Compact"/>
            </w:pPr>
            <w:r>
              <w:t xml:space="preserve">Geodesic deviation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honest headline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thrust</w:t>
            </w:r>
          </w:p>
        </w:tc>
        <w:tc>
          <w:tcPr/>
          <w:p>
            <w:pPr>
              <w:pStyle w:val="Compact"/>
            </w:pPr>
            <w:r>
              <w:t xml:space="preserve">Momentum flux × cross-section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Expected negligible; reported anyway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Near-zone gradient</w:t>
            </w:r>
          </w:p>
        </w:tc>
        <w:tc>
          <w:tcPr/>
          <w:p>
            <w:pPr>
              <w:pStyle w:val="Compact"/>
            </w:pPr>
            <w:r>
              <w:t xml:space="preserve">Gravity tractor (refs 9,10)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The benchmark any proposal must beat</w:t>
            </w:r>
          </w:p>
        </w:tc>
      </w:tr>
    </w:tbl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ways gravity could move an asteroid, to be compared</w:t>
      </w:r>
      <w:r>
        <w:t xml:space="preserve"> </w:t>
      </w:r>
      <w:r>
        <w:t xml:space="preserve">side by side once measured. Note the middle row: we expect it to be so small as to be</w:t>
      </w:r>
      <w:r>
        <w:t xml:space="preserve"> </w:t>
      </w:r>
      <w:r>
        <w:t xml:space="preserve">irrelevant, and we’re reporting it</w:t>
      </w:r>
      <w:r>
        <w:t xml:space="preserve"> </w:t>
      </w:r>
      <w:r>
        <w:rPr>
          <w:b/>
          <w:bCs/>
        </w:rPr>
        <w:t xml:space="preserve">anyway</w:t>
      </w:r>
      <w:r>
        <w:t xml:space="preserve">, because silently omitting the unflattering</w:t>
      </w:r>
      <w:r>
        <w:t xml:space="preserve"> </w:t>
      </w:r>
      <w:r>
        <w:t xml:space="preserve">option is how honest comparisons turn into sales pitches.</w:t>
      </w:r>
    </w:p>
    <w:bookmarkEnd w:id="44"/>
    <w:bookmarkStart w:id="45" w:name="figure-legends"/>
    <w:p>
      <w:pPr>
        <w:pStyle w:val="Heading3"/>
      </w:pPr>
      <w:r>
        <w:t xml:space="preserve">Figure legends</w:t>
      </w:r>
    </w:p>
    <w:p>
      <w:pPr>
        <w:pStyle w:val="FigurePlaceholder"/>
      </w:pPr>
      <w:r>
        <w:t xml:space="preserve">[ FIGURE 1 GOES HERE — Framework architecture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1 | Framework architecture.</w:t>
      </w:r>
      <w:r>
        <w:t xml:space="preserve"> </w:t>
      </w:r>
      <w:r>
        <w:t xml:space="preserve">Nine-layer dependency graph with the two</w:t>
      </w:r>
      <w:r>
        <w:t xml:space="preserve"> </w:t>
      </w:r>
      <w:r>
        <w:t xml:space="preserve">governance-motivated layers (</w:t>
      </w:r>
      <w:r>
        <w:rPr>
          <w:rStyle w:val="VerbatimChar"/>
        </w:rPr>
        <w:t xml:space="preserve">ledger</w:t>
      </w:r>
      <w:r>
        <w:t xml:space="preserve">, conservation stamping within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highlighted,</w:t>
      </w:r>
      <w:r>
        <w:t xml:space="preserve"> </w:t>
      </w:r>
      <w:r>
        <w:t xml:space="preserve">annotated with the equation IDs each layer implements.</w:t>
      </w:r>
      <w:r>
        <w:t xml:space="preserve"> </w:t>
      </w:r>
      <w:r>
        <w:rPr>
          <w:i/>
          <w:iCs/>
        </w:rPr>
        <w:t xml:space="preserve">To be drawn.</w:t>
      </w:r>
    </w:p>
    <w:p>
      <w:pPr>
        <w:pStyle w:val="FigurePlaceholder"/>
      </w:pPr>
      <w:r>
        <w:t xml:space="preserve">[ FIGURE 2 GOES HERE — The provenance apparatus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2 | The provenance apparatus.</w:t>
      </w:r>
      <w:r>
        <w:t xml:space="preserve"> </w:t>
      </w:r>
      <w:r>
        <w:t xml:space="preserve">How citation CI, the claims registry, the assumption</w:t>
      </w:r>
      <w:r>
        <w:t xml:space="preserve"> </w:t>
      </w:r>
      <w:r>
        <w:t xml:space="preserve">ledger, the errata file and the unphysicality stamp interlock, and which failure mode each</w:t>
      </w:r>
      <w:r>
        <w:t xml:space="preserve"> </w:t>
      </w:r>
      <w:r>
        <w:t xml:space="preserve">was added in response to.</w:t>
      </w:r>
      <w:r>
        <w:t xml:space="preserve"> </w:t>
      </w:r>
      <w:r>
        <w:rPr>
          <w:i/>
          <w:iCs/>
        </w:rPr>
        <w:t xml:space="preserve">To be drawn.</w:t>
      </w:r>
    </w:p>
    <w:p>
      <w:pPr>
        <w:pStyle w:val="FigurePlaceholder"/>
      </w:pPr>
      <w:r>
        <w:t xml:space="preserve">[ FIGURE 3 GOES HERE — Element mismatch is cos(2Δψ), not cos(Δψ)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3 | Element mismatch is cos(2Δψ), not cos(Δψ).</w:t>
      </w:r>
      <w:r>
        <w:t xml:space="preserve"> </w:t>
      </w:r>
      <w:r>
        <w:t xml:space="preserve">Measured array gain versus relative</w:t>
      </w:r>
      <w:r>
        <w:t xml:space="preserve"> </w:t>
      </w:r>
      <w:r>
        <w:t xml:space="preserve">element orientation, with the spin-1 prediction overplotted; the complete cancellation at</w:t>
      </w:r>
      <w:r>
        <w:t xml:space="preserve"> </w:t>
      </w:r>
      <w:r>
        <w:t xml:space="preserve">90° annotated.</w:t>
      </w:r>
      <w:r>
        <w:t xml:space="preserve"> </w:t>
      </w:r>
      <w:r>
        <w:rPr>
          <w:i/>
          <w:iCs/>
        </w:rPr>
        <w:t xml:space="preserve">Awaiting R2.</w:t>
      </w:r>
    </w:p>
    <w:p>
      <w:pPr>
        <w:pStyle w:val="FigurePlaceholder"/>
      </w:pPr>
      <w:r>
        <w:t xml:space="preserve">[ FIGURE 4 GOES HERE — Spin-2 alignment tolerance is exactly twice as tight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4 | Spin-2 alignment tolerance is exactly twice as tight.</w:t>
      </w:r>
      <w:r>
        <w:t xml:space="preserve"> </w:t>
      </w:r>
      <w:r>
        <w:t xml:space="preserve">Gain fraction versus</w:t>
      </w:r>
      <w:r>
        <w:t xml:space="preserve"> </w:t>
      </w:r>
      <w:r>
        <w:t xml:space="preserve">orientation jitter σ, against exp(−4σ²) and exp(−σ²); the 1% loss points at 2.87° and 5.73°</w:t>
      </w:r>
      <w:r>
        <w:t xml:space="preserve"> </w:t>
      </w:r>
      <w:r>
        <w:t xml:space="preserve">marked.</w:t>
      </w:r>
      <w:r>
        <w:t xml:space="preserve"> </w:t>
      </w:r>
      <w:r>
        <w:rPr>
          <w:i/>
          <w:iCs/>
        </w:rPr>
        <w:t xml:space="preserve">Awaiting R2.</w:t>
      </w:r>
    </w:p>
    <w:p>
      <w:pPr>
        <w:pStyle w:val="FigurePlaceholder"/>
      </w:pPr>
      <w:r>
        <w:t xml:space="preserve">[ FIGURE 5 GOES HERE — Degeneracy breaking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5 | Degeneracy breaking.</w:t>
      </w:r>
      <w:r>
        <w:t xml:space="preserve"> </w:t>
      </w:r>
      <w:r>
        <w:t xml:space="preserve">Radiated quadrupole amplitude versus radius at fixed mass</w:t>
      </w:r>
      <w:r>
        <w:t xml:space="preserve"> </w:t>
      </w:r>
      <w:r>
        <w:t xml:space="preserve">for the rigid, elastic and finite-size models. The rigid trace should lie on the numerical</w:t>
      </w:r>
      <w:r>
        <w:t xml:space="preserve"> </w:t>
      </w:r>
      <w:r>
        <w:t xml:space="preserve">floor.</w:t>
      </w:r>
      <w:r>
        <w:t xml:space="preserve"> </w:t>
      </w:r>
      <w:r>
        <w:rPr>
          <w:i/>
          <w:iCs/>
        </w:rPr>
        <w:t xml:space="preserve">Awaiting R3.</w:t>
      </w:r>
    </w:p>
    <w:p>
      <w:pPr>
        <w:pStyle w:val="FigurePlaceholder"/>
      </w:pPr>
      <w:r>
        <w:t xml:space="preserve">[ FIGURE 6 GOES HERE — Mode-locked spatiotemporal focus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6 | Mode-locked spatiotemporal focus.</w:t>
      </w:r>
      <w:r>
        <w:t xml:space="preserve"> </w:t>
      </w:r>
      <w:r>
        <w:t xml:space="preserve">Focal-plane amplitude map and</w:t>
      </w:r>
      <w:r>
        <w:t xml:space="preserve"> </w:t>
      </w:r>
      <w:r>
        <w:t xml:space="preserve">peak-to-background ratio versus √N. Caption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state the D/λ of the geometry and that</w:t>
      </w:r>
      <w:r>
        <w:t xml:space="preserve"> </w:t>
      </w:r>
      <w:r>
        <w:t xml:space="preserve">the background reference is √(Nπ)/2, not √N.</w:t>
      </w:r>
      <w:r>
        <w:t xml:space="preserve"> </w:t>
      </w:r>
      <w:r>
        <w:rPr>
          <w:i/>
          <w:iCs/>
        </w:rPr>
        <w:t xml:space="preserve">Awaiting R4.</w:t>
      </w:r>
    </w:p>
    <w:p>
      <w:pPr>
        <w:pStyle w:val="FigurePlaceholder"/>
      </w:pPr>
      <w:r>
        <w:t xml:space="preserve">[ FIGURE 7 GOES HERE — The walls, in decades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7 | The walls, in decades.</w:t>
      </w:r>
      <w:r>
        <w:t xml:space="preserve"> </w:t>
      </w:r>
      <w:r>
        <w:t xml:space="preserve">Gap between achieved and required for each ledger row,</w:t>
      </w:r>
      <w:r>
        <w:t xml:space="preserve"> </w:t>
      </w:r>
      <w:r>
        <w:t xml:space="preserve">sorted, with the transducer problem shown as an explicitly out-of-scope bar.</w:t>
      </w:r>
      <w:r>
        <w:t xml:space="preserve"> </w:t>
      </w:r>
      <w:r>
        <w:rPr>
          <w:i/>
          <w:iCs/>
        </w:rPr>
        <w:t xml:space="preserve">Awaiting R5.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seven planned figures. Two are diagrams of how the software</w:t>
      </w:r>
      <w:r>
        <w:t xml:space="preserve"> </w:t>
      </w:r>
      <w:r>
        <w:t xml:space="preserve">and its safety machinery are put together. Three show the new rotation rules and the</w:t>
      </w:r>
      <w:r>
        <w:t xml:space="preserve"> </w:t>
      </w:r>
      <w:r>
        <w:t xml:space="preserve">alignment requirement. One shows the focusing experiment. The last one is the honest chart:</w:t>
      </w:r>
      <w:r>
        <w:t xml:space="preserve"> </w:t>
      </w:r>
      <w:r>
        <w:t xml:space="preserve">a bar per obstacle, each bar’s height being how many powers of ten we fall short — including</w:t>
      </w:r>
      <w:r>
        <w:t xml:space="preserve"> </w:t>
      </w:r>
      <w:r>
        <w:t xml:space="preserve">a bar for the problem we explicitly refuse to claim we’ve solved.</w:t>
      </w:r>
    </w:p>
    <w:bookmarkEnd w:id="45"/>
    <w:bookmarkStart w:id="46" w:name="extended-data"/>
    <w:p>
      <w:pPr>
        <w:pStyle w:val="Heading3"/>
      </w:pPr>
      <w:r>
        <w:t xml:space="preserve">Extended Data</w:t>
      </w:r>
    </w:p>
    <w:p>
      <w:pPr>
        <w:pStyle w:val="FirstParagraph"/>
      </w:pPr>
      <w:r>
        <w:rPr>
          <w:b/>
          <w:bCs/>
        </w:rPr>
        <w:t xml:space="preserve">Extended Data Table 1 | Benchmark validation status.</w:t>
      </w:r>
      <w:r>
        <w:t xml:space="preserve"> </w:t>
      </w:r>
      <w:r>
        <w:t xml:space="preserve">Benchmark, quantity, reference,</w:t>
      </w:r>
      <w:r>
        <w:t xml:space="preserve"> </w:t>
      </w:r>
      <w:r>
        <w:t xml:space="preserve">computed, deviation, equation ID, last-run commit.</w:t>
      </w:r>
      <w:r>
        <w:t xml:space="preserve"> </w:t>
      </w:r>
      <w:r>
        <w:rPr>
          <w:i/>
          <w:iCs/>
        </w:rPr>
        <w:t xml:space="preserve">Partially available.</w:t>
      </w:r>
    </w:p>
    <w:p>
      <w:pPr>
        <w:pStyle w:val="BodyText"/>
      </w:pPr>
      <w:r>
        <w:rPr>
          <w:b/>
          <w:bCs/>
        </w:rPr>
        <w:t xml:space="preserve">Extended Data Table 2 | Degeneracy-breaking factors per mechanism.</w:t>
      </w:r>
      <w:r>
        <w:t xml:space="preserve"> </w:t>
      </w:r>
      <w:r>
        <w:rPr>
          <w:i/>
          <w:iCs/>
        </w:rPr>
        <w:t xml:space="preserve">Awaiting R3.</w:t>
      </w:r>
    </w:p>
    <w:p>
      <w:pPr>
        <w:pStyle w:val="BodyText"/>
      </w:pPr>
      <w:r>
        <w:rPr>
          <w:b/>
          <w:bCs/>
        </w:rPr>
        <w:t xml:space="preserve">Extended Data Table 3 | Silent numerical failures at astronomical scale.</w:t>
      </w:r>
      <w:r>
        <w:t xml:space="preserve"> </w:t>
      </w:r>
      <w:r>
        <w:t xml:space="preserve">Construction,</w:t>
      </w:r>
      <w:r>
        <w:t xml:space="preserve"> </w:t>
      </w:r>
      <w:r>
        <w:t xml:space="preserve">magnitude, failure mode, remedy, verifying test.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4 | Independent verification of the l = 2 form factor.</w:t>
      </w:r>
      <w:r>
        <w:t xml:space="preserve"> </w:t>
      </w:r>
      <w:r>
        <w:t xml:space="preserve">Four routes,</w:t>
      </w:r>
      <w:r>
        <w:t xml:space="preserve"> </w:t>
      </w:r>
      <w:r>
        <w:t xml:space="preserve">their shared machinery (none), and their residuals.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5 | Assumption ledger.</w:t>
      </w:r>
      <w:r>
        <w:t xml:space="preserve"> </w:t>
      </w:r>
      <w:r>
        <w:t xml:space="preserve">All 30 rows: assumption, where asserted,</w:t>
      </w:r>
      <w:r>
        <w:t xml:space="preserve"> </w:t>
      </w:r>
      <w:r>
        <w:t xml:space="preserve">valid when, breaks down at.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6 | Claims registry.</w:t>
      </w:r>
      <w:r>
        <w:t xml:space="preserve"> </w:t>
      </w:r>
      <w:r>
        <w:t xml:space="preserve">All 22 claims by category, with sources and</w:t>
      </w:r>
      <w:r>
        <w:t xml:space="preserve"> </w:t>
      </w:r>
      <w:r>
        <w:t xml:space="preserve">promotion/demotion history.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supporting tables for readers who want to check our work</w:t>
      </w:r>
      <w:r>
        <w:t xml:space="preserve"> </w:t>
      </w:r>
      <w:r>
        <w:t xml:space="preserve">rather than take it on trust. The two most useful to a sceptic are Table 5 — every</w:t>
      </w:r>
      <w:r>
        <w:t xml:space="preserve"> </w:t>
      </w:r>
      <w:r>
        <w:t xml:space="preserve">simplifying assumption together with the conditions under which it fails — and Table 6 —</w:t>
      </w:r>
      <w:r>
        <w:t xml:space="preserve"> </w:t>
      </w:r>
      <w:r>
        <w:t xml:space="preserve">every claim sorted into established fact, our own reasoning, or acknowledged guess.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numbers-in-this-draft"/>
    <w:p>
      <w:pPr>
        <w:pStyle w:val="Heading2"/>
      </w:pPr>
      <w:r>
        <w:t xml:space="preserve">Numbers in this draft</w:t>
      </w:r>
    </w:p>
    <w:p>
      <w:pPr>
        <w:pStyle w:val="FirstParagraph"/>
      </w:pPr>
      <w:r>
        <w:t xml:space="preserve">Every numeric value above is one of three kinds, and the distinction must survive editing: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Committed test/benchmark output</w:t>
      </w:r>
      <w:r>
        <w:t xml:space="preserve"> </w:t>
      </w:r>
      <w:r>
        <w:t xml:space="preserve">— reproducible today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or a committed</w:t>
      </w:r>
      <w:r>
        <w:t xml:space="preserve"> </w:t>
      </w:r>
      <w:r>
        <w:t xml:space="preserve">script. All numbers in the Main, Discussion, Methods and Table 1 are of this kind.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Pre-registered target</w:t>
      </w:r>
      <w:r>
        <w:t xml:space="preserve"> </w:t>
      </w:r>
      <w:r>
        <w:t xml:space="preserve">— stated in the Results stub as what</w:t>
      </w:r>
      <w:r>
        <w:t xml:space="preserve"> </w:t>
      </w:r>
      <w:r>
        <w:rPr>
          <w:i/>
          <w:iCs/>
        </w:rPr>
        <w:t xml:space="preserve">will</w:t>
      </w:r>
      <w:r>
        <w:t xml:space="preserve"> </w:t>
      </w:r>
      <w:r>
        <w:t xml:space="preserve">be measured. No</w:t>
      </w:r>
      <w:r>
        <w:t xml:space="preserve"> </w:t>
      </w:r>
      <w:r>
        <w:t xml:space="preserve">value is asserted.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TBD</w:t>
      </w:r>
      <w:r>
        <w:t xml:space="preserve"> </w:t>
      </w:r>
      <w:r>
        <w:t xml:space="preserve">— a hole in a stub display item.</w:t>
      </w:r>
    </w:p>
    <w:p>
      <w:pPr>
        <w:pStyle w:val="FirstParagraph"/>
      </w:pPr>
      <w:r>
        <w:t xml:space="preserve">There are no values of a fourth kind, and none may be introduced. A number that cannot be</w:t>
      </w:r>
      <w:r>
        <w:t xml:space="preserve"> </w:t>
      </w:r>
      <w:r>
        <w:t xml:space="preserve">traced to a named test does not belong in this manuscript.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rule for whoever edits this draft next. Every number here is</w:t>
      </w:r>
      <w:r>
        <w:t xml:space="preserve"> </w:t>
      </w:r>
      <w:r>
        <w:t xml:space="preserve">one of exactly three things: something a computer can regenerate on demand today, a</w:t>
      </w:r>
      <w:r>
        <w:t xml:space="preserve"> </w:t>
      </w:r>
      <w:r>
        <w:t xml:space="preserve">placeholder for something we’ve promised to measure, or an explicit blank. There is no</w:t>
      </w:r>
      <w:r>
        <w:t xml:space="preserve"> </w:t>
      </w:r>
      <w:r>
        <w:t xml:space="preserve">fourth category — no estimates, no remembered figures, no</w:t>
      </w:r>
      <w:r>
        <w:t xml:space="preserve"> </w:t>
      </w:r>
      <w:r>
        <w:t xml:space="preserve">“roughly.”</w:t>
      </w:r>
      <w:r>
        <w:t xml:space="preserve"> </w:t>
      </w:r>
      <w:r>
        <w:t xml:space="preserve">If a number can’t be</w:t>
      </w:r>
      <w:r>
        <w:t xml:space="preserve"> </w:t>
      </w:r>
      <w:r>
        <w:t xml:space="preserve">traced to a specific test, it doesn’t belong in the paper.</w:t>
      </w:r>
    </w:p>
    <w:p>
      <w:r>
        <w:pict>
          <v:rect style="width:0;height:1.5pt" o:hralign="center" o:hrstd="t" o:hr="t"/>
        </w:pict>
      </w:r>
    </w:p>
    <w:bookmarkEnd w:id="48"/>
    <w:bookmarkStart w:id="49" w:name="X0eb8261bb79f11682b3b6f6d6a62116e6743752"/>
    <w:p>
      <w:pPr>
        <w:pStyle w:val="Heading2"/>
      </w:pPr>
      <w:r>
        <w:t xml:space="preserve">Submission notes — delete before submission</w:t>
      </w:r>
    </w:p>
    <w:p>
      <w:pPr>
        <w:pStyle w:val="FirstParagraph"/>
      </w:pPr>
      <w:r>
        <w:rPr>
          <w:b/>
          <w:bCs/>
        </w:rPr>
        <w:t xml:space="preserve">Venue.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a stretch for this manuscript and the drafting reflects a</w:t>
      </w:r>
      <w:r>
        <w:t xml:space="preserve"> </w:t>
      </w:r>
      <w:r>
        <w:t xml:space="preserve">deliberate choice about which contribution is foregrounded. The concept-feasibility</w:t>
      </w:r>
      <w:r>
        <w:t xml:space="preserve"> </w:t>
      </w:r>
      <w:r>
        <w:t xml:space="preserve">framing has no path: the framework’s own ledger reports a gap of tens of orders of</w:t>
      </w:r>
      <w:r>
        <w:t xml:space="preserve"> </w:t>
      </w:r>
      <w:r>
        <w:t xml:space="preserve">magnitude, and an editor who reads</w:t>
      </w:r>
      <w:r>
        <w:t xml:space="preserve"> </w:t>
      </w:r>
      <w:r>
        <w:t xml:space="preserve">“gravitational tractor beam”</w:t>
      </w:r>
      <w:r>
        <w:t xml:space="preserve"> </w:t>
      </w:r>
      <w:r>
        <w:t xml:space="preserve">will place it next to the</w:t>
      </w:r>
      <w:r>
        <w:t xml:space="preserve"> </w:t>
      </w:r>
      <w:r>
        <w:t xml:space="preserve">literature ref. 2 assessed. The framing with a real chance is</w:t>
      </w:r>
      <w:r>
        <w:t xml:space="preserve"> </w:t>
      </w:r>
      <w:r>
        <w:rPr>
          <w:b/>
          <w:bCs/>
        </w:rPr>
        <w:t xml:space="preserve">methodological</w:t>
      </w:r>
      <w:r>
        <w:t xml:space="preserve"> </w:t>
      </w:r>
      <w:r>
        <w:t xml:space="preserve">— a spin-2</w:t>
      </w:r>
      <w:r>
        <w:t xml:space="preserve"> </w:t>
      </w:r>
      <w:r>
        <w:t xml:space="preserve">extension of array theory with no reference implementation, plus provenance enforced</w:t>
      </w:r>
      <w:r>
        <w:t xml:space="preserve"> </w:t>
      </w:r>
      <w:r>
        <w:t xml:space="preserve">mechanically in software — and this draft leads with that.</w:t>
      </w:r>
    </w:p>
    <w:p>
      <w:pPr>
        <w:pStyle w:val="BodyText"/>
      </w:pPr>
      <w:r>
        <w:t xml:space="preserve">Realistic alternatives, in descending order of fit: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Nature Computational Science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Nature Methods</w:t>
      </w:r>
      <w:r>
        <w:t xml:space="preserve"> </w:t>
      </w:r>
      <w:r>
        <w:t xml:space="preserve">— a research-software paper</w:t>
      </w:r>
      <w:r>
        <w:t xml:space="preserve"> </w:t>
      </w:r>
      <w:r>
        <w:t xml:space="preserve">whose thesis is that epistemic status can be made machine-checkable. Probably the best</w:t>
      </w:r>
      <w:r>
        <w:t xml:space="preserve"> </w:t>
      </w:r>
      <w:r>
        <w:t xml:space="preserve">fit for the manuscript 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Classical and Quantum Gravity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Phys. Rev. D</w:t>
      </w:r>
      <w:r>
        <w:t xml:space="preserve"> </w:t>
      </w:r>
      <w:r>
        <w:t xml:space="preserve">— foreground the spin-2 array</w:t>
      </w:r>
      <w:r>
        <w:t xml:space="preserve"> </w:t>
      </w:r>
      <w:r>
        <w:t xml:space="preserve">derivation and the finite-size form factor, drop most of the governance material to an</w:t>
      </w:r>
      <w:r>
        <w:t xml:space="preserve"> </w:t>
      </w:r>
      <w:r>
        <w:t xml:space="preserve">appendix. This is where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result is most likely to be read by people who can</w:t>
      </w:r>
      <w:r>
        <w:t xml:space="preserve"> </w:t>
      </w:r>
      <w:r>
        <w:t xml:space="preserve">check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Journal of Open Source Software</w:t>
      </w:r>
      <w:r>
        <w:t xml:space="preserve"> </w:t>
      </w:r>
      <w:r>
        <w:t xml:space="preserve">— for the software artifact itself; short, and</w:t>
      </w:r>
      <w:r>
        <w:t xml:space="preserve"> </w:t>
      </w:r>
      <w:r>
        <w:t xml:space="preserve">complementary rather than competing.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honest assessment of where this could actually be published.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the most prestigious journal in science and this is a long shot — if we pitch</w:t>
      </w:r>
      <w:r>
        <w:t xml:space="preserve"> </w:t>
      </w:r>
      <w:r>
        <w:t xml:space="preserve">it as</w:t>
      </w:r>
      <w:r>
        <w:t xml:space="preserve"> </w:t>
      </w:r>
      <w:r>
        <w:t xml:space="preserve">“we invented a tractor beam,”</w:t>
      </w:r>
      <w:r>
        <w:t xml:space="preserve"> </w:t>
      </w:r>
      <w:r>
        <w:t xml:space="preserve">an editor will file it next to the discredited work and</w:t>
      </w:r>
      <w:r>
        <w:t xml:space="preserve"> </w:t>
      </w:r>
      <w:r>
        <w:t xml:space="preserve">reject it, correctly. The version with a real chance leads with the</w:t>
      </w:r>
      <w:r>
        <w:t xml:space="preserve"> </w:t>
      </w:r>
      <w:r>
        <w:rPr>
          <w:i/>
          <w:iCs/>
        </w:rPr>
        <w:t xml:space="preserve">method</w:t>
      </w:r>
      <w:r>
        <w:t xml:space="preserve">: a genuine new</w:t>
      </w:r>
      <w:r>
        <w:t xml:space="preserve"> </w:t>
      </w:r>
      <w:r>
        <w:t xml:space="preserve">piece of physics that nobody has worked out before, plus a novel approach to making</w:t>
      </w:r>
      <w:r>
        <w:t xml:space="preserve"> </w:t>
      </w:r>
      <w:r>
        <w:t xml:space="preserve">scientific software self-auditing. The alternatives listed are less famous but better</w:t>
      </w:r>
      <w:r>
        <w:t xml:space="preserve"> </w:t>
      </w:r>
      <w:r>
        <w:t xml:space="preserve">matched, and a physics-specialist journal is where experts most likely to</w:t>
      </w:r>
      <w:r>
        <w:t xml:space="preserve"> </w:t>
      </w:r>
      <w:r>
        <w:rPr>
          <w:i/>
          <w:iCs/>
        </w:rPr>
        <w:t xml:space="preserve">catch our</w:t>
      </w:r>
      <w:r>
        <w:rPr>
          <w:i/>
          <w:iCs/>
        </w:rPr>
        <w:t xml:space="preserve"> </w:t>
      </w:r>
      <w:r>
        <w:rPr>
          <w:i/>
          <w:iCs/>
        </w:rPr>
        <w:t xml:space="preserve">mistakes</w:t>
      </w:r>
      <w:r>
        <w:t xml:space="preserve"> </w:t>
      </w:r>
      <w:r>
        <w:t xml:space="preserve">would actually read it.</w:t>
      </w:r>
    </w:p>
    <w:p>
      <w:pPr>
        <w:pStyle w:val="BodyText"/>
      </w:pPr>
      <w:r>
        <w:rPr>
          <w:b/>
          <w:bCs/>
        </w:rPr>
        <w:t xml:space="preserve">Blockers before any submission.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repository is not public.</w:t>
      </w:r>
      <w:r>
        <w:t xml:space="preserve"> </w:t>
      </w:r>
      <w:r>
        <w:t xml:space="preserve">Code availability cannot be satisfied. This is</w:t>
      </w:r>
      <w:r>
        <w:t xml:space="preserve"> </w:t>
      </w:r>
      <w:r>
        <w:t xml:space="preserve">tracked in the backlog and is the project’s sole remaining externally-blocked item.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CITATION.cff</w:t>
      </w:r>
      <w:r>
        <w:rPr>
          <w:b/>
          <w:bCs/>
        </w:rPr>
        <w:t xml:space="preserve">, no author list, no CRediT table.</w:t>
      </w:r>
      <w:r>
        <w:t xml:space="preserve"> </w:t>
      </w:r>
      <w:r>
        <w:t xml:space="preserve">A manuscript about provenance</w:t>
      </w:r>
      <w:r>
        <w:t xml:space="preserve"> </w:t>
      </w:r>
      <w:r>
        <w:t xml:space="preserve">discipline that cannot state its own authorship provenance is self-refuting.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Results campaign has not been run.</w:t>
      </w:r>
      <w:r>
        <w:t xml:space="preserve"> </w:t>
      </w:r>
      <w:r>
        <w:t xml:space="preserve">R2–R6 are stubs by design; R1 and R7 could</w:t>
      </w:r>
      <w:r>
        <w:t xml:space="preserve"> </w:t>
      </w:r>
      <w:r>
        <w:t xml:space="preserve">be written today.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strike/>
        </w:rPr>
        <w:t xml:space="preserve">docs/INDEX.md</w:t>
      </w:r>
      <w:r>
        <w:rPr>
          <w:strike/>
        </w:rPr>
        <w:t xml:space="preserve"> </w:t>
      </w:r>
      <w:r>
        <w:rPr>
          <w:strike/>
        </w:rPr>
        <w:t xml:space="preserve">§2 is stale.</w:t>
      </w:r>
      <w:r>
        <w:t xml:space="preserve"> </w:t>
      </w:r>
      <w:r>
        <w:rPr>
          <w:strike/>
        </w:rPr>
        <w:t xml:space="preserve">§4 Validation Status is absent.</w:t>
      </w:r>
      <w:r>
        <w:t xml:space="preserve"> </w:t>
      </w:r>
      <w:r>
        <w:rPr>
          <w:b/>
          <w:bCs/>
        </w:rPr>
        <w:t xml:space="preserve">Both resolved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2026-08-02.</w:t>
      </w:r>
      <w:r>
        <w:t xml:space="preserve"> </w:t>
      </w:r>
      <w:r>
        <w:t xml:space="preserve">§2 was rewritten against the code and §1 gained EQ-035–EQ-053; §4 then</w:t>
      </w:r>
      <w:r>
        <w:t xml:space="preserve"> </w:t>
      </w:r>
      <w:r>
        <w:t xml:space="preserve">gained 18 rows covering the ~30 tasks it had never documented, including T-6.5/T-6.6.</w:t>
      </w:r>
      <w:r>
        <w:t xml:space="preserve"> </w:t>
      </w:r>
      <w:r>
        <w:rPr>
          <w:b/>
          <w:bCs/>
        </w:rPr>
        <w:t xml:space="preserve">Three findings from that pass; (a) is now closed, (b) and (c) remain open.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(a) RESOLVED 2026-08-03, and the diagnosis inverted the fix.</w:t>
      </w:r>
      <w:r>
        <w:t xml:space="preserve"> </w:t>
      </w:r>
      <w:r>
        <w:t xml:space="preserve">The finding was</w:t>
      </w:r>
      <w:r>
        <w:t xml:space="preserve"> </w:t>
      </w:r>
      <w:r>
        <w:t xml:space="preserve">originally written as</w:t>
      </w:r>
      <w:r>
        <w:t xml:space="preserve"> </w:t>
      </w:r>
      <w:r>
        <w:t xml:space="preserve">“the CI check is weaker than the figure the manuscript prints,</w:t>
      </w:r>
      <w:r>
        <w:t xml:space="preserve"> </w:t>
      </w:r>
      <w:r>
        <w:t xml:space="preserve">so tighten the test.”</w:t>
      </w:r>
      <w:r>
        <w:t xml:space="preserve"> </w:t>
      </w:r>
      <w:r>
        <w:rPr>
          <w:b/>
          <w:bCs/>
        </w:rPr>
        <w:t xml:space="preserve">Tightening was impossible and the ADR was the defective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document.</w:t>
      </w:r>
      <w:r>
        <w:t xml:space="preserve"> </w:t>
      </w:r>
      <w:r>
        <w:rPr>
          <w:rStyle w:val="VerbatimChar"/>
        </w:rPr>
        <w:t xml:space="preserve">exp(−4σ²)</w:t>
      </w:r>
      <w:r>
        <w:t xml:space="preserve"> </w:t>
      </w:r>
      <w:r>
        <w:t xml:space="preserve">is the N → ∞ limit; at finite N there is an exact positive bias</w:t>
      </w:r>
      <w:r>
        <w:t xml:space="preserve"> </w:t>
      </w:r>
      <w:r>
        <w:t xml:space="preserve">(1 − exp(−4σ²))/N that neither ADR-0003 nor the test named. At the test’s N = 200 the</w:t>
      </w:r>
      <w:r>
        <w:t xml:space="preserve"> </w:t>
      </w:r>
      <w:r>
        <w:t xml:space="preserve">bias alone is 5.7 × 10⁻⁴, so no tolerance there could ever reach 10⁻⁴ — the old</w:t>
      </w:r>
      <w:r>
        <w:t xml:space="preserve"> </w:t>
      </w:r>
      <w:r>
        <w:t xml:space="preserve">abs 2 × 10⁻³ was correctly sized. Meanwhile ADR-0003’s</w:t>
      </w:r>
      <w:r>
        <w:t xml:space="preserve"> </w:t>
      </w:r>
      <w:r>
        <w:t xml:space="preserve">“~10⁻⁴”</w:t>
      </w:r>
      <w:r>
        <w:t xml:space="preserve"> </w:t>
      </w:r>
      <w:r>
        <w:t xml:space="preserve">is contradicted by its</w:t>
      </w:r>
      <w:r>
        <w:t xml:space="preserve"> </w:t>
      </w:r>
      <w:r>
        <w:t xml:space="preserve">own printed table (8.8 × 10⁻⁴ at σ = 20°) and unreachable at the N = 100 it also cites.</w:t>
      </w:r>
      <w:r>
        <w:t xml:space="preserve"> </w:t>
      </w:r>
      <w:r>
        <w:t xml:space="preserve">Closed by an ADR amendment, EQ-054, and a rebuilt test asserting the corrected prediction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 standard errors of its own sampling distribution</w:t>
      </w:r>
      <w:r>
        <w:t xml:space="preserve"> </w:t>
      </w:r>
      <w:r>
        <w:t xml:space="preserve">— statistical rather than</w:t>
      </w:r>
      <w:r>
        <w:t xml:space="preserve"> </w:t>
      </w:r>
      <w:r>
        <w:t xml:space="preserve">absolute, after a flat tolerance was caught in review failing 13 of 30 reseeds at σ = 20°</w:t>
      </w:r>
      <w:r>
        <w:t xml:space="preserve"> </w:t>
      </w:r>
      <w:r>
        <w:t xml:space="preserve">while passing on the committed seed — with a parametrized positive control and a</w:t>
      </w:r>
      <w:r>
        <w:t xml:space="preserve"> </w:t>
      </w:r>
      <w:r>
        <w:t xml:space="preserve">committed evidence script.</w:t>
      </w:r>
      <w:r>
        <w:t xml:space="preserve"> </w:t>
      </w:r>
      <w:r>
        <w:rPr>
          <w:b/>
          <w:bCs/>
        </w:rPr>
        <w:t xml:space="preserve">The Main text and Table 1 caption above are updated</w:t>
      </w:r>
      <w:r>
        <w:rPr>
          <w:b/>
          <w:bCs/>
        </w:rPr>
        <w:t xml:space="preserve"> </w:t>
      </w:r>
      <w:r>
        <w:rPr>
          <w:b/>
          <w:bCs/>
        </w:rPr>
        <w:t xml:space="preserve">accordingly; no claim was demoted, and the σ ≤ 2.87° requirement is unaffected.</w:t>
      </w:r>
      <w:r>
        <w:t xml:space="preserve"> </w:t>
      </w:r>
      <w:r>
        <w:rPr>
          <w:i/>
          <w:iCs/>
        </w:rPr>
        <w:t xml:space="preserve">One citation question is left open by this fix: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 </w:t>
      </w:r>
      <w:r>
        <w:t xml:space="preserve">flagged Ruze,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IEEE</w:t>
      </w:r>
      <w:r>
        <w:t xml:space="preserve"> </w:t>
      </w:r>
      <w:r>
        <w:rPr>
          <w:b/>
          <w:bCs/>
        </w:rPr>
        <w:t xml:space="preserve">54</w:t>
      </w:r>
      <w:r>
        <w:t xml:space="preserve">(4):633 (1966) as a plausible precedent for the finite-N random-phasor</w:t>
      </w:r>
      <w:r>
        <w:t xml:space="preserve"> </w:t>
      </w:r>
      <w:r>
        <w:t xml:space="preserve">statistics. It is unconfirmed and is a</w:t>
      </w:r>
      <w:r>
        <w:t xml:space="preserve"> </w:t>
      </w:r>
      <w:r>
        <w:rPr>
          <w:b/>
          <w:bCs/>
        </w:rPr>
        <w:t xml:space="preserve">spin-1</w:t>
      </w:r>
      <w:r>
        <w:t xml:space="preserve"> </w:t>
      </w:r>
      <w:r>
        <w:t xml:space="preserve">source, so it could at most promote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(1−μ²)/N</w:t>
      </w:r>
      <w:r>
        <w:t xml:space="preserve"> </w:t>
      </w:r>
      <w:r>
        <w:t xml:space="preserve">structure — never the</w:t>
      </w:r>
      <w:r>
        <w:t xml:space="preserve"> </w:t>
      </w:r>
      <w:r>
        <w:rPr>
          <w:rStyle w:val="VerbatimChar"/>
        </w:rPr>
        <w:t xml:space="preserve">4σ²</w:t>
      </w:r>
      <w:r>
        <w:t xml:space="preserve"> </w:t>
      </w:r>
      <w:r>
        <w:t xml:space="preserve">spin-2 prefactor, which stays Category B.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pass is owed before submission.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(b) RESOLVED 2026-08-03.</w:t>
      </w:r>
      <w:r>
        <w:t xml:space="preserve"> </w:t>
      </w:r>
      <w:r>
        <w:t xml:space="preserve">ADR-0003’s 1 × 10⁻¹⁴ analytic-TT agreement, quoted in the</w:t>
      </w:r>
      <w:r>
        <w:t xml:space="preserve"> </w:t>
      </w:r>
      <w:r>
        <w:t xml:space="preserve">Main, existed</w:t>
      </w:r>
      <w:r>
        <w:t xml:space="preserve"> </w:t>
      </w:r>
      <w:r>
        <w:rPr>
          <w:b/>
          <w:bCs/>
        </w:rPr>
        <w:t xml:space="preserve">only in the scratch prototype</w:t>
      </w:r>
      <w:r>
        <w:t xml:space="preserve"> </w:t>
      </w:r>
      <w:r>
        <w:t xml:space="preserve">— the suite checked structure and relative</w:t>
      </w:r>
      <w:r>
        <w:t xml:space="preserve"> </w:t>
      </w:r>
      <w:r>
        <w:t xml:space="preserve">behaviour but pinned no absolute analytic value, so the printed figure was not reproducible</w:t>
      </w:r>
      <w:r>
        <w:t xml:space="preserve"> </w:t>
      </w:r>
      <w:r>
        <w:t xml:space="preserve">from the repository. Closed by three parametrized tests: the hand-derived closed form</w:t>
      </w:r>
      <w:r>
        <w:t xml:space="preserve"> </w:t>
      </w:r>
      <w:r>
        <w:t xml:space="preserve">h^TT = ½[[cos2ψ, sin2ψ],[sin2ψ, −cos2ψ]] through the projector and again through the</w:t>
      </w:r>
      <w:r>
        <w:t xml:space="preserve"> </w:t>
      </w:r>
      <w:r>
        <w:t xml:space="preserve">production superposition path, over the nine ψ of the original spike, plus the half-period</w:t>
      </w:r>
      <w:r>
        <w:t xml:space="preserve"> </w:t>
      </w:r>
      <w:r>
        <w:t xml:space="preserve">inversion h(ψ+π/2) = −h(ψ) that rules out period 2π.</w:t>
      </w:r>
      <w:r>
        <w:t xml:space="preserve"> </w:t>
      </w:r>
      <w:r>
        <w:rPr>
          <w:b/>
          <w:bCs/>
        </w:rPr>
        <w:t xml:space="preserve">This claim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conservative</w:t>
      </w:r>
      <w:r>
        <w:rPr>
          <w:b/>
          <w:bCs/>
        </w:rPr>
        <w:t xml:space="preserve">:</w:t>
      </w:r>
      <w:r>
        <w:t xml:space="preserve"> </w:t>
      </w:r>
      <w:r>
        <w:t xml:space="preserve">measured worst error 1.1 × 10⁻¹⁶ against the 10⁻¹⁴ printed. The two ADR-0003 precision</w:t>
      </w:r>
      <w:r>
        <w:t xml:space="preserve"> </w:t>
      </w:r>
      <w:r>
        <w:t xml:space="preserve">errors ran in opposite directions — (a) optimistic, (b) pessimistic — which is why neither</w:t>
      </w:r>
      <w:r>
        <w:t xml:space="preserve"> </w:t>
      </w:r>
      <w:r>
        <w:t xml:space="preserve">could be assumed and both had to be measured.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(c) Still open.</w:t>
      </w:r>
      <w:r>
        <w:t xml:space="preserve"> </w:t>
      </w:r>
      <w:r>
        <w:rPr>
          <w:rStyle w:val="VerbatimChar"/>
        </w:rPr>
        <w:t xml:space="preserve">octupole_moment</w:t>
      </w:r>
      <w:r>
        <w:t xml:space="preserve"> </w:t>
      </w:r>
      <w:r>
        <w:t xml:space="preserve">claims a cross-check against ref. 4 eq. 302a</w:t>
      </w:r>
      <w:r>
        <w:t xml:space="preserve"> </w:t>
      </w:r>
      <w:r>
        <w:t xml:space="preserve">that no test executes.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EQ-040 must go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researcher</w:t>
      </w:r>
      <w:r>
        <w:rPr>
          <w:b/>
          <w:bCs/>
        </w:rPr>
        <w:t xml:space="preserve"> </w:t>
      </w:r>
      <w:r>
        <w:rPr>
          <w:b/>
          <w:bCs/>
        </w:rPr>
        <w:t xml:space="preserve">before submission.</w:t>
      </w:r>
      <w:r>
        <w:t xml:space="preserve"> </w:t>
      </w:r>
      <w:r>
        <w:t xml:space="preserve">It cites ref. 5 eq. 4.22 for</w:t>
      </w:r>
      <w:r>
        <w:t xml:space="preserve"> </w:t>
      </w:r>
      <w:r>
        <w:t xml:space="preserve">the e^(2iψ) rotation law — the same equation number EQ-004 cites for the TT projector —</w:t>
      </w:r>
      <w:r>
        <w:t xml:space="preserve"> </w:t>
      </w:r>
      <w:r>
        <w:t xml:space="preserve">while its docstring self-labels the result as established physics.</w:t>
      </w:r>
      <w:r>
        <w:t xml:space="preserve"> </w:t>
      </w:r>
      <w:r>
        <w:rPr>
          <w:b/>
          <w:bCs/>
        </w:rPr>
        <w:t xml:space="preserve">The e^(2iψ)</w:t>
      </w:r>
      <w:r>
        <w:rPr>
          <w:b/>
          <w:bCs/>
        </w:rPr>
        <w:t xml:space="preserve"> </w:t>
      </w:r>
      <w:r>
        <w:rPr>
          <w:b/>
          <w:bCs/>
        </w:rPr>
        <w:t xml:space="preserve">transformation is the Abstract’s central assertion; its citation must be sound.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Reference 8</w:t>
      </w:r>
      <w:r>
        <w:t xml:space="preserve"> </w:t>
      </w:r>
      <w:r>
        <w:t xml:space="preserve">(DART) and any other</w:t>
      </w:r>
      <w:r>
        <w:t xml:space="preserve"> </w:t>
      </w:r>
      <w:r>
        <w:rPr>
          <w:rStyle w:val="VerbatimChar"/>
        </w:rPr>
        <w:t xml:space="preserve">[complete]</w:t>
      </w:r>
      <w:r>
        <w:t xml:space="preserve"> </w:t>
      </w:r>
      <w:r>
        <w:t xml:space="preserve">marker need volume/page verification</w:t>
      </w:r>
      <w:r>
        <w:t xml:space="preserve"> </w:t>
      </w:r>
      <w:r>
        <w:t xml:space="preserve">against the published record, not against memory.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things that must be fixed before this can be submitted</w:t>
      </w:r>
      <w:r>
        <w:t xml:space="preserve"> </w:t>
      </w:r>
      <w:r>
        <w:t xml:space="preserve">anywhere.</w:t>
      </w:r>
      <w:r>
        <w:t xml:space="preserve"> </w:t>
      </w:r>
      <w:r>
        <w:rPr>
          <w:b/>
          <w:bCs/>
        </w:rPr>
        <w:t xml:space="preserve">One of the two substantive ones has since been fixed</w:t>
      </w:r>
      <w:r>
        <w:t xml:space="preserve"> </w:t>
      </w:r>
      <w:r>
        <w:t xml:space="preserve">— see item 4(a). The</w:t>
      </w:r>
      <w:r>
        <w:t xml:space="preserve"> </w:t>
      </w:r>
      <w:r>
        <w:t xml:space="preserve">paper had quoted a precision figure for the alignment requirement that was better than our</w:t>
      </w:r>
      <w:r>
        <w:t xml:space="preserve"> </w:t>
      </w:r>
      <w:r>
        <w:t xml:space="preserve">own automated tests actually checked. Chasing it down produced a genuinely useful surprise:</w:t>
      </w:r>
      <w:r>
        <w:t xml:space="preserve"> </w:t>
      </w:r>
      <w:r>
        <w:t xml:space="preserve">the tests weren’t sloppy, the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had been described imprecisely. The alignment law</w:t>
      </w:r>
      <w:r>
        <w:t xml:space="preserve"> </w:t>
      </w:r>
      <w:r>
        <w:t xml:space="preserve">describes an array with infinitely many emitters; a real one with a finite number behaves</w:t>
      </w:r>
      <w:r>
        <w:t xml:space="preserve"> </w:t>
      </w:r>
      <w:r>
        <w:t xml:space="preserve">slightly differently, by an amount nobody had written down. Correcting that made the test</w:t>
      </w:r>
      <w:r>
        <w:t xml:space="preserve"> </w:t>
      </w:r>
      <w:r>
        <w:t xml:space="preserve">about twenty times stricter and the claim more accurate at the same time.</w:t>
      </w:r>
      <w:r>
        <w:t xml:space="preserve"> </w:t>
      </w:r>
      <w:r>
        <w:rPr>
          <w:b/>
          <w:bCs/>
        </w:rPr>
        <w:t xml:space="preserve">The second</w:t>
      </w:r>
      <w:r>
        <w:rPr>
          <w:b/>
          <w:bCs/>
        </w:rPr>
        <w:t xml:space="preserve"> </w:t>
      </w:r>
      <w:r>
        <w:rPr>
          <w:b/>
          <w:bCs/>
        </w:rPr>
        <w:t xml:space="preserve">still stands:</w:t>
      </w:r>
      <w:r>
        <w:t xml:space="preserve"> </w:t>
      </w:r>
      <w:r>
        <w:t xml:space="preserve">one accuracy figure quoted in the paper lives only in a scratch file rather</w:t>
      </w:r>
      <w:r>
        <w:t xml:space="preserve"> </w:t>
      </w:r>
      <w:r>
        <w:t xml:space="preserve">than in the reproducible test suite, so a reader could not regenerate it. Separately, one</w:t>
      </w:r>
      <w:r>
        <w:t xml:space="preserve"> </w:t>
      </w:r>
      <w:r>
        <w:t xml:space="preserve">citation supporting the Abstract’s central assertion has not been independently verified,</w:t>
      </w:r>
      <w:r>
        <w:t xml:space="preserve"> </w:t>
      </w:r>
      <w:r>
        <w:t xml:space="preserve">and it must be before anyone reads this. All of these were found by our own audit, of our</w:t>
      </w:r>
      <w:r>
        <w:t xml:space="preserve"> </w:t>
      </w:r>
      <w:r>
        <w:t xml:space="preserve">own paper, about our own headline results — which is the method doing its job, and also the</w:t>
      </w:r>
      <w:r>
        <w:t xml:space="preserve"> </w:t>
      </w:r>
      <w:r>
        <w:t xml:space="preserve">reason we publish the near-misses rather than quietly patching them.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nExpertSummary" w:type="paragraph">
    <w:name w:val="NonExpertSummary"/>
    <w:basedOn w:val="BodyText"/>
    <w:qFormat/>
    <w:pPr>
      <w:pBdr>
        <w:left w:color="4A7EBB" w:space="8" w:sz="18" w:val="single"/>
      </w:pBdr>
      <w:shd w:color="auto" w:fill="EEF3FA" w:val="clear"/>
      <w:spacing w:after="200" w:before="120"/>
      <w:ind w:left="340" w:right="170"/>
    </w:pPr>
    <w:rPr>
      <w:i/>
      <w:color w:val="1F3864"/>
      <w:sz w:val="19"/>
    </w:rPr>
  </w:style>
  <w:style w:customStyle="1" w:styleId="FigurePlaceholder" w:type="paragraph">
    <w:name w:val="FigurePlaceholder"/>
    <w:basedOn w:val="BodyText"/>
    <w:qFormat/>
    <w:pPr>
      <w:pBdr>
        <w:top w:color="A6A6A6" w:space="12" w:sz="8" w:val="dashed"/>
        <w:left w:color="A6A6A6" w:space="12" w:sz="8" w:val="dashed"/>
        <w:bottom w:color="A6A6A6" w:space="12" w:sz="8" w:val="dashed"/>
        <w:right w:color="A6A6A6" w:space="12" w:sz="8" w:val="dashed"/>
      </w:pBdr>
      <w:shd w:color="auto" w:fill="F7F7F7" w:val="clear"/>
      <w:spacing w:after="120" w:before="280" w:line="360" w:lineRule="auto"/>
      <w:jc w:val="center"/>
    </w:pPr>
    <w:rPr>
      <w:b/>
      <w:color w:val="80808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2026-08-06T01:37:19Z</dcterms:created>
  <dcterms:modified xsi:type="dcterms:W3CDTF">2026-08-06T01:37:19Z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